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06358" w:rsidRDefault="00A973DB" w14:paraId="31A5E436" w14:textId="77777777">
      <w:pPr>
        <w:rPr>
          <w:b/>
          <w:sz w:val="52"/>
        </w:rPr>
      </w:pPr>
      <w:r>
        <w:rPr>
          <w:b/>
          <w:noProof/>
          <w:sz w:val="52"/>
        </w:rPr>
        <w:drawing>
          <wp:anchor distT="0" distB="0" distL="0" distR="0" simplePos="0" relativeHeight="43" behindDoc="1" locked="0" layoutInCell="1" allowOverlap="1" wp14:anchorId="4116A782" wp14:editId="1D250337">
            <wp:simplePos x="0" y="0"/>
            <wp:positionH relativeFrom="column">
              <wp:posOffset>-986155</wp:posOffset>
            </wp:positionH>
            <wp:positionV relativeFrom="paragraph">
              <wp:posOffset>-252095</wp:posOffset>
            </wp:positionV>
            <wp:extent cx="7555865" cy="10692130"/>
            <wp:effectExtent l="0" t="0" r="0" b="0"/>
            <wp:wrapNone/>
            <wp:docPr id="1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5865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6358" w:rsidP="06910F8B" w:rsidRDefault="00A973DB" w14:paraId="4430C6F4" w14:textId="77777777">
      <w:pPr>
        <w:jc w:val="both"/>
        <w:rPr>
          <w:b w:val="1"/>
          <w:bCs w:val="1"/>
          <w:sz w:val="52"/>
          <w:szCs w:val="52"/>
        </w:rPr>
      </w:pPr>
      <w:r w:rsidRPr="06910F8B" w:rsidR="3D8C7159">
        <w:rPr>
          <w:rFonts w:eastAsia="Arial"/>
          <w:b w:val="1"/>
          <w:bCs w:val="1"/>
          <w:sz w:val="48"/>
          <w:szCs w:val="48"/>
        </w:rPr>
        <w:t>Segmentación de tumores cerebrales en resonancia magnética multimodal mediante arquitecturas Transformer-UNet híbridas</w:t>
      </w:r>
    </w:p>
    <w:p w:rsidR="00906358" w:rsidRDefault="00906358" w14:paraId="1E4D6897" w14:textId="77777777"/>
    <w:p w:rsidR="00906358" w:rsidRDefault="00906358" w14:paraId="1AB23C8E" w14:textId="77777777"/>
    <w:p w:rsidR="00906358" w:rsidRDefault="00906358" w14:paraId="42C9C2F1" w14:textId="77777777"/>
    <w:p w:rsidR="00906358" w:rsidRDefault="00906358" w14:paraId="51486999" w14:textId="77777777"/>
    <w:p w:rsidR="06910F8B" w:rsidP="06910F8B" w:rsidRDefault="06910F8B" w14:paraId="695C226A" w14:textId="717708DF">
      <w:pPr>
        <w:pStyle w:val="Piedepgina"/>
        <w:rPr>
          <w:color w:val="FFFFFF" w:themeColor="background1" w:themeTint="FF" w:themeShade="FF"/>
          <w:sz w:val="20"/>
          <w:szCs w:val="20"/>
        </w:rPr>
      </w:pPr>
    </w:p>
    <w:p w:rsidR="06910F8B" w:rsidP="06910F8B" w:rsidRDefault="06910F8B" w14:paraId="2F84755B" w14:textId="7DAEAD94">
      <w:pPr>
        <w:pStyle w:val="Piedepgina"/>
        <w:rPr>
          <w:color w:val="FFFFFF" w:themeColor="background1" w:themeTint="FF" w:themeShade="FF"/>
          <w:sz w:val="20"/>
          <w:szCs w:val="20"/>
        </w:rPr>
      </w:pPr>
    </w:p>
    <w:p w:rsidR="06910F8B" w:rsidP="06910F8B" w:rsidRDefault="06910F8B" w14:paraId="2B2AD828" w14:textId="16D324A3">
      <w:pPr>
        <w:pStyle w:val="Piedepgina"/>
        <w:rPr>
          <w:color w:val="FFFFFF" w:themeColor="background1" w:themeTint="FF" w:themeShade="FF"/>
          <w:sz w:val="20"/>
          <w:szCs w:val="20"/>
        </w:rPr>
      </w:pPr>
    </w:p>
    <w:p w:rsidR="00906358" w:rsidRDefault="00906358" w14:paraId="6207E873" w14:textId="5EDFFC61">
      <w:pPr>
        <w:pStyle w:val="Piedepgina"/>
      </w:pPr>
      <w:r w:rsidRPr="06910F8B" w:rsidR="542C2D59">
        <w:rPr>
          <w:color w:val="FFFFFF" w:themeColor="background1" w:themeTint="FF" w:themeShade="FF"/>
          <w:sz w:val="20"/>
          <w:szCs w:val="20"/>
        </w:rPr>
        <w:t>Fecha:</w:t>
      </w:r>
      <w:r>
        <w:br/>
      </w:r>
      <w:r w:rsidRPr="06910F8B" w:rsidR="64255738">
        <w:rPr>
          <w:color w:val="FFFFFF" w:themeColor="background1" w:themeTint="FF" w:themeShade="FF"/>
          <w:sz w:val="20"/>
          <w:szCs w:val="20"/>
        </w:rPr>
        <w:t>OCTUBRE-26</w:t>
      </w:r>
    </w:p>
    <w:p w:rsidR="00906358" w:rsidRDefault="00906358" w14:paraId="646D63C2" w14:textId="77777777">
      <w:pPr>
        <w:pStyle w:val="Piedepgina"/>
        <w:rPr>
          <w:color w:val="FFFFFF" w:themeColor="background1"/>
          <w:sz w:val="20"/>
          <w:szCs w:val="20"/>
        </w:rPr>
      </w:pPr>
    </w:p>
    <w:p w:rsidR="06910F8B" w:rsidP="06910F8B" w:rsidRDefault="06910F8B" w14:paraId="708E3982" w14:textId="194FE8E1">
      <w:pPr>
        <w:pStyle w:val="Piedepgina"/>
        <w:rPr>
          <w:color w:val="FFFFFF" w:themeColor="background1" w:themeTint="FF" w:themeShade="FF"/>
          <w:sz w:val="20"/>
          <w:szCs w:val="20"/>
        </w:rPr>
      </w:pPr>
    </w:p>
    <w:p w:rsidR="06910F8B" w:rsidP="06910F8B" w:rsidRDefault="06910F8B" w14:paraId="7D70BD95" w14:textId="773E003C">
      <w:pPr>
        <w:pStyle w:val="Piedepgina"/>
        <w:rPr>
          <w:color w:val="FFFFFF" w:themeColor="background1" w:themeTint="FF" w:themeShade="FF"/>
          <w:sz w:val="20"/>
          <w:szCs w:val="20"/>
        </w:rPr>
      </w:pPr>
    </w:p>
    <w:p w:rsidR="06910F8B" w:rsidP="06910F8B" w:rsidRDefault="06910F8B" w14:paraId="2C1E26E8" w14:textId="6B8050C3">
      <w:pPr>
        <w:pStyle w:val="Piedepgina"/>
        <w:rPr>
          <w:color w:val="FFFFFF" w:themeColor="background1" w:themeTint="FF" w:themeShade="FF"/>
          <w:sz w:val="20"/>
          <w:szCs w:val="20"/>
        </w:rPr>
      </w:pPr>
    </w:p>
    <w:p w:rsidR="06910F8B" w:rsidP="06910F8B" w:rsidRDefault="06910F8B" w14:paraId="728A7DDB" w14:textId="487C8C91">
      <w:pPr>
        <w:pStyle w:val="Piedepgina"/>
        <w:rPr>
          <w:color w:val="FFFFFF" w:themeColor="background1" w:themeTint="FF" w:themeShade="FF"/>
          <w:sz w:val="20"/>
          <w:szCs w:val="20"/>
        </w:rPr>
      </w:pPr>
    </w:p>
    <w:p w:rsidR="06910F8B" w:rsidP="06910F8B" w:rsidRDefault="06910F8B" w14:paraId="74EE646E" w14:textId="6F57E64E">
      <w:pPr>
        <w:pStyle w:val="Piedepgina"/>
        <w:rPr>
          <w:color w:val="FFFFFF" w:themeColor="background1" w:themeTint="FF" w:themeShade="FF"/>
          <w:sz w:val="20"/>
          <w:szCs w:val="20"/>
        </w:rPr>
      </w:pPr>
    </w:p>
    <w:p w:rsidR="06910F8B" w:rsidP="06910F8B" w:rsidRDefault="06910F8B" w14:paraId="79A35EF5" w14:textId="2085BFC7">
      <w:pPr>
        <w:pStyle w:val="Piedepgina"/>
        <w:rPr>
          <w:color w:val="FFFFFF" w:themeColor="background1" w:themeTint="FF" w:themeShade="FF"/>
          <w:sz w:val="20"/>
          <w:szCs w:val="20"/>
        </w:rPr>
      </w:pPr>
    </w:p>
    <w:p w:rsidR="06910F8B" w:rsidP="06910F8B" w:rsidRDefault="06910F8B" w14:paraId="4E18ED5F" w14:textId="27CB923A">
      <w:pPr>
        <w:pStyle w:val="Piedepgina"/>
        <w:rPr>
          <w:color w:val="FFFFFF" w:themeColor="background1" w:themeTint="FF" w:themeShade="FF"/>
          <w:sz w:val="20"/>
          <w:szCs w:val="20"/>
        </w:rPr>
      </w:pPr>
    </w:p>
    <w:p w:rsidR="06910F8B" w:rsidP="06910F8B" w:rsidRDefault="06910F8B" w14:paraId="283DE2CC" w14:textId="32F1600A">
      <w:pPr>
        <w:pStyle w:val="Piedepgina"/>
        <w:rPr>
          <w:color w:val="FFFFFF" w:themeColor="background1" w:themeTint="FF" w:themeShade="FF"/>
          <w:sz w:val="20"/>
          <w:szCs w:val="20"/>
        </w:rPr>
      </w:pPr>
    </w:p>
    <w:p w:rsidR="06910F8B" w:rsidP="06910F8B" w:rsidRDefault="06910F8B" w14:paraId="01687533" w14:textId="0BCEA886">
      <w:pPr>
        <w:pStyle w:val="Piedepgina"/>
        <w:rPr>
          <w:color w:val="FFFFFF" w:themeColor="background1" w:themeTint="FF" w:themeShade="FF"/>
          <w:sz w:val="20"/>
          <w:szCs w:val="20"/>
        </w:rPr>
      </w:pPr>
    </w:p>
    <w:p w:rsidR="06910F8B" w:rsidP="06910F8B" w:rsidRDefault="06910F8B" w14:paraId="283B3AD0" w14:textId="40F75005">
      <w:pPr>
        <w:pStyle w:val="Piedepgina"/>
        <w:rPr>
          <w:color w:val="FFFFFF" w:themeColor="background1" w:themeTint="FF" w:themeShade="FF"/>
          <w:sz w:val="20"/>
          <w:szCs w:val="20"/>
        </w:rPr>
      </w:pPr>
    </w:p>
    <w:p w:rsidR="06910F8B" w:rsidP="06910F8B" w:rsidRDefault="06910F8B" w14:paraId="3DF80009" w14:textId="12ED9A10">
      <w:pPr>
        <w:pStyle w:val="Piedepgina"/>
        <w:rPr>
          <w:color w:val="FFFFFF" w:themeColor="background1" w:themeTint="FF" w:themeShade="FF"/>
          <w:sz w:val="20"/>
          <w:szCs w:val="20"/>
        </w:rPr>
      </w:pPr>
    </w:p>
    <w:p w:rsidR="06910F8B" w:rsidP="06910F8B" w:rsidRDefault="06910F8B" w14:paraId="28958676" w14:textId="6FA8D7D6">
      <w:pPr>
        <w:pStyle w:val="Piedepgina"/>
        <w:rPr>
          <w:color w:val="FFFFFF" w:themeColor="background1" w:themeTint="FF" w:themeShade="FF"/>
          <w:sz w:val="20"/>
          <w:szCs w:val="20"/>
        </w:rPr>
      </w:pPr>
    </w:p>
    <w:p w:rsidR="06910F8B" w:rsidP="06910F8B" w:rsidRDefault="06910F8B" w14:paraId="66B93E49" w14:textId="50AFE08E">
      <w:pPr>
        <w:pStyle w:val="Piedepgina"/>
        <w:rPr>
          <w:color w:val="FFFFFF" w:themeColor="background1" w:themeTint="FF" w:themeShade="FF"/>
          <w:sz w:val="20"/>
          <w:szCs w:val="20"/>
        </w:rPr>
      </w:pPr>
    </w:p>
    <w:p w:rsidR="06910F8B" w:rsidP="06910F8B" w:rsidRDefault="06910F8B" w14:paraId="06C462DC" w14:textId="149B9F0B">
      <w:pPr>
        <w:pStyle w:val="Piedepgina"/>
        <w:rPr>
          <w:color w:val="FFFFFF" w:themeColor="background1" w:themeTint="FF" w:themeShade="FF"/>
          <w:sz w:val="20"/>
          <w:szCs w:val="20"/>
        </w:rPr>
      </w:pPr>
    </w:p>
    <w:p w:rsidR="06910F8B" w:rsidP="06910F8B" w:rsidRDefault="06910F8B" w14:paraId="21B0FB19" w14:textId="11F9AFDA">
      <w:pPr>
        <w:pStyle w:val="Piedepgina"/>
        <w:rPr>
          <w:color w:val="FFFFFF" w:themeColor="background1" w:themeTint="FF" w:themeShade="FF"/>
          <w:sz w:val="20"/>
          <w:szCs w:val="20"/>
        </w:rPr>
      </w:pPr>
    </w:p>
    <w:p w:rsidR="06910F8B" w:rsidP="06910F8B" w:rsidRDefault="06910F8B" w14:paraId="56663312" w14:textId="3540FB43">
      <w:pPr>
        <w:pStyle w:val="Piedepgina"/>
        <w:rPr>
          <w:color w:val="FFFFFF" w:themeColor="background1" w:themeTint="FF" w:themeShade="FF"/>
          <w:sz w:val="20"/>
          <w:szCs w:val="20"/>
        </w:rPr>
      </w:pPr>
    </w:p>
    <w:p w:rsidR="06910F8B" w:rsidP="06910F8B" w:rsidRDefault="06910F8B" w14:paraId="059B1F25" w14:textId="550B9A68">
      <w:pPr>
        <w:pStyle w:val="Piedepgina"/>
        <w:rPr>
          <w:color w:val="FFFFFF" w:themeColor="background1" w:themeTint="FF" w:themeShade="FF"/>
          <w:sz w:val="20"/>
          <w:szCs w:val="20"/>
        </w:rPr>
      </w:pPr>
    </w:p>
    <w:p w:rsidR="06910F8B" w:rsidP="06910F8B" w:rsidRDefault="06910F8B" w14:paraId="27D693F7" w14:textId="0A2F0023">
      <w:pPr>
        <w:pStyle w:val="Piedepgina"/>
        <w:rPr>
          <w:color w:val="FFFFFF" w:themeColor="background1" w:themeTint="FF" w:themeShade="FF"/>
          <w:sz w:val="20"/>
          <w:szCs w:val="20"/>
        </w:rPr>
      </w:pPr>
    </w:p>
    <w:p w:rsidR="06910F8B" w:rsidP="06910F8B" w:rsidRDefault="06910F8B" w14:paraId="5FD5F2DC" w14:textId="7CE2F556">
      <w:pPr>
        <w:pStyle w:val="Piedepgina"/>
        <w:rPr>
          <w:color w:val="FFFFFF" w:themeColor="background1" w:themeTint="FF" w:themeShade="FF"/>
          <w:sz w:val="20"/>
          <w:szCs w:val="20"/>
        </w:rPr>
      </w:pPr>
    </w:p>
    <w:p w:rsidR="00906358" w:rsidRDefault="00906358" w14:paraId="2F409EF7" w14:textId="77777777">
      <w:pPr>
        <w:pStyle w:val="Piedepgina"/>
        <w:rPr>
          <w:color w:val="FFFFFF" w:themeColor="background1"/>
          <w:sz w:val="20"/>
          <w:szCs w:val="20"/>
        </w:rPr>
      </w:pPr>
    </w:p>
    <w:p w:rsidR="00906358" w:rsidRDefault="00906358" w14:paraId="5D1F3050" w14:textId="77777777">
      <w:pPr>
        <w:pStyle w:val="Piedepgina"/>
        <w:rPr>
          <w:color w:val="FFFFFF" w:themeColor="background1"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Y="7090"/>
        <w:tblW w:w="9419" w:type="dxa"/>
        <w:tblLook w:val="04A0" w:firstRow="1" w:lastRow="0" w:firstColumn="1" w:lastColumn="0" w:noHBand="0" w:noVBand="1"/>
      </w:tblPr>
      <w:tblGrid>
        <w:gridCol w:w="3061"/>
        <w:gridCol w:w="3293"/>
        <w:gridCol w:w="3065"/>
      </w:tblGrid>
      <w:tr w:rsidRPr="00ED5BE2" w:rsidR="00ED5BE2" w:rsidTr="06910F8B" w14:paraId="17FBB34F" w14:textId="77777777">
        <w:trPr>
          <w:trHeight w:val="2160"/>
        </w:trPr>
        <w:tc>
          <w:tcPr>
            <w:tcW w:w="3061" w:type="dxa"/>
            <w:tcBorders>
              <w:top w:val="nil"/>
              <w:left w:val="single" w:color="FFFFFF" w:themeColor="background1" w:sz="48" w:space="0"/>
              <w:bottom w:val="nil"/>
              <w:right w:val="single" w:color="FFFFFF" w:themeColor="background1" w:sz="48" w:space="0"/>
            </w:tcBorders>
            <w:shd w:val="clear" w:color="auto" w:fill="E65014"/>
            <w:tcMar/>
          </w:tcPr>
          <w:p w:rsidRPr="003424CA" w:rsidR="00ED5BE2" w:rsidP="00ED5BE2" w:rsidRDefault="00ED5BE2" w14:paraId="108D4AF3" w14:textId="77777777">
            <w:pPr>
              <w:rPr>
                <w:color w:val="FFFFFF" w:themeColor="background1"/>
              </w:rPr>
            </w:pPr>
            <w:r w:rsidRPr="06910F8B" w:rsidR="3CBB097C">
              <w:rPr>
                <w:rFonts w:eastAsia="Arial"/>
                <w:color w:val="FFFFFF" w:themeColor="background1" w:themeTint="FF" w:themeShade="FF"/>
                <w:sz w:val="19"/>
                <w:szCs w:val="19"/>
              </w:rPr>
              <w:t>Titulación:</w:t>
            </w:r>
          </w:p>
          <w:p w:rsidR="68CABE96" w:rsidP="06910F8B" w:rsidRDefault="68CABE96" w14:paraId="4EFCBCDB" w14:textId="2729AF12">
            <w:pPr>
              <w:rPr>
                <w:rFonts w:eastAsia="Arial"/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</w:pPr>
            <w:r w:rsidRPr="06910F8B" w:rsidR="68CABE96">
              <w:rPr>
                <w:rFonts w:eastAsia="Arial"/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Máster Universitario en Big</w:t>
            </w:r>
          </w:p>
          <w:p w:rsidR="68CABE96" w:rsidP="06910F8B" w:rsidRDefault="68CABE96" w14:paraId="2B5BDE4F" w14:textId="61BC277E">
            <w:pPr>
              <w:pStyle w:val="Normal"/>
            </w:pPr>
            <w:r w:rsidRPr="06910F8B" w:rsidR="68CABE96">
              <w:rPr>
                <w:rFonts w:eastAsia="Arial"/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Data y Ciencia de Datos</w:t>
            </w:r>
          </w:p>
          <w:p w:rsidR="06910F8B" w:rsidP="06910F8B" w:rsidRDefault="06910F8B" w14:paraId="382E31B4" w14:textId="34382564">
            <w:pPr>
              <w:pStyle w:val="Normal"/>
              <w:rPr>
                <w:rFonts w:eastAsia="Arial"/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</w:pPr>
          </w:p>
          <w:p w:rsidRPr="003424CA" w:rsidR="00ED5BE2" w:rsidP="00ED5BE2" w:rsidRDefault="00ED5BE2" w14:paraId="4E4D1957" w14:textId="77777777">
            <w:pPr>
              <w:rPr>
                <w:color w:val="FFFFFF" w:themeColor="background1"/>
              </w:rPr>
            </w:pPr>
            <w:r w:rsidRPr="06910F8B" w:rsidR="3CBB097C">
              <w:rPr>
                <w:rFonts w:eastAsia="Arial"/>
                <w:color w:val="FFFFFF" w:themeColor="background1" w:themeTint="FF" w:themeShade="FF"/>
                <w:sz w:val="19"/>
                <w:szCs w:val="19"/>
              </w:rPr>
              <w:t xml:space="preserve">Curso académico </w:t>
            </w:r>
          </w:p>
          <w:p w:rsidRPr="003424CA" w:rsidR="00ED5BE2" w:rsidP="06910F8B" w:rsidRDefault="00ED5BE2" w14:paraId="7ED2010F" w14:textId="27B09151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both"/>
            </w:pPr>
            <w:r w:rsidRPr="06910F8B" w:rsidR="46491261">
              <w:rPr>
                <w:rFonts w:eastAsia="Arial"/>
                <w:color w:val="FFFFFF" w:themeColor="background1" w:themeTint="FF" w:themeShade="FF"/>
                <w:sz w:val="19"/>
                <w:szCs w:val="19"/>
              </w:rPr>
              <w:t>O</w:t>
            </w:r>
            <w:r w:rsidRPr="06910F8B" w:rsidR="46491261">
              <w:rPr>
                <w:rFonts w:eastAsia="Arial"/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CTUBRE 25</w:t>
            </w:r>
          </w:p>
        </w:tc>
        <w:tc>
          <w:tcPr>
            <w:tcW w:w="3293" w:type="dxa"/>
            <w:tcBorders>
              <w:top w:val="nil"/>
              <w:left w:val="single" w:color="FFFFFF" w:themeColor="background1" w:sz="48" w:space="0"/>
              <w:bottom w:val="nil"/>
              <w:right w:val="single" w:color="FFFFFF" w:themeColor="background1" w:sz="48" w:space="0"/>
            </w:tcBorders>
            <w:shd w:val="clear" w:color="auto" w:fill="E65014"/>
            <w:tcMar/>
          </w:tcPr>
          <w:p w:rsidR="003424CA" w:rsidP="00ED5BE2" w:rsidRDefault="00ED5BE2" w14:paraId="597F9036" w14:textId="77777777">
            <w:pPr>
              <w:rPr>
                <w:color w:val="FFFFFF" w:themeColor="background1"/>
              </w:rPr>
            </w:pPr>
            <w:r w:rsidRPr="06910F8B" w:rsidR="3CBB097C">
              <w:rPr>
                <w:rFonts w:eastAsia="Arial"/>
                <w:color w:val="FFFFFF" w:themeColor="background1" w:themeTint="FF" w:themeShade="FF"/>
                <w:sz w:val="19"/>
                <w:szCs w:val="19"/>
              </w:rPr>
              <w:t xml:space="preserve">Alumno/a: </w:t>
            </w:r>
          </w:p>
          <w:p w:rsidR="315A39C5" w:rsidP="06910F8B" w:rsidRDefault="315A39C5" w14:paraId="4E5E76B2" w14:textId="39F58455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both"/>
              <w:rPr>
                <w:rFonts w:eastAsia="Arial"/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</w:pPr>
            <w:r w:rsidRPr="06910F8B" w:rsidR="315A39C5">
              <w:rPr>
                <w:rFonts w:eastAsia="Arial"/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Jesús Ferrón Rubio</w:t>
            </w:r>
          </w:p>
          <w:p w:rsidR="06910F8B" w:rsidP="06910F8B" w:rsidRDefault="06910F8B" w14:paraId="5AF6EC57" w14:textId="6DECC58B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both"/>
              <w:rPr>
                <w:rFonts w:eastAsia="Arial"/>
                <w:color w:val="FFFFFF" w:themeColor="background1" w:themeTint="FF" w:themeShade="FF"/>
                <w:sz w:val="19"/>
                <w:szCs w:val="19"/>
              </w:rPr>
            </w:pPr>
          </w:p>
          <w:p w:rsidRPr="003424CA" w:rsidR="00ED5BE2" w:rsidP="00ED5BE2" w:rsidRDefault="00ED5BE2" w14:paraId="73A10D03" w14:textId="628D6CFF">
            <w:pPr/>
            <w:r w:rsidRPr="06910F8B" w:rsidR="3CBB097C">
              <w:rPr>
                <w:rFonts w:eastAsia="Arial"/>
                <w:color w:val="FFFFFF" w:themeColor="background1" w:themeTint="FF" w:themeShade="FF"/>
                <w:sz w:val="19"/>
                <w:szCs w:val="19"/>
              </w:rPr>
              <w:t xml:space="preserve">D.N.I.: </w:t>
            </w:r>
            <w:r w:rsidRPr="06910F8B" w:rsidR="27E69D4B">
              <w:rPr>
                <w:rFonts w:eastAsia="Arial"/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05683844S</w:t>
            </w:r>
          </w:p>
          <w:p w:rsidR="06910F8B" w:rsidP="06910F8B" w:rsidRDefault="06910F8B" w14:paraId="3665220F" w14:textId="17D060BE">
            <w:pPr>
              <w:rPr>
                <w:rFonts w:eastAsia="Arial"/>
                <w:color w:val="FFFFFF" w:themeColor="background1" w:themeTint="FF" w:themeShade="FF"/>
                <w:sz w:val="19"/>
                <w:szCs w:val="19"/>
              </w:rPr>
            </w:pPr>
          </w:p>
          <w:p w:rsidRPr="003424CA" w:rsidR="00ED5BE2" w:rsidP="00ED5BE2" w:rsidRDefault="00ED5BE2" w14:paraId="2E778215" w14:textId="1E9D56C1">
            <w:pPr/>
            <w:r w:rsidRPr="06910F8B" w:rsidR="3CBB097C">
              <w:rPr>
                <w:rFonts w:eastAsia="Arial"/>
                <w:color w:val="FFFFFF" w:themeColor="background1" w:themeTint="FF" w:themeShade="FF"/>
                <w:sz w:val="19"/>
                <w:szCs w:val="19"/>
              </w:rPr>
              <w:t xml:space="preserve">Director/a de TFM: </w:t>
            </w:r>
          </w:p>
          <w:p w:rsidRPr="003424CA" w:rsidR="00ED5BE2" w:rsidP="06910F8B" w:rsidRDefault="00ED5BE2" w14:paraId="047D2B19" w14:textId="706052F3">
            <w:pPr>
              <w:rPr>
                <w:rFonts w:eastAsia="Arial"/>
                <w:b w:val="1"/>
                <w:bCs w:val="1"/>
                <w:color w:val="FFFFFF" w:themeColor="background1"/>
                <w:sz w:val="19"/>
                <w:szCs w:val="19"/>
              </w:rPr>
            </w:pPr>
            <w:r w:rsidRPr="06910F8B" w:rsidR="630C1159">
              <w:rPr>
                <w:rFonts w:eastAsia="Arial"/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 xml:space="preserve">Cardinale Villarreal, Yudith </w:t>
            </w:r>
            <w:r w:rsidRPr="06910F8B" w:rsidR="630C1159">
              <w:rPr>
                <w:rFonts w:eastAsia="Arial"/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Coromoto</w:t>
            </w:r>
          </w:p>
        </w:tc>
        <w:tc>
          <w:tcPr>
            <w:tcW w:w="3065" w:type="dxa"/>
            <w:tcBorders>
              <w:top w:val="nil"/>
              <w:left w:val="single" w:color="FFFFFF" w:themeColor="background1" w:sz="48" w:space="0"/>
              <w:bottom w:val="nil"/>
              <w:right w:val="nil"/>
            </w:tcBorders>
            <w:shd w:val="clear" w:color="auto" w:fill="E65014"/>
            <w:tcMar/>
          </w:tcPr>
          <w:p w:rsidRPr="003424CA" w:rsidR="00ED5BE2" w:rsidP="00ED5BE2" w:rsidRDefault="00ED5BE2" w14:paraId="6460F461" w14:textId="54E044D5">
            <w:pPr>
              <w:rPr>
                <w:color w:val="FFFFFF" w:themeColor="background1"/>
              </w:rPr>
            </w:pPr>
            <w:r w:rsidRPr="06910F8B" w:rsidR="3CBB097C">
              <w:rPr>
                <w:rFonts w:eastAsia="Arial"/>
                <w:color w:val="FFFFFF" w:themeColor="background1" w:themeTint="FF" w:themeShade="FF"/>
                <w:sz w:val="19"/>
                <w:szCs w:val="19"/>
              </w:rPr>
              <w:t>Convocatoria:</w:t>
            </w:r>
          </w:p>
          <w:p w:rsidR="185AB1D3" w:rsidP="06910F8B" w:rsidRDefault="185AB1D3" w14:paraId="030FB877" w14:textId="35F309B8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both"/>
            </w:pPr>
            <w:r w:rsidRPr="06910F8B" w:rsidR="185AB1D3">
              <w:rPr>
                <w:rFonts w:eastAsia="Arial"/>
                <w:color w:val="FFFFFF" w:themeColor="background1" w:themeTint="FF" w:themeShade="FF"/>
                <w:sz w:val="19"/>
                <w:szCs w:val="19"/>
              </w:rPr>
              <w:t>PRIMERA</w:t>
            </w:r>
          </w:p>
          <w:p w:rsidRPr="003424CA" w:rsidR="00ED5BE2" w:rsidP="00ED5BE2" w:rsidRDefault="00ED5BE2" w14:paraId="77767F39" w14:textId="77777777">
            <w:pPr>
              <w:rPr>
                <w:color w:val="FFFFFF" w:themeColor="background1"/>
              </w:rPr>
            </w:pPr>
          </w:p>
        </w:tc>
      </w:tr>
    </w:tbl>
    <w:p w:rsidR="00906358" w:rsidP="06910F8B" w:rsidRDefault="00906358" w14:paraId="4B7CC5D0" w14:textId="4D117D18">
      <w:pPr>
        <w:pStyle w:val="Normal"/>
        <w:rPr>
          <w:rFonts w:eastAsia="Arial"/>
          <w:sz w:val="20"/>
          <w:szCs w:val="20"/>
        </w:rPr>
        <w:sectPr w:rsidR="00906358">
          <w:pgSz w:w="11906" w:h="16838" w:orient="portrait"/>
          <w:pgMar w:top="708" w:right="1701" w:bottom="794" w:left="1701" w:header="0" w:footer="0" w:gutter="0"/>
          <w:pgNumType w:start="1"/>
          <w:cols w:space="720"/>
          <w:formProt w:val="0"/>
          <w:docGrid w:linePitch="360"/>
          <w:headerReference w:type="default" r:id="R1ca43e5aa9d74e8b"/>
          <w:headerReference w:type="even" r:id="R60b3f28a41e64a8f"/>
          <w:footerReference w:type="default" r:id="R974bbea84c934c1a"/>
          <w:footerReference w:type="even" r:id="Reacde8b01d3348db"/>
        </w:sectPr>
      </w:pPr>
    </w:p>
    <w:bookmarkStart w:id="0" w:name="resumen"/>
    <w:p>
      <w:pPr>
        <w:pStyle w:val="Ttulo1"/>
        <w:pageBreakBefore w:val="0"/>
      </w:pPr>
      <w:r>
        <w:t xml:space="preserve">Resumen</w:t>
      </w:r>
    </w:p>
    <w:p>
      <w:pPr>
        <w:rPr>
          <w:lang w:val="es-ES"/>
        </w:rPr>
      </w:pPr>
      <w:r>
        <w:rPr>
          <w:lang w:val="es-ES"/>
        </w:rPr>
        <w:t xml:space="preserve">La resonancia magnética permite observar los gliomas y medir su extensión. Para ello deben</w:t>
      </w:r>
      <w:r>
        <w:rPr>
          <w:lang w:val="es-ES"/>
        </w:rPr>
        <w:t xml:space="preserve"> </w:t>
      </w:r>
      <w:r>
        <w:rPr>
          <w:lang w:val="es-ES"/>
        </w:rPr>
        <w:t xml:space="preserve">delimitarse las distintas zonas del tumor en imágenes tridimensionales, una tarea manual lenta y que</w:t>
      </w:r>
      <w:r>
        <w:rPr>
          <w:lang w:val="es-ES"/>
        </w:rPr>
        <w:t xml:space="preserve"> </w:t>
      </w:r>
      <w:r>
        <w:rPr>
          <w:lang w:val="es-ES"/>
        </w:rPr>
        <w:t xml:space="preserve">requiere experiencia. Ningún tipo de imagen muestra por sí solo toda la lesión, por lo que suelen</w:t>
      </w:r>
      <w:r>
        <w:rPr>
          <w:lang w:val="es-ES"/>
        </w:rPr>
        <w:t xml:space="preserve"> </w:t>
      </w:r>
      <w:r>
        <w:rPr>
          <w:lang w:val="es-ES"/>
        </w:rPr>
        <w:t xml:space="preserve">combinarse cuatro secuencias complementarias: T1, T1 con contraste, T2 y FLAIR. Este Trabajo de Fin</w:t>
      </w:r>
      <w:r>
        <w:rPr>
          <w:lang w:val="es-ES"/>
        </w:rPr>
        <w:t xml:space="preserve"> </w:t>
      </w:r>
      <w:r>
        <w:rPr>
          <w:lang w:val="es-ES"/>
        </w:rPr>
        <w:t xml:space="preserve">de Máster estudia si ajustar automáticamente la importancia de cada secuencia mejora la segmentación</w:t>
      </w:r>
      <w:r>
        <w:rPr>
          <w:lang w:val="es-ES"/>
        </w:rPr>
        <w:t xml:space="preserve"> </w:t>
      </w:r>
      <w:r>
        <w:rPr>
          <w:lang w:val="es-ES"/>
        </w:rPr>
        <w:t xml:space="preserve">frente a combinarlas directamente.</w:t>
      </w:r>
    </w:p>
    <w:p>
      <w:pPr>
        <w:rPr>
          <w:lang w:val="es-ES"/>
        </w:rPr>
      </w:pPr>
      <w:r>
        <w:rPr>
          <w:lang w:val="es-ES"/>
        </w:rPr>
        <w:t xml:space="preserve">Sobre 1.621 estudios con máscara de BraTS-GLI 2024 se implementó un sistema MONAI con particiones</w:t>
      </w:r>
      <w:r>
        <w:rPr>
          <w:lang w:val="es-ES"/>
        </w:rPr>
        <w:t xml:space="preserve"> </w:t>
      </w:r>
      <w:r>
        <w:rPr>
          <w:lang w:val="es-ES"/>
        </w:rPr>
        <w:t xml:space="preserve">versionadas y configuraciones YAML. Manteniendo fijos la Residual U-Net 3D, los datos y el</w:t>
      </w:r>
      <w:r>
        <w:rPr>
          <w:lang w:val="es-ES"/>
        </w:rPr>
        <w:t xml:space="preserve"> </w:t>
      </w:r>
      <w:r>
        <w:rPr>
          <w:lang w:val="es-ES"/>
        </w:rPr>
        <w:t xml:space="preserve">entrenamiento, se compararon cuatro formas de combinar las imágenes: concatenación directa,</w:t>
      </w:r>
      <w:r>
        <w:rPr>
          <w:lang w:val="es-ES"/>
        </w:rPr>
        <w:t xml:space="preserve"> </w:t>
      </w:r>
      <w:r>
        <w:rPr>
          <w:lang w:val="es-ES"/>
        </w:rPr>
        <w:t xml:space="preserve">ponderación global aprendida e independiente de la entrada y dos métodos adaptativos. Cada</w:t>
      </w:r>
      <w:r>
        <w:rPr>
          <w:lang w:val="es-ES"/>
        </w:rPr>
        <w:t xml:space="preserve"> </w:t>
      </w:r>
      <w:r>
        <w:rPr>
          <w:lang w:val="es-ES"/>
        </w:rPr>
        <w:t xml:space="preserve">estrategia se entrenó con tres semillas. El</w:t>
      </w:r>
      <w:r>
        <w:rPr>
          <w:lang w:val="es-ES"/>
        </w:rPr>
        <w:t xml:space="preserve"> </w:t>
      </w:r>
      <w:r>
        <w:rPr>
          <w:lang w:val="es-ES"/>
        </w:rPr>
        <w:t xml:space="preserve">rendimiento se midió principalmente con Dice, una puntuación entre 0 y 1 que indica cuánto coincide</w:t>
      </w:r>
      <w:r>
        <w:rPr>
          <w:lang w:val="es-ES"/>
        </w:rPr>
        <w:t xml:space="preserve"> </w:t>
      </w:r>
      <w:r>
        <w:rPr>
          <w:lang w:val="es-ES"/>
        </w:rPr>
        <w:t xml:space="preserve">el resultado automático con la segmentación de referencia; cuanto mayor es el valor, mejor es la</w:t>
      </w:r>
      <w:r>
        <w:rPr>
          <w:lang w:val="es-ES"/>
        </w:rPr>
        <w:t xml:space="preserve"> </w:t>
      </w:r>
      <w:r>
        <w:rPr>
          <w:lang w:val="es-ES"/>
        </w:rPr>
        <w:t xml:space="preserve">coincidencia.</w:t>
      </w:r>
    </w:p>
    <w:p>
      <w:pPr>
        <w:rPr>
          <w:lang w:val="es-ES"/>
        </w:rPr>
      </w:pPr>
      <w:r>
        <w:rPr>
          <w:lang w:val="es-ES"/>
        </w:rPr>
        <w:t xml:space="preserve">La concatenación directa y la ponderación global aprendida obtuvieron un Dice medio de 0,706. Los</w:t>
      </w:r>
      <w:r>
        <w:rPr>
          <w:lang w:val="es-ES"/>
        </w:rPr>
        <w:t xml:space="preserve"> </w:t>
      </w:r>
      <w:r>
        <w:rPr>
          <w:lang w:val="es-ES"/>
        </w:rPr>
        <w:t xml:space="preserve">métodos adaptativos quedaron alrededor de 0,59 y fueron más variables, con una ejecución</w:t>
      </w:r>
      <w:r>
        <w:rPr>
          <w:lang w:val="es-ES"/>
        </w:rPr>
        <w:t xml:space="preserve"> </w:t>
      </w:r>
      <w:r>
        <w:rPr>
          <w:lang w:val="es-ES"/>
        </w:rPr>
        <w:t xml:space="preserve">de bajo rendimiento en cada caso. Un diagnóstico exploratorio de ejecuciones preliminares sobre 40</w:t>
      </w:r>
      <w:r>
        <w:rPr>
          <w:lang w:val="es-ES"/>
        </w:rPr>
        <w:t xml:space="preserve"> </w:t>
      </w:r>
      <w:r>
        <w:rPr>
          <w:lang w:val="es-ES"/>
        </w:rPr>
        <w:t xml:space="preserve">volúmenes completos mostró pesos casi constantes entre estudios; como el modelo opera con parches y</w:t>
      </w:r>
      <w:r>
        <w:rPr>
          <w:lang w:val="es-ES"/>
        </w:rPr>
        <w:t xml:space="preserve"> </w:t>
      </w:r>
      <w:r>
        <w:rPr>
          <w:lang w:val="es-ES"/>
        </w:rPr>
        <w:t xml:space="preserve">ventanas, esta comprobación no determina su variación durante la segmentación ni describe los</w:t>
      </w:r>
      <w:r>
        <w:rPr>
          <w:lang w:val="es-ES"/>
        </w:rPr>
        <w:t xml:space="preserve"> </w:t>
      </w:r>
      <w:r>
        <w:rPr>
          <w:lang w:val="es-ES"/>
        </w:rPr>
        <w:t xml:space="preserve">puntos de control finales. En cualquier caso, los métodos adaptativos no ofrecieron una mejora</w:t>
      </w:r>
      <w:r>
        <w:rPr>
          <w:lang w:val="es-ES"/>
        </w:rPr>
        <w:t xml:space="preserve"> </w:t>
      </w:r>
      <w:r>
        <w:rPr>
          <w:lang w:val="es-ES"/>
        </w:rPr>
        <w:t xml:space="preserve">consistente. Otros modelos, incluido uno basado en Transformers, se evaluaron únicamente como</w:t>
      </w:r>
      <w:r>
        <w:rPr>
          <w:lang w:val="es-ES"/>
        </w:rPr>
        <w:t xml:space="preserve"> </w:t>
      </w:r>
      <w:r>
        <w:rPr>
          <w:lang w:val="es-ES"/>
        </w:rPr>
        <w:t xml:space="preserve">referencia para situar este resultado en un contexto más amplio.</w:t>
      </w:r>
    </w:p>
    <w:p>
      <w:pPr>
        <w:rPr>
          <w:lang w:val="es-ES"/>
        </w:rPr>
      </w:pPr>
      <w:r>
        <w:rPr>
          <w:lang w:val="es-ES"/>
        </w:rPr>
        <w:t xml:space="preserve">Los datos se separaron por estudio de imagen y no por paciente, de modo que exploraciones de una</w:t>
      </w:r>
      <w:r>
        <w:rPr>
          <w:lang w:val="es-ES"/>
        </w:rPr>
        <w:t xml:space="preserve"> </w:t>
      </w:r>
      <w:r>
        <w:rPr>
          <w:lang w:val="es-ES"/>
        </w:rPr>
        <w:t xml:space="preserve">misma persona pueden aparecer en conjuntos diferentes. El reparto permite comparar las estrategias</w:t>
      </w:r>
      <w:r>
        <w:rPr>
          <w:lang w:val="es-ES"/>
        </w:rPr>
        <w:t xml:space="preserve"> </w:t>
      </w:r>
      <w:r>
        <w:rPr>
          <w:lang w:val="es-ES"/>
        </w:rPr>
        <w:t xml:space="preserve">entre sí, pero no medir de forma independiente el rendimiento en pacientes nuevos ni demostrar</w:t>
      </w:r>
      <w:r>
        <w:rPr>
          <w:lang w:val="es-ES"/>
        </w:rPr>
        <w:t xml:space="preserve"> </w:t>
      </w:r>
      <w:r>
        <w:rPr>
          <w:lang w:val="es-ES"/>
        </w:rPr>
        <w:t xml:space="preserve">utilidad clínica. En las condiciones analizadas, la concatenación directa fue la opción más sencilla</w:t>
      </w:r>
      <w:r>
        <w:rPr>
          <w:lang w:val="es-ES"/>
        </w:rPr>
        <w:t xml:space="preserve"> </w:t>
      </w:r>
      <w:r>
        <w:rPr>
          <w:lang w:val="es-ES"/>
        </w:rPr>
        <w:t xml:space="preserve">y una de las más estables. Esta conclusión se limita a los métodos estudiados y no descarta otros</w:t>
      </w:r>
      <w:r>
        <w:rPr>
          <w:lang w:val="es-ES"/>
        </w:rPr>
        <w:t xml:space="preserve"> </w:t>
      </w:r>
      <w:r>
        <w:rPr>
          <w:lang w:val="es-ES"/>
        </w:rPr>
        <w:t xml:space="preserve">diseños adaptativos.</w:t>
      </w:r>
    </w:p>
    <w:p>
      <w:pPr>
        <w:rPr>
          <w:lang w:val="es-ES"/>
        </w:rPr>
      </w:pPr>
      <w:r>
        <w:rPr>
          <w:b/>
          <w:bCs/>
          <w:lang w:val="es-ES"/>
        </w:rPr>
        <w:t xml:space="preserve">Palabras clave:</w:t>
      </w:r>
      <w:r>
        <w:rPr>
          <w:lang w:val="es-ES"/>
        </w:rPr>
        <w:t xml:space="preserve"> </w:t>
      </w:r>
      <w:r>
        <w:rPr>
          <w:lang w:val="es-ES"/>
        </w:rPr>
        <w:t xml:space="preserve">segmentación de gliomas; resonancia magnética multimodal; BraTS-GLI 2024;</w:t>
      </w:r>
      <w:r>
        <w:rPr>
          <w:lang w:val="es-ES"/>
        </w:rPr>
        <w:t xml:space="preserve"> </w:t>
      </w:r>
      <w:r>
        <w:rPr>
          <w:lang w:val="es-ES"/>
        </w:rPr>
        <w:t xml:space="preserve">aprendizaje profundo; fusión adaptativa; MONAI; segmentación 3D.</w:t>
      </w:r>
    </w:p>
    <w:bookmarkEnd w:id="0"/>
    <w:bookmarkStart w:id="1" w:name="abstract"/>
    <w:p>
      <w:pPr>
        <w:pStyle w:val="Ttulo1"/>
        <w:pageBreakBefore/>
      </w:pPr>
      <w:r>
        <w:t xml:space="preserve">Abstract</w:t>
      </w:r>
    </w:p>
    <w:p>
      <w:pPr>
        <w:rPr>
          <w:lang w:val="en-US"/>
        </w:rPr>
      </w:pPr>
      <w:r>
        <w:rPr>
          <w:lang w:val="en-US"/>
        </w:rPr>
        <w:t xml:space="preserve">Magnetic resonance imaging makes it possible to observe gliomas and assess their extent. This</w:t>
      </w:r>
      <w:r>
        <w:rPr>
          <w:lang w:val="en-US"/>
        </w:rPr>
        <w:t xml:space="preserve"> </w:t>
      </w:r>
      <w:r>
        <w:rPr>
          <w:lang w:val="en-US"/>
        </w:rPr>
        <w:t xml:space="preserve">requires delineating different tumour regions in three-dimensional images, a slow manual task that</w:t>
      </w:r>
      <w:r>
        <w:rPr>
          <w:lang w:val="en-US"/>
        </w:rPr>
        <w:t xml:space="preserve"> </w:t>
      </w:r>
      <w:r>
        <w:rPr>
          <w:lang w:val="en-US"/>
        </w:rPr>
        <w:t xml:space="preserve">demands expertise. No single type of image shows the entire lesion, so four complementary MRI</w:t>
      </w:r>
      <w:r>
        <w:rPr>
          <w:lang w:val="en-US"/>
        </w:rPr>
        <w:t xml:space="preserve"> </w:t>
      </w:r>
      <w:r>
        <w:rPr>
          <w:lang w:val="en-US"/>
        </w:rPr>
        <w:t xml:space="preserve">sequences are commonly combined: T1, contrast-enhanced T1, T2, and FLAIR. This Master’s Thesis</w:t>
      </w:r>
      <w:r>
        <w:rPr>
          <w:lang w:val="en-US"/>
        </w:rPr>
        <w:t xml:space="preserve"> </w:t>
      </w:r>
      <w:r>
        <w:rPr>
          <w:lang w:val="en-US"/>
        </w:rPr>
        <w:t xml:space="preserve">examines whether automatically adjusting the importance of each sequence improves segmentation</w:t>
      </w:r>
      <w:r>
        <w:rPr>
          <w:lang w:val="en-US"/>
        </w:rPr>
        <w:t xml:space="preserve"> </w:t>
      </w:r>
      <w:r>
        <w:rPr>
          <w:lang w:val="en-US"/>
        </w:rPr>
        <w:t xml:space="preserve">compared with combining them directly.</w:t>
      </w:r>
    </w:p>
    <w:p>
      <w:pPr>
        <w:rPr>
          <w:lang w:val="en-US"/>
        </w:rPr>
      </w:pPr>
      <w:r>
        <w:rPr>
          <w:lang w:val="en-US"/>
        </w:rPr>
        <w:t xml:space="preserve">A MONAI system with versioned data splits and YAML configurations was implemented using 1,621</w:t>
      </w:r>
      <w:r>
        <w:rPr>
          <w:lang w:val="en-US"/>
        </w:rPr>
        <w:t xml:space="preserve"> </w:t>
      </w:r>
      <w:r>
        <w:rPr>
          <w:lang w:val="en-US"/>
        </w:rPr>
        <w:t xml:space="preserve">labelled studies from BraTS-GLI 2024. Four ways of combining the images were compared while keeping</w:t>
      </w:r>
      <w:r>
        <w:rPr>
          <w:lang w:val="en-US"/>
        </w:rPr>
        <w:t xml:space="preserve"> </w:t>
      </w:r>
      <w:r>
        <w:rPr>
          <w:lang w:val="en-US"/>
        </w:rPr>
        <w:t xml:space="preserve">the same 3D Residual U-Net, data, and training: direct concatenation, learned global,</w:t>
      </w:r>
      <w:r>
        <w:rPr>
          <w:lang w:val="en-US"/>
        </w:rPr>
        <w:t xml:space="preserve"> </w:t>
      </w:r>
      <w:r>
        <w:rPr>
          <w:lang w:val="en-US"/>
        </w:rPr>
        <w:t xml:space="preserve">input-independent weighting, and two adaptive methods. Each strategy was trained with three seeds.</w:t>
      </w:r>
      <w:r>
        <w:rPr>
          <w:lang w:val="en-US"/>
        </w:rPr>
        <w:t xml:space="preserve"> </w:t>
      </w:r>
      <w:r>
        <w:rPr>
          <w:lang w:val="en-US"/>
        </w:rPr>
        <w:t xml:space="preserve">Performance was measured mainly with Dice, a score between 0 and 1 that indicates how closely the</w:t>
      </w:r>
      <w:r>
        <w:rPr>
          <w:lang w:val="en-US"/>
        </w:rPr>
        <w:t xml:space="preserve"> </w:t>
      </w:r>
      <w:r>
        <w:rPr>
          <w:lang w:val="en-US"/>
        </w:rPr>
        <w:t xml:space="preserve">automatic result matches the reference segmentation; a higher value means greater agreement.</w:t>
      </w:r>
    </w:p>
    <w:p>
      <w:pPr>
        <w:rPr>
          <w:lang w:val="en-US"/>
        </w:rPr>
      </w:pPr>
      <w:r>
        <w:rPr>
          <w:lang w:val="en-US"/>
        </w:rPr>
        <w:t xml:space="preserve">Direct concatenation and learned global, input-independent weighting both achieved a mean Dice</w:t>
      </w:r>
      <w:r>
        <w:rPr>
          <w:lang w:val="en-US"/>
        </w:rPr>
        <w:t xml:space="preserve"> </w:t>
      </w:r>
      <w:r>
        <w:rPr>
          <w:lang w:val="en-US"/>
        </w:rPr>
        <w:t xml:space="preserve">score of 0.706. The adaptive methods scored around 0.59 and were more variable, with one</w:t>
      </w:r>
      <w:r>
        <w:rPr>
          <w:lang w:val="en-US"/>
        </w:rPr>
        <w:t xml:space="preserve"> </w:t>
      </w:r>
      <w:r>
        <w:rPr>
          <w:lang w:val="en-US"/>
        </w:rPr>
        <w:t xml:space="preserve">low-performing run in each case. An exploratory diagnostic of preliminary runs on 40 full volumes</w:t>
      </w:r>
      <w:r>
        <w:rPr>
          <w:lang w:val="en-US"/>
        </w:rPr>
        <w:t xml:space="preserve"> </w:t>
      </w:r>
      <w:r>
        <w:rPr>
          <w:lang w:val="en-US"/>
        </w:rPr>
        <w:t xml:space="preserve">found nearly constant weights across studies; because the model operates on patches and sliding</w:t>
      </w:r>
      <w:r>
        <w:rPr>
          <w:lang w:val="en-US"/>
        </w:rPr>
        <w:t xml:space="preserve"> </w:t>
      </w:r>
      <w:r>
        <w:rPr>
          <w:lang w:val="en-US"/>
        </w:rPr>
        <w:t xml:space="preserve">windows, this check does not establish how much the weights vary during segmentation or describe</w:t>
      </w:r>
      <w:r>
        <w:rPr>
          <w:lang w:val="en-US"/>
        </w:rPr>
        <w:t xml:space="preserve"> </w:t>
      </w:r>
      <w:r>
        <w:rPr>
          <w:lang w:val="en-US"/>
        </w:rPr>
        <w:t xml:space="preserve">the final checkpoints. In any case, the adaptive methods did not provide a consistent improvement.</w:t>
      </w:r>
      <w:r>
        <w:rPr>
          <w:lang w:val="en-US"/>
        </w:rPr>
        <w:t xml:space="preserve"> </w:t>
      </w:r>
      <w:r>
        <w:rPr>
          <w:lang w:val="en-US"/>
        </w:rPr>
        <w:t xml:space="preserve">Other models, including a Transformer-based model, were evaluated only as references to place this</w:t>
      </w:r>
      <w:r>
        <w:rPr>
          <w:lang w:val="en-US"/>
        </w:rPr>
        <w:t xml:space="preserve"> </w:t>
      </w:r>
      <w:r>
        <w:rPr>
          <w:lang w:val="en-US"/>
        </w:rPr>
        <w:t xml:space="preserve">result in a broader context.</w:t>
      </w:r>
    </w:p>
    <w:p>
      <w:pPr>
        <w:rPr>
          <w:lang w:val="en-US"/>
        </w:rPr>
      </w:pPr>
      <w:r>
        <w:rPr>
          <w:lang w:val="en-US"/>
        </w:rPr>
        <w:t xml:space="preserve">The data were split by imaging study rather than by patient, so scans from the same person may</w:t>
      </w:r>
      <w:r>
        <w:rPr>
          <w:lang w:val="en-US"/>
        </w:rPr>
        <w:t xml:space="preserve"> </w:t>
      </w:r>
      <w:r>
        <w:rPr>
          <w:lang w:val="en-US"/>
        </w:rPr>
        <w:t xml:space="preserve">appear in different sets. This supports a comparison between the strategies, but it does not</w:t>
      </w:r>
      <w:r>
        <w:rPr>
          <w:lang w:val="en-US"/>
        </w:rPr>
        <w:t xml:space="preserve"> </w:t>
      </w:r>
      <w:r>
        <w:rPr>
          <w:lang w:val="en-US"/>
        </w:rPr>
        <w:t xml:space="preserve">independently measure performance on new patients or demonstrate clinical usefulness. Under the</w:t>
      </w:r>
      <w:r>
        <w:rPr>
          <w:lang w:val="en-US"/>
        </w:rPr>
        <w:t xml:space="preserve"> </w:t>
      </w:r>
      <w:r>
        <w:rPr>
          <w:lang w:val="en-US"/>
        </w:rPr>
        <w:t xml:space="preserve">evaluated conditions, direct concatenation was the simplest option and one of the most stable. This</w:t>
      </w:r>
      <w:r>
        <w:rPr>
          <w:lang w:val="en-US"/>
        </w:rPr>
        <w:t xml:space="preserve"> </w:t>
      </w:r>
      <w:r>
        <w:rPr>
          <w:lang w:val="en-US"/>
        </w:rPr>
        <w:t xml:space="preserve">conclusion is limited to the methods studied and does not rule out other adaptive designs.</w:t>
      </w:r>
    </w:p>
    <w:p>
      <w:pPr>
        <w:rPr>
          <w:lang w:val="en-US"/>
        </w:rPr>
      </w:pPr>
      <w:r>
        <w:rPr>
          <w:b/>
          <w:bCs/>
          <w:lang w:val="en-US"/>
        </w:rPr>
        <w:t xml:space="preserve">Keywords:</w:t>
      </w:r>
      <w:r>
        <w:rPr>
          <w:lang w:val="en-US"/>
        </w:rPr>
        <w:t xml:space="preserve"> </w:t>
      </w:r>
      <w:r>
        <w:rPr>
          <w:lang w:val="en-US"/>
        </w:rPr>
        <w:t xml:space="preserve">glioma segmentation; multimodal magnetic resonance imaging; BraTS-GLI 2024; deep</w:t>
      </w:r>
      <w:r>
        <w:rPr>
          <w:lang w:val="en-US"/>
        </w:rPr>
        <w:t xml:space="preserve"> </w:t>
      </w:r>
      <w:r>
        <w:rPr>
          <w:lang w:val="en-US"/>
        </w:rPr>
        <w:t xml:space="preserve">learning; adaptive fusion; MONAI; 3D segmentation.</w:t>
      </w:r>
    </w:p>
    <w:bookmarkEnd w:id="1"/>
    <w:bookmarkStart w:id="2" w:name="introducción"/>
    <w:p>
      <w:pPr>
        <w:pStyle w:val="TtuloTDC"/>
        <w:keepNext/>
        <w:pageBreakBefore/>
        <w:spacing w:after="240"/>
      </w:pPr>
      <w:r>
        <w:t>Índice general</w:t>
      </w:r>
    </w:p>
    <w:p>
      <w:pPr>
        <w:jc w:val="left"/>
        <w:rPr>
          <w:lang w:val="es-ES"/>
        </w:rPr>
      </w:pPr>
      <w:r>
        <w:rPr>
          <w:lang w:val="es-ES"/>
        </w:rPr>
        <w:fldChar w:fldCharType="begin" w:dirty="true"/>
      </w:r>
      <w:r>
        <w:rPr>
          <w:lang w:val="es-ES"/>
        </w:rPr>
        <w:instrText xml:space="preserve"> TOC \o "1-3" \h \z \u </w:instrText>
      </w:r>
      <w:r>
        <w:rPr>
          <w:lang w:val="es-ES"/>
        </w:rPr>
        <w:fldChar w:fldCharType="separate"/>
      </w:r>
      <w:r>
        <w:rPr>
          <w:color w:val="7F7F7F"/>
          <w:i/>
          <w:lang w:val="es-ES"/>
        </w:rPr>
        <w:t>Actualizar este índice en Microsoft Word (Ctrl+A y F9).</w:t>
      </w:r>
      <w:r>
        <w:rPr>
          <w:lang w:val="es-ES"/>
        </w:rPr>
        <w:fldChar w:fldCharType="end"/>
      </w:r>
    </w:p>
    <w:p>
      <w:pPr>
        <w:pStyle w:val="TtuloTDC"/>
        <w:keepNext/>
        <w:pageBreakBefore/>
        <w:spacing w:after="240"/>
      </w:pPr>
      <w:r>
        <w:t>Índice de figuras</w:t>
      </w:r>
    </w:p>
    <w:p>
      <w:pPr>
        <w:jc w:val="left"/>
        <w:rPr>
          <w:lang w:val="es-ES"/>
        </w:rPr>
      </w:pPr>
      <w:r>
        <w:rPr>
          <w:lang w:val="es-ES"/>
        </w:rPr>
        <w:fldChar w:fldCharType="begin" w:dirty="true"/>
      </w:r>
      <w:r>
        <w:rPr>
          <w:lang w:val="es-ES"/>
        </w:rPr>
        <w:instrText xml:space="preserve"> TOC \c "Figura" \h \z </w:instrText>
      </w:r>
      <w:r>
        <w:rPr>
          <w:lang w:val="es-ES"/>
        </w:rPr>
        <w:fldChar w:fldCharType="separate"/>
      </w:r>
      <w:r>
        <w:rPr>
          <w:color w:val="7F7F7F"/>
          <w:i/>
          <w:lang w:val="es-ES"/>
        </w:rPr>
        <w:t>Actualizar este índice en Microsoft Word (Ctrl+A y F9).</w:t>
      </w:r>
      <w:r>
        <w:rPr>
          <w:lang w:val="es-ES"/>
        </w:rPr>
        <w:fldChar w:fldCharType="end"/>
      </w:r>
    </w:p>
    <w:p>
      <w:pPr>
        <w:pStyle w:val="TtuloTDC"/>
        <w:keepNext/>
        <w:pageBreakBefore/>
        <w:spacing w:after="240"/>
      </w:pPr>
      <w:r>
        <w:t>Índice de tablas</w:t>
      </w:r>
    </w:p>
    <w:p>
      <w:pPr>
        <w:jc w:val="left"/>
        <w:rPr>
          <w:lang w:val="es-ES"/>
        </w:rPr>
      </w:pPr>
      <w:r>
        <w:rPr>
          <w:lang w:val="es-ES"/>
        </w:rPr>
        <w:fldChar w:fldCharType="begin" w:dirty="true"/>
      </w:r>
      <w:r>
        <w:rPr>
          <w:lang w:val="es-ES"/>
        </w:rPr>
        <w:instrText xml:space="preserve"> TOC \c "Tabla" \h \z </w:instrText>
      </w:r>
      <w:r>
        <w:rPr>
          <w:lang w:val="es-ES"/>
        </w:rPr>
        <w:fldChar w:fldCharType="separate"/>
      </w:r>
      <w:r>
        <w:rPr>
          <w:color w:val="7F7F7F"/>
          <w:i/>
          <w:lang w:val="es-ES"/>
        </w:rPr>
        <w:t>Actualizar este índice en Microsoft Word (Ctrl+A y F9).</w:t>
      </w:r>
      <w:r>
        <w:rPr>
          <w:lang w:val="es-ES"/>
        </w:rPr>
        <w:fldChar w:fldCharType="end"/>
      </w:r>
    </w:p>
    <w:p>
      <w:pPr>
        <w:pStyle w:val="Ttulo1"/>
        <w:pageBreakBefore/>
      </w:pPr>
      <w:r>
        <w:t xml:space="preserve">1. Introducción</w:t>
      </w:r>
    </w:p>
    <w:p>
      <w:pPr>
        <w:rPr>
          <w:lang w:val="es-ES"/>
        </w:rPr>
      </w:pPr>
      <w:r>
        <w:rPr>
          <w:lang w:val="es-ES"/>
        </w:rPr>
        <w:t xml:space="preserve">La segmentación tridimensional de gliomas mediante resonancia magnética (RM) combina T1n, T1c, T2w</w:t>
      </w:r>
      <w:r>
        <w:rPr>
          <w:lang w:val="es-ES"/>
        </w:rPr>
        <w:t xml:space="preserve"> </w:t>
      </w:r>
      <w:r>
        <w:rPr>
          <w:lang w:val="es-ES"/>
        </w:rPr>
        <w:t xml:space="preserve">y FLAIR porque cada secuencia destaca componentes distintos de la</w:t>
      </w:r>
      <w:r>
        <w:rPr>
          <w:lang w:val="es-ES"/>
        </w:rPr>
        <w:t xml:space="preserve"> </w:t>
      </w:r>
      <w:r>
        <w:rPr>
          <w:lang w:val="es-ES"/>
        </w:rPr>
        <w:t xml:space="preserve">lesión. La decisión estudiada en este trabajo no consiste solo en introducir las cuatro modalidades</w:t>
      </w:r>
      <w:r>
        <w:rPr>
          <w:lang w:val="es-ES"/>
        </w:rPr>
        <w:t xml:space="preserve"> </w:t>
      </w:r>
      <w:r>
        <w:rPr>
          <w:lang w:val="es-ES"/>
        </w:rPr>
        <w:t xml:space="preserve">en una red, sino en determinar si una ponderación explícita y dependiente de la entrada mejora su</w:t>
      </w:r>
      <w:r>
        <w:rPr>
          <w:lang w:val="es-ES"/>
        </w:rPr>
        <w:t xml:space="preserve"> </w:t>
      </w:r>
      <w:r>
        <w:rPr>
          <w:lang w:val="es-ES"/>
        </w:rPr>
        <w:t xml:space="preserve">combinación sin cambiar la arquitectura de segmentación ni aumentar sustancialmente su coste.</w:t>
      </w:r>
    </w:p>
    <w:bookmarkStart w:id="3" w:name="contexto-y-motivación"/>
    <w:p>
      <w:pPr>
        <w:pStyle w:val="Ttulo2"/>
      </w:pPr>
      <w:r>
        <w:t xml:space="preserve">1.1. Contexto y motivación</w:t>
      </w:r>
    </w:p>
    <w:p>
      <w:pPr>
        <w:rPr>
          <w:lang w:val="es-ES"/>
        </w:rPr>
      </w:pPr>
      <w:r>
        <w:rPr>
          <w:lang w:val="es-ES"/>
        </w:rPr>
        <w:t xml:space="preserve">La RM es la principal técnica de imagen empleada para evaluar gliomas. Su contraste entre tejidos</w:t>
      </w:r>
      <w:r>
        <w:rPr>
          <w:lang w:val="es-ES"/>
        </w:rPr>
        <w:t xml:space="preserve"> </w:t>
      </w:r>
      <w:r>
        <w:rPr>
          <w:lang w:val="es-ES"/>
        </w:rPr>
        <w:t xml:space="preserve">blandos aporta información para caracterizar la lesión, planificar la cirugía y la radioterapia y</w:t>
      </w:r>
      <w:r>
        <w:rPr>
          <w:lang w:val="es-ES"/>
        </w:rPr>
        <w:t xml:space="preserve"> </w:t>
      </w:r>
      <w:r>
        <w:rPr>
          <w:lang w:val="es-ES"/>
        </w:rPr>
        <w:t xml:space="preserve">seguir la evolución de la enfermedad. Estas funciones son especialmente relevantes ante la</w:t>
      </w:r>
      <w:r>
        <w:rPr>
          <w:lang w:val="es-ES"/>
        </w:rPr>
        <w:t xml:space="preserve"> </w:t>
      </w:r>
      <w:r>
        <w:rPr>
          <w:lang w:val="es-ES"/>
        </w:rPr>
        <w:t xml:space="preserve">heterogeneidad biológica de los gliomas y la necesidad de preservar estructuras funcionales del</w:t>
      </w:r>
      <w:r>
        <w:rPr>
          <w:lang w:val="es-ES"/>
        </w:rPr>
        <w:t xml:space="preserve"> </w:t>
      </w:r>
      <w:r>
        <w:rPr>
          <w:lang w:val="es-ES"/>
        </w:rPr>
        <w:t xml:space="preserve">sistema nervioso central durante el tratamiento (Langen et al., 2017; Khalighi et al., 2024).</w:t>
      </w:r>
    </w:p>
    <w:p>
      <w:pPr>
        <w:rPr>
          <w:lang w:val="es-ES"/>
        </w:rPr>
      </w:pPr>
      <w:r>
        <w:rPr>
          <w:lang w:val="es-ES"/>
        </w:rPr>
        <w:t xml:space="preserve">La evaluación de los gliomas mediante RM tiene un carácter multiparamétrico. En segmentación</w:t>
      </w:r>
      <w:r>
        <w:rPr>
          <w:lang w:val="es-ES"/>
        </w:rPr>
        <w:t xml:space="preserve"> </w:t>
      </w:r>
      <w:r>
        <w:rPr>
          <w:lang w:val="es-ES"/>
        </w:rPr>
        <w:t xml:space="preserve">automática se emplean habitualmente cuatro secuencias convencionales: T1 nativa (T1n), T1 con</w:t>
      </w:r>
      <w:r>
        <w:rPr>
          <w:lang w:val="es-ES"/>
        </w:rPr>
        <w:t xml:space="preserve"> </w:t>
      </w:r>
      <w:r>
        <w:rPr>
          <w:lang w:val="es-ES"/>
        </w:rPr>
        <w:t xml:space="preserve">contraste (T1c), T2 ponderada (T2w) y recuperación de la inversión atenuada por fluido (FLAIR). La</w:t>
      </w:r>
      <w:r>
        <w:rPr>
          <w:lang w:val="es-ES"/>
        </w:rPr>
        <w:t xml:space="preserve"> </w:t>
      </w:r>
      <w:r>
        <w:rPr>
          <w:lang w:val="es-ES"/>
        </w:rPr>
        <w:t xml:space="preserve">secuencia T1n proporciona una referencia anatómica de base, mientras que T1c permite identificar las</w:t>
      </w:r>
      <w:r>
        <w:rPr>
          <w:lang w:val="es-ES"/>
        </w:rPr>
        <w:t xml:space="preserve"> </w:t>
      </w:r>
      <w:r>
        <w:rPr>
          <w:lang w:val="es-ES"/>
        </w:rPr>
        <w:t xml:space="preserve">regiones que realzan tras la administración de contraste, asociado al aumento de permeabilidad de la</w:t>
      </w:r>
      <w:r>
        <w:rPr>
          <w:lang w:val="es-ES"/>
        </w:rPr>
        <w:t xml:space="preserve"> </w:t>
      </w:r>
      <w:r>
        <w:rPr>
          <w:lang w:val="es-ES"/>
        </w:rPr>
        <w:t xml:space="preserve">barrera hematoencefálica. Sin embargo, ese realce no representa por sí solo toda la extensión del</w:t>
      </w:r>
      <w:r>
        <w:rPr>
          <w:lang w:val="es-ES"/>
        </w:rPr>
        <w:t xml:space="preserve"> </w:t>
      </w:r>
      <w:r>
        <w:rPr>
          <w:lang w:val="es-ES"/>
        </w:rPr>
        <w:t xml:space="preserve">tejido tumoral biológicamente activo. Las secuencias T2w y FLAIR son sensibles al aumento del</w:t>
      </w:r>
      <w:r>
        <w:rPr>
          <w:lang w:val="es-ES"/>
        </w:rPr>
        <w:t xml:space="preserve"> </w:t>
      </w:r>
      <w:r>
        <w:rPr>
          <w:lang w:val="es-ES"/>
        </w:rPr>
        <w:t xml:space="preserve">contenido de agua. En particular, FLAIR suprime la señal del líquido cefalorraquídeo y facilita la</w:t>
      </w:r>
      <w:r>
        <w:rPr>
          <w:lang w:val="es-ES"/>
        </w:rPr>
        <w:t xml:space="preserve"> </w:t>
      </w:r>
      <w:r>
        <w:rPr>
          <w:lang w:val="es-ES"/>
        </w:rPr>
        <w:t xml:space="preserve">visualización de alteraciones peritumorales que pueden incluir edema e infiltración. Ninguna</w:t>
      </w:r>
      <w:r>
        <w:rPr>
          <w:lang w:val="es-ES"/>
        </w:rPr>
        <w:t xml:space="preserve"> </w:t>
      </w:r>
      <w:r>
        <w:rPr>
          <w:lang w:val="es-ES"/>
        </w:rPr>
        <w:t xml:space="preserve">modalidad describe por sí sola toda la lesión, por lo que se combinan para delimitar sus subregiones</w:t>
      </w:r>
      <w:r>
        <w:rPr>
          <w:lang w:val="es-ES"/>
        </w:rPr>
        <w:t xml:space="preserve"> </w:t>
      </w:r>
      <w:r>
        <w:rPr>
          <w:lang w:val="es-ES"/>
        </w:rPr>
        <w:t xml:space="preserve">(Langen et al., 2017; Kouli et al., 2022). En este experimento, las regiones objetivo son el tumor</w:t>
      </w:r>
      <w:r>
        <w:rPr>
          <w:lang w:val="es-ES"/>
        </w:rPr>
        <w:t xml:space="preserve"> </w:t>
      </w:r>
      <w:r>
        <w:rPr>
          <w:lang w:val="es-ES"/>
        </w:rPr>
        <w:t xml:space="preserve">realzante (ET), el núcleo tumoral (TC) y el tumor completo (WT), de acuerdo con la definición de</w:t>
      </w:r>
      <w:r>
        <w:rPr>
          <w:lang w:val="es-ES"/>
        </w:rPr>
        <w:t xml:space="preserve"> </w:t>
      </w:r>
      <w:r>
        <w:rPr>
          <w:lang w:val="es-ES"/>
        </w:rPr>
        <w:t xml:space="preserve">BraTS-GLI 2024 (de Verdier et al., 2024).</w:t>
      </w:r>
    </w:p>
    <w:p>
      <w:pPr>
        <w:rPr>
          <w:lang w:val="es-ES"/>
        </w:rPr>
      </w:pPr>
      <w:r>
        <w:rPr>
          <w:lang w:val="es-ES"/>
        </w:rPr>
        <w:t xml:space="preserve">Cuando se requiere una cuantificación volumétrica, la delimitación manual de estas regiones por</w:t>
      </w:r>
      <w:r>
        <w:rPr>
          <w:lang w:val="es-ES"/>
        </w:rPr>
        <w:t xml:space="preserve"> </w:t>
      </w:r>
      <w:r>
        <w:rPr>
          <w:lang w:val="es-ES"/>
        </w:rPr>
        <w:t xml:space="preserve">especialistas resulta compleja y costosa. Los límites difusos, la heterogeneidad de intensidades y</w:t>
      </w:r>
      <w:r>
        <w:rPr>
          <w:lang w:val="es-ES"/>
        </w:rPr>
        <w:t xml:space="preserve"> </w:t>
      </w:r>
      <w:r>
        <w:rPr>
          <w:lang w:val="es-ES"/>
        </w:rPr>
        <w:t xml:space="preserve">la extensión tridimensional favorecen la variabilidad entre observadores e incluso entre anotaciones</w:t>
      </w:r>
      <w:r>
        <w:rPr>
          <w:lang w:val="es-ES"/>
        </w:rPr>
        <w:t xml:space="preserve"> </w:t>
      </w:r>
      <w:r>
        <w:rPr>
          <w:lang w:val="es-ES"/>
        </w:rPr>
        <w:t xml:space="preserve">de un mismo profesional, además de consumir un tiempo considerable. La segmentación automática se</w:t>
      </w:r>
      <w:r>
        <w:rPr>
          <w:lang w:val="es-ES"/>
        </w:rPr>
        <w:t xml:space="preserve"> </w:t>
      </w:r>
      <w:r>
        <w:rPr>
          <w:lang w:val="es-ES"/>
        </w:rPr>
        <w:t xml:space="preserve">plantea, por tanto, como herramienta de apoyo capaz de reducir la carga de trabajo y proporcionar</w:t>
      </w:r>
      <w:r>
        <w:rPr>
          <w:lang w:val="es-ES"/>
        </w:rPr>
        <w:t xml:space="preserve"> </w:t>
      </w:r>
      <w:r>
        <w:rPr>
          <w:lang w:val="es-ES"/>
        </w:rPr>
        <w:t xml:space="preserve">estimaciones más consistentes. Aun así, el problema no está resuelto: el rendimiento disminuye en</w:t>
      </w:r>
      <w:r>
        <w:rPr>
          <w:lang w:val="es-ES"/>
        </w:rPr>
        <w:t xml:space="preserve"> </w:t>
      </w:r>
      <w:r>
        <w:rPr>
          <w:lang w:val="es-ES"/>
        </w:rPr>
        <w:t xml:space="preserve">algunas subregiones y la generalización a imágenes de otros centros continúa siendo un reto (Kouli</w:t>
      </w:r>
      <w:r>
        <w:rPr>
          <w:lang w:val="es-ES"/>
        </w:rPr>
        <w:t xml:space="preserve"> </w:t>
      </w:r>
      <w:r>
        <w:rPr>
          <w:lang w:val="es-ES"/>
        </w:rPr>
        <w:t xml:space="preserve">et al., 2022). Además, unas métricas favorables no garantizan por sí solas la utilidad clínica, que</w:t>
      </w:r>
      <w:r>
        <w:rPr>
          <w:lang w:val="es-ES"/>
        </w:rPr>
        <w:t xml:space="preserve"> </w:t>
      </w:r>
      <w:r>
        <w:rPr>
          <w:lang w:val="es-ES"/>
        </w:rPr>
        <w:t xml:space="preserve">requiere evaluación por especialistas (Hoebel et al., 2024).</w:t>
      </w:r>
    </w:p>
    <w:p>
      <w:pPr>
        <w:rPr>
          <w:lang w:val="es-ES"/>
        </w:rPr>
      </w:pPr>
      <w:r>
        <w:rPr>
          <w:lang w:val="es-ES"/>
        </w:rPr>
        <w:t xml:space="preserve">El aprendizaje profundo se ha aplicado al diagnóstico, la clasificación y la segmentación de</w:t>
      </w:r>
      <w:r>
        <w:rPr>
          <w:lang w:val="es-ES"/>
        </w:rPr>
        <w:t xml:space="preserve"> </w:t>
      </w:r>
      <w:r>
        <w:rPr>
          <w:lang w:val="es-ES"/>
        </w:rPr>
        <w:t xml:space="preserve">tumores cerebrales (Gao et al., 2022; Kouli et al., 2022). Su incorporación a la práctica clínica</w:t>
      </w:r>
      <w:r>
        <w:rPr>
          <w:lang w:val="es-ES"/>
        </w:rPr>
        <w:t xml:space="preserve"> </w:t>
      </w:r>
      <w:r>
        <w:rPr>
          <w:lang w:val="es-ES"/>
        </w:rPr>
        <w:t xml:space="preserve">exige robustez ante variaciones en escáneres, protocolos y poblaciones, validación externa,</w:t>
      </w:r>
      <w:r>
        <w:rPr>
          <w:lang w:val="es-ES"/>
        </w:rPr>
        <w:t xml:space="preserve"> </w:t>
      </w:r>
      <w:r>
        <w:rPr>
          <w:lang w:val="es-ES"/>
        </w:rPr>
        <w:t xml:space="preserve">interpretabilidad e integración en los flujos de trabajo (Khalighi et al., 2024).</w:t>
      </w:r>
    </w:p>
    <w:p>
      <w:pPr>
        <w:rPr>
          <w:lang w:val="es-ES"/>
        </w:rPr>
      </w:pPr>
      <w:r>
        <w:rPr>
          <w:lang w:val="es-ES"/>
        </w:rPr>
        <w:t xml:space="preserve">El trabajo compara cuatro reglas de fusión temprana de T1n, T1c, T2w y FLAIR. La variable</w:t>
      </w:r>
      <w:r>
        <w:rPr>
          <w:lang w:val="es-ES"/>
        </w:rPr>
        <w:t xml:space="preserve"> </w:t>
      </w:r>
      <w:r>
        <w:rPr>
          <w:lang w:val="es-ES"/>
        </w:rPr>
        <w:t xml:space="preserve">experimental principal es el bloque que precede al codificador; la Residual U-Net 3D, los datos y el</w:t>
      </w:r>
      <w:r>
        <w:rPr>
          <w:lang w:val="es-ES"/>
        </w:rPr>
        <w:t xml:space="preserve"> </w:t>
      </w:r>
      <w:r>
        <w:rPr>
          <w:lang w:val="es-ES"/>
        </w:rPr>
        <w:t xml:space="preserve">entrenamiento se mantienen fijos. Se analiza así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si un mecanismo de fusión adaptativa mejora la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delimitación de ET, TC y WT frente a la concatenación convencional</w:t>
      </w:r>
      <w:r>
        <w:rPr>
          <w:lang w:val="es-ES"/>
        </w:rPr>
        <w:t xml:space="preserve">, con un coste computacional</w:t>
      </w:r>
      <w:r>
        <w:rPr>
          <w:lang w:val="es-ES"/>
        </w:rPr>
        <w:t xml:space="preserve"> </w:t>
      </w:r>
      <w:r>
        <w:rPr>
          <w:lang w:val="es-ES"/>
        </w:rPr>
        <w:t xml:space="preserve">asumible. El alcance se restringe a la segmentación de pacientes previamente diagnosticados: no se</w:t>
      </w:r>
      <w:r>
        <w:rPr>
          <w:lang w:val="es-ES"/>
        </w:rPr>
        <w:t xml:space="preserve"> </w:t>
      </w:r>
      <w:r>
        <w:rPr>
          <w:lang w:val="es-ES"/>
        </w:rPr>
        <w:t xml:space="preserve">abordan el cribado, la detección del tumor ni el diagnóstico diferencial.</w:t>
      </w:r>
    </w:p>
    <w:bookmarkEnd w:id="2"/>
    <w:bookmarkStart w:id="4" w:name="planteamiento-del-problema"/>
    <w:p>
      <w:pPr>
        <w:pStyle w:val="Ttulo2"/>
      </w:pPr>
      <w:r>
        <w:t xml:space="preserve">1.2. Planteamiento del problema</w:t>
      </w:r>
    </w:p>
    <w:p>
      <w:pPr>
        <w:rPr>
          <w:lang w:val="es-ES"/>
        </w:rPr>
      </w:pPr>
      <w:r>
        <w:rPr>
          <w:lang w:val="es-ES"/>
        </w:rPr>
        <w:t xml:space="preserve">Las modalidades T1n, T1c, T2w y FLAIR proporcionan contrastes complementarios, pero su contribución</w:t>
      </w:r>
      <w:r>
        <w:rPr>
          <w:lang w:val="es-ES"/>
        </w:rPr>
        <w:t xml:space="preserve"> </w:t>
      </w:r>
      <w:r>
        <w:rPr>
          <w:lang w:val="es-ES"/>
        </w:rPr>
        <w:t xml:space="preserve">a la segmentación no es uniforme ni existe una correspondencia exclusiva entre una modalidad y una</w:t>
      </w:r>
      <w:r>
        <w:rPr>
          <w:lang w:val="es-ES"/>
        </w:rPr>
        <w:t xml:space="preserve"> </w:t>
      </w:r>
      <w:r>
        <w:rPr>
          <w:lang w:val="es-ES"/>
        </w:rPr>
        <w:t xml:space="preserve">región tumoral. Algunas estructuras resultan más visibles en determinadas secuencias, mientras que</w:t>
      </w:r>
      <w:r>
        <w:rPr>
          <w:lang w:val="es-ES"/>
        </w:rPr>
        <w:t xml:space="preserve"> </w:t>
      </w:r>
      <w:r>
        <w:rPr>
          <w:lang w:val="es-ES"/>
        </w:rPr>
        <w:t xml:space="preserve">la información de las restantes puede ser parcialmente redundante o ayudar a resolver ambigüedades.</w:t>
      </w:r>
      <w:r>
        <w:rPr>
          <w:lang w:val="es-ES"/>
        </w:rPr>
        <w:t xml:space="preserve"> </w:t>
      </w:r>
      <w:r>
        <w:rPr>
          <w:lang w:val="es-ES"/>
        </w:rPr>
        <w:t xml:space="preserve">Estudios recientes muestran, por ejemplo, una mayor relevancia de FLAIR para delimitar la extensión</w:t>
      </w:r>
      <w:r>
        <w:rPr>
          <w:lang w:val="es-ES"/>
        </w:rPr>
        <w:t xml:space="preserve"> </w:t>
      </w:r>
      <w:r>
        <w:rPr>
          <w:lang w:val="es-ES"/>
        </w:rPr>
        <w:t xml:space="preserve">hiperintensa peritumoral y de T1c para identificar tejido realzante, aunque la combinación de</w:t>
      </w:r>
      <w:r>
        <w:rPr>
          <w:lang w:val="es-ES"/>
        </w:rPr>
        <w:t xml:space="preserve"> </w:t>
      </w:r>
      <w:r>
        <w:rPr>
          <w:lang w:val="es-ES"/>
        </w:rPr>
        <w:t xml:space="preserve">modalidades suele proporcionar resultados más robustos (Ruffle et al., 2023). Esta complementariedad</w:t>
      </w:r>
      <w:r>
        <w:rPr>
          <w:lang w:val="es-ES"/>
        </w:rPr>
        <w:t xml:space="preserve"> </w:t>
      </w:r>
      <w:r>
        <w:rPr>
          <w:lang w:val="es-ES"/>
        </w:rPr>
        <w:t xml:space="preserve">es la base del enfoque multimodal de BraTS-GLI 2024, conjunto empleado en este trabajo, que</w:t>
      </w:r>
      <w:r>
        <w:rPr>
          <w:lang w:val="es-ES"/>
        </w:rPr>
        <w:t xml:space="preserve"> </w:t>
      </w:r>
      <w:r>
        <w:rPr>
          <w:lang w:val="es-ES"/>
        </w:rPr>
        <w:t xml:space="preserve">proporciona RM multiparamétrica y anotaciones expertas para evaluar algoritmos de segmentación</w:t>
      </w:r>
      <w:r>
        <w:rPr>
          <w:lang w:val="es-ES"/>
        </w:rPr>
        <w:t xml:space="preserve"> </w:t>
      </w:r>
      <w:r>
        <w:rPr>
          <w:lang w:val="es-ES"/>
        </w:rPr>
        <w:t xml:space="preserve">(de Verdier et al., 2024).</w:t>
      </w:r>
    </w:p>
    <w:p>
      <w:pPr>
        <w:rPr>
          <w:lang w:val="es-ES"/>
        </w:rPr>
      </w:pPr>
      <w:r>
        <w:rPr>
          <w:lang w:val="es-ES"/>
        </w:rPr>
        <w:t xml:space="preserve">Una estrategia habitual para integrar estas secuencias consiste en alinearlas y concatenarlas como</w:t>
      </w:r>
      <w:r>
        <w:rPr>
          <w:lang w:val="es-ES"/>
        </w:rPr>
        <w:t xml:space="preserve"> </w:t>
      </w:r>
      <w:r>
        <w:rPr>
          <w:lang w:val="es-ES"/>
        </w:rPr>
        <w:t xml:space="preserve">canales de un único tensor de entrada. Esta fusión temprana es sencilla y añade un coste</w:t>
      </w:r>
      <w:r>
        <w:rPr>
          <w:lang w:val="es-ES"/>
        </w:rPr>
        <w:t xml:space="preserve"> </w:t>
      </w:r>
      <w:r>
        <w:rPr>
          <w:lang w:val="es-ES"/>
        </w:rPr>
        <w:t xml:space="preserve">computacional mínimo. La concatenación no impone pesos iguales a las modalidades: la primera</w:t>
      </w:r>
      <w:r>
        <w:rPr>
          <w:lang w:val="es-ES"/>
        </w:rPr>
        <w:t xml:space="preserve"> </w:t>
      </w:r>
      <w:r>
        <w:rPr>
          <w:lang w:val="es-ES"/>
        </w:rPr>
        <w:t xml:space="preserve">convolución puede aprender filtros distintos para cada canal. Lo que no ofrece es un coeficiente</w:t>
      </w:r>
      <w:r>
        <w:rPr>
          <w:lang w:val="es-ES"/>
        </w:rPr>
        <w:t xml:space="preserve"> </w:t>
      </w:r>
      <w:r>
        <w:rPr>
          <w:lang w:val="es-ES"/>
        </w:rPr>
        <w:t xml:space="preserve">separado y observable que reajuste la contribución de cada modalidad para cada entrada; esa</w:t>
      </w:r>
      <w:r>
        <w:rPr>
          <w:lang w:val="es-ES"/>
        </w:rPr>
        <w:t xml:space="preserve"> </w:t>
      </w:r>
      <w:r>
        <w:rPr>
          <w:lang w:val="es-ES"/>
        </w:rPr>
        <w:t xml:space="preserve">contribución queda representada de forma implícita en los filtros aprendidos.</w:t>
      </w:r>
    </w:p>
    <w:p>
      <w:pPr>
        <w:rPr>
          <w:lang w:val="es-ES"/>
        </w:rPr>
      </w:pPr>
      <w:r>
        <w:rPr>
          <w:lang w:val="es-ES"/>
        </w:rPr>
        <w:t xml:space="preserve">La literatura ha explorado mecanismos de fusión más elaborados para aprovechar las relaciones entre</w:t>
      </w:r>
      <w:r>
        <w:rPr>
          <w:lang w:val="es-ES"/>
        </w:rPr>
        <w:t xml:space="preserve"> </w:t>
      </w:r>
      <w:r>
        <w:rPr>
          <w:lang w:val="es-ES"/>
        </w:rPr>
        <w:t xml:space="preserve">modalidades, como la combinación en distintos niveles de la red o los módulos de atención que</w:t>
      </w:r>
      <w:r>
        <w:rPr>
          <w:lang w:val="es-ES"/>
        </w:rPr>
        <w:t xml:space="preserve"> </w:t>
      </w:r>
      <w:r>
        <w:rPr>
          <w:lang w:val="es-ES"/>
        </w:rPr>
        <w:t xml:space="preserve">recalibran las representaciones. Liu et al. (2022) combinaron fusión a nivel de imagen y de</w:t>
      </w:r>
      <w:r>
        <w:rPr>
          <w:lang w:val="es-ES"/>
        </w:rPr>
        <w:t xml:space="preserve"> </w:t>
      </w:r>
      <w:r>
        <w:rPr>
          <w:lang w:val="es-ES"/>
        </w:rPr>
        <w:t xml:space="preserve">características, y Zhou et al. (2022) propusieron un mecanismo de atención que modela la relevancia de</w:t>
      </w:r>
      <w:r>
        <w:rPr>
          <w:lang w:val="es-ES"/>
        </w:rPr>
        <w:t xml:space="preserve"> </w:t>
      </w:r>
      <w:r>
        <w:rPr>
          <w:lang w:val="es-ES"/>
        </w:rPr>
        <w:t xml:space="preserve">las modalidades, su distribución espacial y sus correlaciones. Estos trabajos respaldan el interés</w:t>
      </w:r>
      <w:r>
        <w:rPr>
          <w:lang w:val="es-ES"/>
        </w:rPr>
        <w:t xml:space="preserve"> </w:t>
      </w:r>
      <w:r>
        <w:rPr>
          <w:lang w:val="es-ES"/>
        </w:rPr>
        <w:t xml:space="preserve">por una integración adaptativa, aunque sus arquitecturas son más complejas y no permiten concluir</w:t>
      </w:r>
      <w:r>
        <w:rPr>
          <w:lang w:val="es-ES"/>
        </w:rPr>
        <w:t xml:space="preserve"> </w:t>
      </w:r>
      <w:r>
        <w:rPr>
          <w:lang w:val="es-ES"/>
        </w:rPr>
        <w:t xml:space="preserve">que cualquier mecanismo de atención supere necesariamente a la concatenación (Liu et al., 2022; Zhou</w:t>
      </w:r>
      <w:r>
        <w:rPr>
          <w:lang w:val="es-ES"/>
        </w:rPr>
        <w:t xml:space="preserve"> </w:t>
      </w:r>
      <w:r>
        <w:rPr>
          <w:lang w:val="es-ES"/>
        </w:rPr>
        <w:t xml:space="preserve">et al., 2022).</w:t>
      </w:r>
    </w:p>
    <w:p>
      <w:pPr>
        <w:rPr>
          <w:lang w:val="es-ES"/>
        </w:rPr>
      </w:pPr>
      <w:r>
        <w:rPr>
          <w:lang w:val="es-ES"/>
        </w:rPr>
        <w:t xml:space="preserve">La pregunta central consiste en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determinar si una ponderación explícita y ligera de las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modalidades aporta una mejora medible cuando se mantiene fija la arquitectura de segmentación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lang w:val="es-ES"/>
        </w:rPr>
        <w:t xml:space="preserve">Para reducir las variables de comparación se utiliza la misma Residual U-Net 3D y el mismo protocolo</w:t>
      </w:r>
      <w:r>
        <w:rPr>
          <w:lang w:val="es-ES"/>
        </w:rPr>
        <w:t xml:space="preserve"> </w:t>
      </w:r>
      <w:r>
        <w:rPr>
          <w:lang w:val="es-ES"/>
        </w:rPr>
        <w:t xml:space="preserve">de entrenamiento en cuatro configuraciones: concatenación directa, ponderación global aprendida e</w:t>
      </w:r>
      <w:r>
        <w:rPr>
          <w:lang w:val="es-ES"/>
        </w:rPr>
        <w:t xml:space="preserve"> </w:t>
      </w:r>
      <w:r>
        <w:rPr>
          <w:lang w:val="es-ES"/>
        </w:rPr>
        <w:t xml:space="preserve">independiente de la entrada, compuerta adaptativa basada en la media y una extensión condicionada</w:t>
      </w:r>
      <w:r>
        <w:rPr>
          <w:lang w:val="es-ES"/>
        </w:rPr>
        <w:t xml:space="preserve"> </w:t>
      </w:r>
      <w:r>
        <w:rPr>
          <w:lang w:val="es-ES"/>
        </w:rPr>
        <w:t xml:space="preserve">por la media y la desviación típica de cada modalidad.</w:t>
      </w:r>
    </w:p>
    <w:p>
      <w:pPr>
        <w:rPr>
          <w:lang w:val="es-ES"/>
        </w:rPr>
      </w:pPr>
      <w:r>
        <w:rPr>
          <w:lang w:val="es-ES"/>
        </w:rPr>
        <w:t xml:space="preserve">La ponderación global aprende un coeficiente por modalidad compartido por todas las entradas. Las</w:t>
      </w:r>
      <w:r>
        <w:rPr>
          <w:lang w:val="es-ES"/>
        </w:rPr>
        <w:t xml:space="preserve"> </w:t>
      </w:r>
      <w:r>
        <w:rPr>
          <w:lang w:val="es-ES"/>
        </w:rPr>
        <w:t xml:space="preserve">compuertas adaptativas, en cambio, generan esos coeficientes a partir del tensor tridimensional</w:t>
      </w:r>
      <w:r>
        <w:rPr>
          <w:lang w:val="es-ES"/>
        </w:rPr>
        <w:t xml:space="preserve"> </w:t>
      </w:r>
      <w:r>
        <w:rPr>
          <w:lang w:val="es-ES"/>
        </w:rPr>
        <w:t xml:space="preserve">procesado. Los pesos se aplican antes del codificador y permanecen constantes en el espacio dentro</w:t>
      </w:r>
      <w:r>
        <w:rPr>
          <w:lang w:val="es-ES"/>
        </w:rPr>
        <w:t xml:space="preserve"> </w:t>
      </w:r>
      <w:r>
        <w:rPr>
          <w:lang w:val="es-ES"/>
        </w:rPr>
        <w:t xml:space="preserve">de cada parche o ventana de inferencia; el mecanismo depende de la entrada, pero no constituye</w:t>
      </w:r>
      <w:r>
        <w:rPr>
          <w:lang w:val="es-ES"/>
        </w:rPr>
        <w:t xml:space="preserve"> </w:t>
      </w:r>
      <w:r>
        <w:rPr>
          <w:lang w:val="es-ES"/>
        </w:rPr>
        <w:t xml:space="preserve">atención espacial ni específica por subregión.</w:t>
      </w:r>
    </w:p>
    <w:p>
      <w:pPr>
        <w:rPr>
          <w:lang w:val="es-ES"/>
        </w:rPr>
      </w:pPr>
      <w:r>
        <w:rPr>
          <w:lang w:val="es-ES"/>
        </w:rPr>
        <w:t xml:space="preserve">La ponderación global se incluyó como comparador intermedio para separar dos hipótesis: si basta con</w:t>
      </w:r>
      <w:r>
        <w:rPr>
          <w:lang w:val="es-ES"/>
        </w:rPr>
        <w:t xml:space="preserve"> </w:t>
      </w:r>
      <w:r>
        <w:rPr>
          <w:lang w:val="es-ES"/>
        </w:rPr>
        <w:t xml:space="preserve">aprender una jerarquía común entre modalidades o si conviene adaptarla al contenido de cada entrada.</w:t>
      </w:r>
    </w:p>
    <w:p>
      <w:pPr>
        <w:rPr>
          <w:lang w:val="es-ES"/>
        </w:rPr>
      </w:pPr>
      <w:r>
        <w:rPr>
          <w:lang w:val="es-ES"/>
        </w:rPr>
        <w:t xml:space="preserve">A partir de este planteamiento, la pregunta de investigación se formula así:</w:t>
      </w:r>
    </w:p>
    <w:p>
      <w:pPr>
        <w:pStyle w:val="TFMHighlight"/>
        <w:pBdr>
          <w:left w:val="single" w:sz="18" w:space="8" w:color="ED7D31"/>
        </w:pBdr>
        <w:shd w:val="clear" w:fill="FCE4D6"/>
        <w:rPr>
          <w:lang w:val="es-ES"/>
        </w:rPr>
      </w:pPr>
      <w:r>
        <w:rPr>
          <w:lang w:val="es-ES"/>
        </w:rPr>
        <w:t xml:space="preserve">¿Puede una ponderación explícita y ligera de las modalidades T1n, T1c, T2w y FLAIR —en particular,</w:t>
      </w:r>
      <w:r>
        <w:rPr>
          <w:lang w:val="es-ES"/>
        </w:rPr>
        <w:t xml:space="preserve"> </w:t>
      </w:r>
      <w:r>
        <w:rPr>
          <w:lang w:val="es-ES"/>
        </w:rPr>
        <w:t xml:space="preserve">una compuerta adaptativa condicionada por la entrada— mejorar de forma consistente la segmentación</w:t>
      </w:r>
      <w:r>
        <w:rPr>
          <w:lang w:val="es-ES"/>
        </w:rPr>
        <w:t xml:space="preserve"> </w:t>
      </w:r>
      <w:r>
        <w:rPr>
          <w:lang w:val="es-ES"/>
        </w:rPr>
        <w:t xml:space="preserve">3D de ET, TC y WT en BraTS-GLI 2024 frente a la concatenación directa de canales, manteniendo fija</w:t>
      </w:r>
      <w:r>
        <w:rPr>
          <w:lang w:val="es-ES"/>
        </w:rPr>
        <w:t xml:space="preserve"> </w:t>
      </w:r>
      <w:r>
        <w:rPr>
          <w:lang w:val="es-ES"/>
        </w:rPr>
        <w:t xml:space="preserve">la arquitectura Residual U-Net 3D y un coste computacional asumible?</w:t>
      </w:r>
    </w:p>
    <w:p>
      <w:pPr>
        <w:rPr>
          <w:lang w:val="es-ES"/>
        </w:rPr>
      </w:pPr>
      <w:r>
        <w:rPr>
          <w:lang w:val="es-ES"/>
        </w:rPr>
        <w:t xml:space="preserve">La evaluación se realiza mediante el coeficiente Dice y la distancia de Hausdorff al percentil 95</w:t>
      </w:r>
      <w:r>
        <w:rPr>
          <w:lang w:val="es-ES"/>
        </w:rPr>
        <w:t xml:space="preserve"> </w:t>
      </w:r>
      <w:r>
        <w:rPr>
          <w:lang w:val="es-ES"/>
        </w:rPr>
        <w:t xml:space="preserve">(HD95) para ET, TC y WT. La huella computacional se analiza mediante el número de parámetros y los</w:t>
      </w:r>
      <w:r>
        <w:rPr>
          <w:lang w:val="es-ES"/>
        </w:rPr>
        <w:t xml:space="preserve"> </w:t>
      </w:r>
      <w:r>
        <w:rPr>
          <w:lang w:val="es-ES"/>
        </w:rPr>
        <w:t xml:space="preserve">registros disponibles de tiempo de entrenamiento y memoria, explicitando las diferencias entre</w:t>
      </w:r>
      <w:r>
        <w:rPr>
          <w:lang w:val="es-ES"/>
        </w:rPr>
        <w:t xml:space="preserve"> </w:t>
      </w:r>
      <w:r>
        <w:rPr>
          <w:lang w:val="es-ES"/>
        </w:rPr>
        <w:t xml:space="preserve">entornos. Este aspecto resulta especialmente relevante en segmentación volumétrica, donde el</w:t>
      </w:r>
      <w:r>
        <w:rPr>
          <w:lang w:val="es-ES"/>
        </w:rPr>
        <w:t xml:space="preserve"> </w:t>
      </w:r>
      <w:r>
        <w:rPr>
          <w:lang w:val="es-ES"/>
        </w:rPr>
        <w:t xml:space="preserve">incremento de complejidad de los mecanismos de atención puede traducirse en un consumo considerable</w:t>
      </w:r>
      <w:r>
        <w:rPr>
          <w:lang w:val="es-ES"/>
        </w:rPr>
        <w:t xml:space="preserve"> </w:t>
      </w:r>
      <w:r>
        <w:rPr>
          <w:lang w:val="es-ES"/>
        </w:rPr>
        <w:t xml:space="preserve">de memoria y tiempo (Shaker et al., 2024).</w:t>
      </w:r>
    </w:p>
    <w:p>
      <w:pPr>
        <w:rPr>
          <w:lang w:val="es-ES"/>
        </w:rPr>
      </w:pPr>
      <w:r>
        <w:rPr>
          <w:lang w:val="es-ES"/>
        </w:rPr>
        <w:t xml:space="preserve">El alcance experimental se limita a las imágenes post-tratamiento de BraTS-GLI 2024 que contienen las</w:t>
      </w:r>
      <w:r>
        <w:rPr>
          <w:lang w:val="es-ES"/>
        </w:rPr>
        <w:t xml:space="preserve"> </w:t>
      </w:r>
      <w:r>
        <w:rPr>
          <w:lang w:val="es-ES"/>
        </w:rPr>
        <w:t xml:space="preserve">cuatro modalidades requeridas.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El modelo no se ha entrenado ni validado para realizar cribado,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diagnosticar la presencia de un tumor, diferenciar los gliomas de otras patologías o trabajar con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secuencias ausentes</w:t>
      </w:r>
      <w:r>
        <w:rPr>
          <w:lang w:val="es-ES"/>
        </w:rPr>
        <w:t xml:space="preserve">, y sus resultados deben interpretarse dentro del entorno controlado del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benchmark</w:t>
      </w:r>
      <w:r>
        <w:rPr>
          <w:lang w:val="es-ES"/>
        </w:rPr>
        <w:t xml:space="preserve">. La evidencia muestra que el rendimiento sobre datos BraTS puede disminuir al aplicar los</w:t>
      </w:r>
      <w:r>
        <w:rPr>
          <w:lang w:val="es-ES"/>
        </w:rPr>
        <w:t xml:space="preserve"> </w:t>
      </w:r>
      <w:r>
        <w:rPr>
          <w:lang w:val="es-ES"/>
        </w:rPr>
        <w:t xml:space="preserve">modelos a imágenes clínicas externas con distintas resoluciones o protocolos (Berkley et al., 2023).</w:t>
      </w:r>
      <w:r>
        <w:rPr>
          <w:lang w:val="es-ES"/>
        </w:rPr>
        <w:t xml:space="preserve"> </w:t>
      </w:r>
      <w:r>
        <w:rPr>
          <w:lang w:val="es-ES"/>
        </w:rPr>
        <w:t xml:space="preserve">En consecuencia, el trabajo evalúa una estrategia computacional de segmentación y no una herramienta</w:t>
      </w:r>
      <w:r>
        <w:rPr>
          <w:lang w:val="es-ES"/>
        </w:rPr>
        <w:t xml:space="preserve"> </w:t>
      </w:r>
      <w:r>
        <w:rPr>
          <w:lang w:val="es-ES"/>
        </w:rPr>
        <w:t xml:space="preserve">lista para uso clínico.</w:t>
      </w:r>
    </w:p>
    <w:bookmarkEnd w:id="3"/>
    <w:bookmarkStart w:id="5" w:name="objetivos"/>
    <w:p>
      <w:pPr>
        <w:pStyle w:val="Ttulo2"/>
      </w:pPr>
      <w:r>
        <w:t xml:space="preserve">1.3. Objetivos</w:t>
      </w:r>
    </w:p>
    <w:p>
      <w:pPr>
        <w:rPr>
          <w:lang w:val="es-ES"/>
        </w:rPr>
      </w:pPr>
      <w:r>
        <w:rPr>
          <w:b/>
          <w:bCs/>
          <w:lang w:val="es-ES"/>
        </w:rPr>
        <w:t xml:space="preserve">Objetivo principal.</w:t>
      </w:r>
      <w:r>
        <w:rPr>
          <w:lang w:val="es-ES"/>
        </w:rPr>
        <w:t xml:space="preserve"> </w:t>
      </w:r>
      <w:r>
        <w:rPr>
          <w:lang w:val="es-ES"/>
        </w:rPr>
        <w:t xml:space="preserve">Diseñar, implementar y evaluar un sistema reproducible de segmentación</w:t>
      </w:r>
      <w:r>
        <w:rPr>
          <w:lang w:val="es-ES"/>
        </w:rPr>
        <w:t xml:space="preserve"> </w:t>
      </w:r>
      <w:r>
        <w:rPr>
          <w:lang w:val="es-ES"/>
        </w:rPr>
        <w:t xml:space="preserve">tridimensional basado en aprendizaje profundo para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determinar si</w:t>
      </w:r>
      <w:r>
        <w:rPr>
          <w:lang w:val="es-ES"/>
        </w:rPr>
        <w:t xml:space="preserve"> </w:t>
      </w:r>
      <w:r>
        <w:rPr>
          <w:lang w:val="es-ES"/>
        </w:rPr>
        <w:t xml:space="preserve">una ponderación adaptativa y</w:t>
      </w:r>
      <w:r>
        <w:rPr>
          <w:lang w:val="es-ES"/>
        </w:rPr>
        <w:t xml:space="preserve"> </w:t>
      </w:r>
      <w:r>
        <w:rPr>
          <w:lang w:val="es-ES"/>
        </w:rPr>
        <w:t xml:space="preserve">ligera de las modalidades T1n, T1c, T2w y FLAIR mejora la delimitación de las regiones ET, TC y WT en</w:t>
      </w:r>
      <w:r>
        <w:rPr>
          <w:lang w:val="es-ES"/>
        </w:rPr>
        <w:t xml:space="preserve"> </w:t>
      </w:r>
      <w:r>
        <w:rPr>
          <w:lang w:val="es-ES"/>
        </w:rPr>
        <w:t xml:space="preserve">BraTS-GLI 2024 frente a la concatenación directa de canales, considerando tanto el rendimiento de</w:t>
      </w:r>
      <w:r>
        <w:rPr>
          <w:lang w:val="es-ES"/>
        </w:rPr>
        <w:t xml:space="preserve"> </w:t>
      </w:r>
      <w:r>
        <w:rPr>
          <w:lang w:val="es-ES"/>
        </w:rPr>
        <w:t xml:space="preserve">segmentación como el coste computacional.</w:t>
      </w:r>
    </w:p>
    <w:p>
      <w:pPr>
        <w:rPr>
          <w:lang w:val="es-ES"/>
        </w:rPr>
      </w:pPr>
      <w:r>
        <w:rPr>
          <w:b/>
          <w:bCs/>
          <w:lang w:val="es-ES"/>
        </w:rPr>
        <w:t xml:space="preserve">Objetivos específicos:</w:t>
      </w:r>
    </w:p>
    <w:p>
      <w:pPr>
        <w:numPr>
          <w:ilvl w:val="0"/>
          <w:numId w:val="14"/>
        </w:numPr>
        <w:rPr>
          <w:lang w:val="es-ES"/>
        </w:rPr>
      </w:pPr>
      <w:r>
        <w:rPr>
          <w:lang w:val="es-ES"/>
        </w:rPr>
        <w:t xml:space="preserve">Construir un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pipeline</w:t>
      </w:r>
      <w:r>
        <w:rPr>
          <w:lang w:val="es-ES"/>
        </w:rPr>
        <w:t xml:space="preserve"> </w:t>
      </w:r>
      <w:r>
        <w:rPr>
          <w:lang w:val="es-ES"/>
        </w:rPr>
        <w:t xml:space="preserve">reproducible con MONAI para cargar los volúmenes de RM multimodales,</w:t>
      </w:r>
      <w:r>
        <w:rPr>
          <w:lang w:val="es-ES"/>
        </w:rPr>
        <w:t xml:space="preserve"> </w:t>
      </w:r>
      <w:r>
        <w:rPr>
          <w:lang w:val="es-ES"/>
        </w:rPr>
        <w:t xml:space="preserve">transformar las etiquetas en las regiones objetivo, normalizar las intensidades por modalidad y</w:t>
      </w:r>
      <w:r>
        <w:rPr>
          <w:lang w:val="es-ES"/>
        </w:rPr>
        <w:t xml:space="preserve"> </w:t>
      </w:r>
      <w:r>
        <w:rPr>
          <w:lang w:val="es-ES"/>
        </w:rPr>
        <w:t xml:space="preserve">aplicar aumento de datos durante el entrenamiento.</w:t>
      </w:r>
    </w:p>
    <w:p>
      <w:pPr>
        <w:numPr>
          <w:ilvl w:val="0"/>
          <w:numId w:val="14"/>
        </w:numPr>
        <w:rPr>
          <w:lang w:val="es-ES"/>
        </w:rPr>
      </w:pPr>
      <w:r>
        <w:rPr>
          <w:lang w:val="es-ES"/>
        </w:rPr>
        <w:t xml:space="preserve">Implementar y entrenar una Residual U-Net 3D que reciba las cuatro modalidades concatenadas como</w:t>
      </w:r>
      <w:r>
        <w:rPr>
          <w:lang w:val="es-ES"/>
        </w:rPr>
        <w:t xml:space="preserve"> </w:t>
      </w:r>
      <w:r>
        <w:rPr>
          <w:lang w:val="es-ES"/>
        </w:rPr>
        <w:t xml:space="preserve">canales de entrada, estableciendo el modelo base de las comparaciones.</w:t>
      </w:r>
    </w:p>
    <w:p>
      <w:pPr>
        <w:numPr>
          <w:ilvl w:val="0"/>
          <w:numId w:val="14"/>
        </w:numPr>
        <w:rPr>
          <w:lang w:val="es-ES"/>
        </w:rPr>
      </w:pPr>
      <w:r>
        <w:rPr>
          <w:lang w:val="es-ES"/>
        </w:rPr>
        <w:t xml:space="preserve">Diseñar e integrar, antes del codificador, una compuerta adaptativa ligera que estime un peso por</w:t>
      </w:r>
      <w:r>
        <w:rPr>
          <w:lang w:val="es-ES"/>
        </w:rPr>
        <w:t xml:space="preserve"> </w:t>
      </w:r>
      <w:r>
        <w:rPr>
          <w:lang w:val="es-ES"/>
        </w:rPr>
        <w:t xml:space="preserve">modalidad en función del contenido de la entrada y lo aplique a los canales.</w:t>
      </w:r>
    </w:p>
    <w:p>
      <w:pPr>
        <w:numPr>
          <w:ilvl w:val="0"/>
          <w:numId w:val="14"/>
        </w:numPr>
        <w:rPr>
          <w:lang w:val="es-ES"/>
        </w:rPr>
      </w:pPr>
      <w:r>
        <w:rPr>
          <w:lang w:val="es-ES"/>
        </w:rPr>
        <w:t xml:space="preserve">Realizar un estudio de ablación controlado que compare concatenación directa, ponderación global</w:t>
      </w:r>
      <w:r>
        <w:rPr>
          <w:lang w:val="es-ES"/>
        </w:rPr>
        <w:t xml:space="preserve"> </w:t>
      </w:r>
      <w:r>
        <w:rPr>
          <w:lang w:val="es-ES"/>
        </w:rPr>
        <w:t xml:space="preserve">aprendida e independiente de la entrada y dos variantes adaptativas —una basada en la media y</w:t>
      </w:r>
      <w:r>
        <w:rPr>
          <w:lang w:val="es-ES"/>
        </w:rPr>
        <w:t xml:space="preserve"> </w:t>
      </w:r>
      <w:r>
        <w:rPr>
          <w:lang w:val="es-ES"/>
        </w:rPr>
        <w:t xml:space="preserve">otra en la media y la desviación típica—, manteniendo constantes la arquitectura base, las</w:t>
      </w:r>
      <w:r>
        <w:rPr>
          <w:lang w:val="es-ES"/>
        </w:rPr>
        <w:t xml:space="preserve"> </w:t>
      </w:r>
      <w:r>
        <w:rPr>
          <w:lang w:val="es-ES"/>
        </w:rPr>
        <w:t xml:space="preserve">particiones y el protocolo de entrenamiento.</w:t>
      </w:r>
    </w:p>
    <w:p>
      <w:pPr>
        <w:numPr>
          <w:ilvl w:val="0"/>
          <w:numId w:val="14"/>
        </w:numPr>
        <w:rPr>
          <w:lang w:val="es-ES"/>
        </w:rPr>
      </w:pPr>
      <w:r>
        <w:rPr>
          <w:lang w:val="es-ES"/>
        </w:rPr>
        <w:t xml:space="preserve">Evaluar las variantes de fusión mediante Dice y HD95 para ET, TC y WT, y analizar su huella</w:t>
      </w:r>
      <w:r>
        <w:rPr>
          <w:lang w:val="es-ES"/>
        </w:rPr>
        <w:t xml:space="preserve"> </w:t>
      </w:r>
      <w:r>
        <w:rPr>
          <w:lang w:val="es-ES"/>
        </w:rPr>
        <w:t xml:space="preserve">computacional a partir del número de parámetros y de los registros disponibles de tiempo y</w:t>
      </w:r>
      <w:r>
        <w:rPr>
          <w:lang w:val="es-ES"/>
        </w:rPr>
        <w:t xml:space="preserve"> </w:t>
      </w:r>
      <w:r>
        <w:rPr>
          <w:lang w:val="es-ES"/>
        </w:rPr>
        <w:t xml:space="preserve">memoria.</w:t>
      </w:r>
    </w:p>
    <w:p>
      <w:pPr>
        <w:numPr>
          <w:ilvl w:val="0"/>
          <w:numId w:val="14"/>
        </w:numPr>
        <w:rPr>
          <w:lang w:val="es-ES"/>
        </w:rPr>
      </w:pPr>
      <w:r>
        <w:rPr>
          <w:lang w:val="es-ES"/>
        </w:rPr>
        <w:t xml:space="preserve">Contextualizar los resultados comparándolos con arquitecturas de referencia de mayor complejidad</w:t>
      </w:r>
      <w:r>
        <w:rPr>
          <w:lang w:val="es-ES"/>
        </w:rPr>
        <w:t xml:space="preserve"> </w:t>
      </w:r>
      <w:r>
        <w:rPr>
          <w:lang w:val="es-ES"/>
        </w:rPr>
        <w:t xml:space="preserve">(Attention U-Net y Swin-UNETR) y con la referencia externa nnU-Net.</w:t>
      </w:r>
    </w:p>
    <w:bookmarkEnd w:id="4"/>
    <w:bookmarkStart w:id="6" w:name="organización-del-documento"/>
    <w:p>
      <w:pPr>
        <w:pStyle w:val="Ttulo2"/>
      </w:pPr>
      <w:r>
        <w:t xml:space="preserve">1.4. Organización del documento</w:t>
      </w:r>
    </w:p>
    <w:p>
      <w:pPr>
        <w:rPr>
          <w:lang w:val="es-ES"/>
        </w:rPr>
      </w:pPr>
      <w:r>
        <w:rPr>
          <w:lang w:val="es-ES"/>
        </w:rPr>
        <w:t xml:space="preserve">Los capítulos 1 y 2 delimitan la pregunta de investigación y sus fundamentos. Los capítulos 3 y 4</w:t>
      </w:r>
      <w:r>
        <w:rPr>
          <w:lang w:val="es-ES"/>
        </w:rPr>
        <w:t xml:space="preserve"> </w:t>
      </w:r>
      <w:r>
        <w:rPr>
          <w:lang w:val="es-ES"/>
        </w:rPr>
        <w:t xml:space="preserve">separan el proceso metodológico de su implementación en el sistema MONAI y en la ruta externa de</w:t>
      </w:r>
      <w:r>
        <w:rPr>
          <w:lang w:val="es-ES"/>
        </w:rPr>
        <w:t xml:space="preserve"> </w:t>
      </w:r>
      <w:r>
        <w:rPr>
          <w:lang w:val="es-ES"/>
        </w:rPr>
        <w:t xml:space="preserve">nnU-Net. Los capítulos 5 y 6 presentan los resultados, responden a la pregunta y exponen sus</w:t>
      </w:r>
      <w:r>
        <w:rPr>
          <w:lang w:val="es-ES"/>
        </w:rPr>
        <w:t xml:space="preserve"> </w:t>
      </w:r>
      <w:r>
        <w:rPr>
          <w:lang w:val="es-ES"/>
        </w:rPr>
        <w:t xml:space="preserve">limitaciones. La memoria se completa con las referencias bibliográficas y un apéndice de</w:t>
      </w:r>
      <w:r>
        <w:rPr>
          <w:lang w:val="es-ES"/>
        </w:rPr>
        <w:t xml:space="preserve"> </w:t>
      </w:r>
      <w:r>
        <w:rPr>
          <w:lang w:val="es-ES"/>
        </w:rPr>
        <w:t xml:space="preserve">reproducibilidad.</w:t>
      </w:r>
    </w:p>
    <w:bookmarkEnd w:id="5"/>
    <w:bookmarkEnd w:id="6"/>
    <w:bookmarkStart w:id="7" w:name="marco-teórico-y-estado-del-arte"/>
    <w:p>
      <w:pPr>
        <w:pStyle w:val="Ttulo1"/>
        <w:pageBreakBefore/>
      </w:pPr>
      <w:r>
        <w:t xml:space="preserve">2. Marco teórico y estado del arte</w:t>
      </w:r>
    </w:p>
    <w:p>
      <w:pPr>
        <w:rPr>
          <w:lang w:val="es-ES"/>
        </w:rPr>
      </w:pPr>
      <w:r>
        <w:rPr>
          <w:lang w:val="es-ES"/>
        </w:rPr>
        <w:t xml:space="preserve">El marco teórico separa tres decisiones que conviene evaluar por separado: la arquitectura de</w:t>
      </w:r>
      <w:r>
        <w:rPr>
          <w:lang w:val="es-ES"/>
        </w:rPr>
        <w:t xml:space="preserve"> </w:t>
      </w:r>
      <w:r>
        <w:rPr>
          <w:lang w:val="es-ES"/>
        </w:rPr>
        <w:t xml:space="preserve">segmentación, la etapa en la que se integran las modalidades y la regla utilizada para combinarlas.</w:t>
      </w:r>
      <w:r>
        <w:rPr>
          <w:lang w:val="es-ES"/>
        </w:rPr>
        <w:t xml:space="preserve"> </w:t>
      </w:r>
      <w:r>
        <w:rPr>
          <w:lang w:val="es-ES"/>
        </w:rPr>
        <w:t xml:space="preserve">Esta distinción permite interpretar la ablación del trabajo: se modifica la regla de entrada, pero se</w:t>
      </w:r>
      <w:r>
        <w:rPr>
          <w:lang w:val="es-ES"/>
        </w:rPr>
        <w:t xml:space="preserve"> </w:t>
      </w:r>
      <w:r>
        <w:rPr>
          <w:lang w:val="es-ES"/>
        </w:rPr>
        <w:t xml:space="preserve">mantiene fija la Residual U-Net 3D. BraTS-GLI 2024, las métricas Dice y HD95 y las medidas</w:t>
      </w:r>
      <w:r>
        <w:rPr>
          <w:lang w:val="es-ES"/>
        </w:rPr>
        <w:t xml:space="preserve"> </w:t>
      </w:r>
      <w:r>
        <w:rPr>
          <w:lang w:val="es-ES"/>
        </w:rPr>
        <w:t xml:space="preserve">computacionales disponibles delimitan el escenario en el que se realiza esa comparación.</w:t>
      </w:r>
    </w:p>
    <w:bookmarkStart w:id="8" w:name="X9010270f9f72e6f804ec0f269a51884fc378487"/>
    <w:p>
      <w:pPr>
        <w:pStyle w:val="Ttulo2"/>
      </w:pPr>
      <w:r>
        <w:t xml:space="preserve">2.1. De las redes completamente convolucionales a U-Net 3D</w:t>
      </w:r>
    </w:p>
    <w:p>
      <w:pPr>
        <w:rPr>
          <w:lang w:val="es-ES"/>
        </w:rPr>
      </w:pPr>
      <w:r>
        <w:rPr>
          <w:lang w:val="es-ES"/>
        </w:rPr>
        <w:t xml:space="preserve">La segmentación semántica asigna una clase a cada elemento de una imagen. En RM volumétrica, la</w:t>
      </w:r>
      <w:r>
        <w:rPr>
          <w:lang w:val="es-ES"/>
        </w:rPr>
        <w:t xml:space="preserve"> </w:t>
      </w:r>
      <w:r>
        <w:rPr>
          <w:lang w:val="es-ES"/>
        </w:rPr>
        <w:t xml:space="preserve">entrada puede representarse como un tensor con</w:t>
      </w:r>
      <w:r>
        <w:rPr>
          <w:lang w:val="es-ES"/>
        </w:rPr>
        <w:t xml:space="preserve"> </w:t>
      </w:r>
      <m:oMath>
        <m:r>
          <m:t>M</m:t>
        </m:r>
      </m:oMath>
      <w:r>
        <w:rPr>
          <w:lang w:val="es-ES"/>
        </w:rPr>
        <w:t xml:space="preserve"> </w:t>
      </w:r>
      <w:r>
        <w:rPr>
          <w:lang w:val="es-ES"/>
        </w:rPr>
        <w:t xml:space="preserve">modalidades y tres dimensiones espaciales, y</w:t>
      </w:r>
      <w:r>
        <w:rPr>
          <w:lang w:val="es-ES"/>
        </w:rPr>
        <w:t xml:space="preserve"> </w:t>
      </w:r>
      <w:r>
        <w:rPr>
          <w:lang w:val="es-ES"/>
        </w:rPr>
        <w:t xml:space="preserve">la salida como uno o varios mapas de probabilidad con la misma correspondencia anatómica. Las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redes completamente convolucionales</w:t>
      </w:r>
      <w:r>
        <w:rPr>
          <w:lang w:val="es-ES"/>
        </w:rPr>
        <w:t xml:space="preserve"> </w:t>
      </w:r>
      <w:r>
        <w:rPr>
          <w:lang w:val="es-ES"/>
        </w:rPr>
        <w:t xml:space="preserve">(FCN) sustituyeron las capas densas finales de los</w:t>
      </w:r>
      <w:r>
        <w:rPr>
          <w:lang w:val="es-ES"/>
        </w:rPr>
        <w:t xml:space="preserve"> </w:t>
      </w:r>
      <w:r>
        <w:rPr>
          <w:lang w:val="es-ES"/>
        </w:rPr>
        <w:t xml:space="preserve">clasificadores por operadores convolucionales y mecanismos de remuestreo, haciendo posible una</w:t>
      </w:r>
      <w:r>
        <w:rPr>
          <w:lang w:val="es-ES"/>
        </w:rPr>
        <w:t xml:space="preserve"> </w:t>
      </w:r>
      <w:r>
        <w:rPr>
          <w:lang w:val="es-ES"/>
        </w:rPr>
        <w:t xml:space="preserve">predicción densa de extremo a extremo (Long et al., 2015). Su principal dificultad era recuperar</w:t>
      </w:r>
      <w:r>
        <w:rPr>
          <w:lang w:val="es-ES"/>
        </w:rPr>
        <w:t xml:space="preserve"> </w:t>
      </w:r>
      <w:r>
        <w:rPr>
          <w:lang w:val="es-ES"/>
        </w:rPr>
        <w:t xml:space="preserve">con precisión la localización espacial después de las sucesivas reducciones de resolución del</w:t>
      </w:r>
      <w:r>
        <w:rPr>
          <w:lang w:val="es-ES"/>
        </w:rPr>
        <w:t xml:space="preserve"> </w:t>
      </w:r>
      <w:r>
        <w:rPr>
          <w:lang w:val="es-ES"/>
        </w:rPr>
        <w:t xml:space="preserve">codificador.</w:t>
      </w:r>
    </w:p>
    <w:p>
      <w:pPr>
        <w:rPr>
          <w:lang w:val="es-ES"/>
        </w:rPr>
      </w:pPr>
      <w:r>
        <w:rPr>
          <w:lang w:val="es-ES"/>
        </w:rPr>
        <w:t xml:space="preserve">U-Net respondió a ese problema con una estructura aproximadamente simétrica formada por un camino</w:t>
      </w:r>
      <w:r>
        <w:rPr>
          <w:lang w:val="es-ES"/>
        </w:rPr>
        <w:t xml:space="preserve"> </w:t>
      </w:r>
      <w:r>
        <w:rPr>
          <w:lang w:val="es-ES"/>
        </w:rPr>
        <w:t xml:space="preserve">de contracción y otro de expansión. Las conexiones de salto trasladan al decodificador</w:t>
      </w:r>
      <w:r>
        <w:rPr>
          <w:lang w:val="es-ES"/>
        </w:rPr>
        <w:t xml:space="preserve"> </w:t>
      </w:r>
      <w:r>
        <w:rPr>
          <w:lang w:val="es-ES"/>
        </w:rPr>
        <w:t xml:space="preserve">características de alta resolución producidas por el codificador, de forma que la decisión final</w:t>
      </w:r>
      <w:r>
        <w:rPr>
          <w:lang w:val="es-ES"/>
        </w:rPr>
        <w:t xml:space="preserve"> </w:t>
      </w:r>
      <w:r>
        <w:rPr>
          <w:lang w:val="es-ES"/>
        </w:rPr>
        <w:t xml:space="preserve">combina contexto semántico y detalle espacial (Ronneberger et al., 2015). Esta organización resulta</w:t>
      </w:r>
      <w:r>
        <w:rPr>
          <w:lang w:val="es-ES"/>
        </w:rPr>
        <w:t xml:space="preserve"> </w:t>
      </w:r>
      <w:r>
        <w:rPr>
          <w:lang w:val="es-ES"/>
        </w:rPr>
        <w:t xml:space="preserve">especialmente adecuada para imagen biomédica, donde las estructuras de interés pueden ser pequeñas</w:t>
      </w:r>
      <w:r>
        <w:rPr>
          <w:lang w:val="es-ES"/>
        </w:rPr>
        <w:t xml:space="preserve"> </w:t>
      </w:r>
      <w:r>
        <w:rPr>
          <w:lang w:val="es-ES"/>
        </w:rPr>
        <w:t xml:space="preserve">y el número de ejemplos anotados suele ser limitado.</w:t>
      </w:r>
    </w:p>
    <w:p>
      <w:pPr>
        <w:rPr>
          <w:lang w:val="es-ES"/>
        </w:rPr>
      </w:pPr>
      <w:r>
        <w:rPr>
          <w:lang w:val="es-ES"/>
        </w:rPr>
        <w:t xml:space="preserve">La extensión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U-Net 3D</w:t>
      </w:r>
      <w:r>
        <w:rPr>
          <w:lang w:val="es-ES"/>
        </w:rPr>
        <w:t xml:space="preserve"> </w:t>
      </w:r>
      <w:r>
        <w:rPr>
          <w:lang w:val="es-ES"/>
        </w:rPr>
        <w:t xml:space="preserve">reemplaza los operadores bidimensionales por convoluciones, normalizaciones</w:t>
      </w:r>
      <w:r>
        <w:rPr>
          <w:lang w:val="es-ES"/>
        </w:rPr>
        <w:t xml:space="preserve"> </w:t>
      </w:r>
      <w:r>
        <w:rPr>
          <w:lang w:val="es-ES"/>
        </w:rPr>
        <w:t xml:space="preserve">y remuestreos tridimensionales. Así se modela la continuidad entre cortes en lugar de tratar cada</w:t>
      </w:r>
      <w:r>
        <w:rPr>
          <w:lang w:val="es-ES"/>
        </w:rPr>
        <w:t xml:space="preserve"> </w:t>
      </w:r>
      <w:r>
        <w:rPr>
          <w:lang w:val="es-ES"/>
        </w:rPr>
        <w:t xml:space="preserve">plano como una observación independiente. Çiçek et al. (2016) mostraron que esta formulación permite</w:t>
      </w:r>
      <w:r>
        <w:rPr>
          <w:lang w:val="es-ES"/>
        </w:rPr>
        <w:t xml:space="preserve"> </w:t>
      </w:r>
      <w:r>
        <w:rPr>
          <w:lang w:val="es-ES"/>
        </w:rPr>
        <w:t xml:space="preserve">aprender segmentación volumétrica incluso a partir de anotaciones escasas, mientras que V-Net</w:t>
      </w:r>
      <w:r>
        <w:rPr>
          <w:lang w:val="es-ES"/>
        </w:rPr>
        <w:t xml:space="preserve"> </w:t>
      </w:r>
      <w:r>
        <w:rPr>
          <w:lang w:val="es-ES"/>
        </w:rPr>
        <w:t xml:space="preserve">desarrolló otra arquitectura completamente convolucional 3D e introdujo una función objetivo basada</w:t>
      </w:r>
      <w:r>
        <w:rPr>
          <w:lang w:val="es-ES"/>
        </w:rPr>
        <w:t xml:space="preserve"> </w:t>
      </w:r>
      <w:r>
        <w:rPr>
          <w:lang w:val="es-ES"/>
        </w:rPr>
        <w:t xml:space="preserve">en Dice para afrontar el fuerte desequilibrio entre fondo y lesión (Milletari et al., 2016).</w:t>
      </w:r>
    </w:p>
    <w:p>
      <w:pPr>
        <w:rPr>
          <w:lang w:val="es-ES"/>
        </w:rPr>
      </w:pPr>
      <w:r>
        <w:rPr>
          <w:lang w:val="es-ES"/>
        </w:rPr>
        <w:t xml:space="preserve">El procesamiento 3D conserva más contexto anatómico, pero incrementa de manera pronunciada la</w:t>
      </w:r>
      <w:r>
        <w:rPr>
          <w:lang w:val="es-ES"/>
        </w:rPr>
        <w:t xml:space="preserve"> </w:t>
      </w:r>
      <w:r>
        <w:rPr>
          <w:lang w:val="es-ES"/>
        </w:rPr>
        <w:t xml:space="preserve">memoria ocupada por las activaciones. Por ello, los sistemas volumétricos suelen entrenarse sobre</w:t>
      </w:r>
      <w:r>
        <w:rPr>
          <w:lang w:val="es-ES"/>
        </w:rPr>
        <w:t xml:space="preserve"> </w:t>
      </w:r>
      <w:r>
        <w:rPr>
          <w:lang w:val="es-ES"/>
        </w:rPr>
        <w:t xml:space="preserve">parches y reconstruir la predicción completa mediante ventanas solapadas. El tamaño de parche pasa a</w:t>
      </w:r>
      <w:r>
        <w:rPr>
          <w:lang w:val="es-ES"/>
        </w:rPr>
        <w:t xml:space="preserve"> </w:t>
      </w:r>
      <w:r>
        <w:rPr>
          <w:lang w:val="es-ES"/>
        </w:rPr>
        <w:t xml:space="preserve">ser una decisión conjunta de contexto, resolución y memoria. Un parche mayor aporta más información</w:t>
      </w:r>
      <w:r>
        <w:rPr>
          <w:lang w:val="es-ES"/>
        </w:rPr>
        <w:t xml:space="preserve"> </w:t>
      </w:r>
      <w:r>
        <w:rPr>
          <w:lang w:val="es-ES"/>
        </w:rPr>
        <w:t xml:space="preserve">global, pero limita el tamaño del lote o la capacidad de la red. Esta tensión explica por qué una</w:t>
      </w:r>
      <w:r>
        <w:rPr>
          <w:lang w:val="es-ES"/>
        </w:rPr>
        <w:t xml:space="preserve"> </w:t>
      </w:r>
      <w:r>
        <w:rPr>
          <w:lang w:val="es-ES"/>
        </w:rPr>
        <w:t xml:space="preserve">arquitectura teóricamente más expresiva no es necesariamente la mejor bajo un presupuesto de</w:t>
      </w:r>
      <w:r>
        <w:rPr>
          <w:lang w:val="es-ES"/>
        </w:rPr>
        <w:t xml:space="preserve"> </w:t>
      </w:r>
      <w:r>
        <w:rPr>
          <w:lang w:val="es-ES"/>
        </w:rPr>
        <w:t xml:space="preserve">cómputo fijo.</w:t>
      </w:r>
    </w:p>
    <w:bookmarkEnd w:id="7"/>
    <w:bookmarkStart w:id="9" w:name="Xe31c1bec1939cbc5814166bf703a3cb495ca098"/>
    <w:p>
      <w:pPr>
        <w:pStyle w:val="Ttulo2"/>
      </w:pPr>
      <w:r>
        <w:t xml:space="preserve">2.2. Refinamientos convolucionales: residuos, atención y auto-configuración</w:t>
      </w:r>
    </w:p>
    <w:p>
      <w:pPr>
        <w:rPr>
          <w:lang w:val="es-ES"/>
        </w:rPr>
      </w:pPr>
      <w:r>
        <w:rPr>
          <w:lang w:val="es-ES"/>
        </w:rPr>
        <w:t xml:space="preserve">Las conexiones residuales, las compuertas de atención y la auto-configuración de nnU-Net modifican</w:t>
      </w:r>
      <w:r>
        <w:rPr>
          <w:lang w:val="es-ES"/>
        </w:rPr>
        <w:t xml:space="preserve"> </w:t>
      </w:r>
      <w:r>
        <w:rPr>
          <w:lang w:val="es-ES"/>
        </w:rPr>
        <w:t xml:space="preserve">componentes distintos de un sistema basado en U-Net y no equivalen a estrategias de fusión</w:t>
      </w:r>
      <w:r>
        <w:rPr>
          <w:lang w:val="es-ES"/>
        </w:rPr>
        <w:t xml:space="preserve"> </w:t>
      </w:r>
      <w:r>
        <w:rPr>
          <w:lang w:val="es-ES"/>
        </w:rPr>
        <w:t xml:space="preserve">multimodal. Esta diferencia sustenta las funciones asignadas en el experimento: Residual U-Net como</w:t>
      </w:r>
      <w:r>
        <w:rPr>
          <w:lang w:val="es-ES"/>
        </w:rPr>
        <w:t xml:space="preserve"> </w:t>
      </w:r>
      <w:r>
        <w:rPr>
          <w:lang w:val="es-ES"/>
        </w:rPr>
        <w:t xml:space="preserve">base común de la ablación, Attention U-Net como referencia arquitectónica y nnU-Net como referencia</w:t>
      </w:r>
      <w:r>
        <w:rPr>
          <w:lang w:val="es-ES"/>
        </w:rPr>
        <w:t xml:space="preserve"> </w:t>
      </w:r>
      <w:r>
        <w:rPr>
          <w:lang w:val="es-ES"/>
        </w:rPr>
        <w:t xml:space="preserve">externa.</w:t>
      </w:r>
    </w:p>
    <w:bookmarkStart w:id="10" w:name="conexiones-residuales"/>
    <w:p>
      <w:pPr>
        <w:pStyle w:val="Ttulo3"/>
      </w:pPr>
      <w:r>
        <w:t xml:space="preserve">2.2.1. Conexiones residuales</w:t>
      </w:r>
    </w:p>
    <w:p>
      <w:pPr>
        <w:rPr>
          <w:lang w:val="es-ES"/>
        </w:rPr>
      </w:pPr>
      <w:r>
        <w:rPr>
          <w:lang w:val="es-ES"/>
        </w:rPr>
        <w:t xml:space="preserve">Las redes profundas pueden resultar difíciles de optimizar porque cada bloque debe aprender una</w:t>
      </w:r>
      <w:r>
        <w:rPr>
          <w:lang w:val="es-ES"/>
        </w:rPr>
        <w:t xml:space="preserve"> </w:t>
      </w:r>
      <w:r>
        <w:rPr>
          <w:lang w:val="es-ES"/>
        </w:rPr>
        <w:t xml:space="preserve">transformación completa y el gradiente atraviesa una cadena larga de operaciones. Una conexión</w:t>
      </w:r>
      <w:r>
        <w:rPr>
          <w:lang w:val="es-ES"/>
        </w:rPr>
        <w:t xml:space="preserve"> </w:t>
      </w:r>
      <w:r>
        <w:rPr>
          <w:lang w:val="es-ES"/>
        </w:rPr>
        <w:t xml:space="preserve">residual reformula un bloque como</w:t>
      </w:r>
    </w:p>
    <w:p>
      <w:pPr>
        <w:rPr>
          <w:lang w:val="es-ES"/>
        </w:rPr>
      </w:pPr>
      <m:oMathPara>
        <m:oMathParaPr>
          <m:jc m:val="center"/>
        </m:oMathParaPr>
        <m:oMath>
          <m:r>
            <m:rPr>
              <m:sty m:val="bi"/>
            </m:rPr>
            <m:t>y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F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;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x</m:t>
          </m:r>
          <m:r>
            <m:rPr>
              <m:sty m:val="p"/>
            </m:rPr>
            <m:t>,</m:t>
          </m:r>
        </m:oMath>
      </m:oMathPara>
    </w:p>
    <w:p>
      <w:pPr>
        <w:rPr>
          <w:lang w:val="es-ES"/>
        </w:rPr>
      </w:pPr>
      <w:r>
        <w:rPr>
          <w:lang w:val="es-ES"/>
        </w:rPr>
        <w:t xml:space="preserve">donde</w:t>
      </w:r>
      <w:r>
        <w:rPr>
          <w:lang w:val="es-ES"/>
        </w:rPr>
        <w:t xml:space="preserve"> </w:t>
      </w:r>
      <m:oMath>
        <m:r>
          <m:rPr>
            <m:scr m:val="script"/>
            <m:sty m:val="p"/>
          </m:rPr>
          <m:t>F</m:t>
        </m:r>
      </m:oMath>
      <w:r>
        <w:rPr>
          <w:lang w:val="es-ES"/>
        </w:rPr>
        <w:t xml:space="preserve"> </w:t>
      </w:r>
      <w:r>
        <w:rPr>
          <w:lang w:val="es-ES"/>
        </w:rPr>
        <w:t xml:space="preserve">aprende el residuo respecto de la identidad. Este camino directo facilita la</w:t>
      </w:r>
      <w:r>
        <w:rPr>
          <w:lang w:val="es-ES"/>
        </w:rPr>
        <w:t xml:space="preserve"> </w:t>
      </w:r>
      <w:r>
        <w:rPr>
          <w:lang w:val="es-ES"/>
        </w:rPr>
        <w:t xml:space="preserve">propagación de información y gradientes y permite entrenar redes considerablemente más profundas</w:t>
      </w:r>
      <w:r>
        <w:rPr>
          <w:lang w:val="es-ES"/>
        </w:rPr>
        <w:t xml:space="preserve"> </w:t>
      </w:r>
      <w:r>
        <w:rPr>
          <w:lang w:val="es-ES"/>
        </w:rPr>
        <w:t xml:space="preserve">(He et al., 2016). En una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Residual U-Net</w:t>
      </w:r>
      <w:r>
        <w:rPr>
          <w:lang w:val="es-ES"/>
        </w:rPr>
        <w:t xml:space="preserve">, estos bloques se incorporan al codificador y al</w:t>
      </w:r>
      <w:r>
        <w:rPr>
          <w:lang w:val="es-ES"/>
        </w:rPr>
        <w:t xml:space="preserve"> </w:t>
      </w:r>
      <w:r>
        <w:rPr>
          <w:lang w:val="es-ES"/>
        </w:rPr>
        <w:t xml:space="preserve">decodificador sin eliminar las conexiones de salto entre ambos caminos. Se preserva así la</w:t>
      </w:r>
      <w:r>
        <w:rPr>
          <w:lang w:val="es-ES"/>
        </w:rPr>
        <w:t xml:space="preserve"> </w:t>
      </w:r>
      <w:r>
        <w:rPr>
          <w:lang w:val="es-ES"/>
        </w:rPr>
        <w:t xml:space="preserve">estructura multiescala de U-Net y se mejora la optimización interna de cada nivel.</w:t>
      </w:r>
    </w:p>
    <w:p>
      <w:pPr>
        <w:rPr>
          <w:lang w:val="es-ES"/>
        </w:rPr>
      </w:pPr>
      <w:r>
        <w:rPr>
          <w:lang w:val="es-ES"/>
        </w:rPr>
        <w:t xml:space="preserve">Las conexiones residuales modifican cómo se transforman las características dentro de la red; la</w:t>
      </w:r>
      <w:r>
        <w:rPr>
          <w:lang w:val="es-ES"/>
        </w:rPr>
        <w:t xml:space="preserve"> </w:t>
      </w:r>
      <w:r>
        <w:rPr>
          <w:lang w:val="es-ES"/>
        </w:rPr>
        <w:t xml:space="preserve">fusión define cómo llegan las modalidades al modelo. Esta independencia permite cambiar la regla de</w:t>
      </w:r>
      <w:r>
        <w:rPr>
          <w:lang w:val="es-ES"/>
        </w:rPr>
        <w:t xml:space="preserve"> </w:t>
      </w:r>
      <w:r>
        <w:rPr>
          <w:lang w:val="es-ES"/>
        </w:rPr>
        <w:t xml:space="preserve">entrada y mantener fija la Residual U-Net 3D en el estudio de ablación.</w:t>
      </w:r>
    </w:p>
    <w:bookmarkEnd w:id="8"/>
    <w:bookmarkStart w:id="11" w:name="compuertas-de-atención"/>
    <w:p>
      <w:pPr>
        <w:pStyle w:val="Ttulo3"/>
      </w:pPr>
      <w:r>
        <w:t xml:space="preserve">2.2.2. Compuertas de atención</w:t>
      </w:r>
    </w:p>
    <w:p>
      <w:pPr>
        <w:rPr>
          <w:lang w:val="es-ES"/>
        </w:rPr>
      </w:pPr>
      <w:r>
        <w:rPr>
          <w:lang w:val="es-ES"/>
        </w:rPr>
        <w:t xml:space="preserve">Las conexiones de salto de U-Net transmiten tanto señales relevantes como activaciones de fondo.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Attention U-Net</w:t>
      </w:r>
      <w:r>
        <w:rPr>
          <w:lang w:val="es-ES"/>
        </w:rPr>
        <w:t xml:space="preserve"> </w:t>
      </w:r>
      <w:r>
        <w:rPr>
          <w:lang w:val="es-ES"/>
        </w:rPr>
        <w:t xml:space="preserve">incorpora compuertas que utilizan una señal de contexto procedente del</w:t>
      </w:r>
      <w:r>
        <w:rPr>
          <w:lang w:val="es-ES"/>
        </w:rPr>
        <w:t xml:space="preserve"> </w:t>
      </w:r>
      <w:r>
        <w:rPr>
          <w:lang w:val="es-ES"/>
        </w:rPr>
        <w:t xml:space="preserve">decodificador para modular espacialmente las características del codificador antes de combinarlas</w:t>
      </w:r>
      <w:r>
        <w:rPr>
          <w:lang w:val="es-ES"/>
        </w:rPr>
        <w:t xml:space="preserve"> </w:t>
      </w:r>
      <w:r>
        <w:rPr>
          <w:lang w:val="es-ES"/>
        </w:rPr>
        <w:t xml:space="preserve">(Oktay et al., 2018). El mecanismo dirige capacidad hacia regiones compatibles con el objetivo y</w:t>
      </w:r>
      <w:r>
        <w:rPr>
          <w:lang w:val="es-ES"/>
        </w:rPr>
        <w:t xml:space="preserve"> </w:t>
      </w:r>
      <w:r>
        <w:rPr>
          <w:lang w:val="es-ES"/>
        </w:rPr>
        <w:t xml:space="preserve">puede reducir respuestas irrelevantes sin exigir una red de localización separada. El trabajo</w:t>
      </w:r>
      <w:r>
        <w:rPr>
          <w:lang w:val="es-ES"/>
        </w:rPr>
        <w:t xml:space="preserve"> </w:t>
      </w:r>
      <w:r>
        <w:rPr>
          <w:lang w:val="es-ES"/>
        </w:rPr>
        <w:t xml:space="preserve">original se validó sobre segmentación abdominal. Su utilidad en gliomas debe, por tanto, evaluarse</w:t>
      </w:r>
      <w:r>
        <w:rPr>
          <w:lang w:val="es-ES"/>
        </w:rPr>
        <w:t xml:space="preserve"> </w:t>
      </w:r>
      <w:r>
        <w:rPr>
          <w:lang w:val="es-ES"/>
        </w:rPr>
        <w:t xml:space="preserve">experimentalmente y no asumirse por traslación directa entre dominios.</w:t>
      </w:r>
    </w:p>
    <w:p>
      <w:pPr>
        <w:rPr>
          <w:lang w:val="es-ES"/>
        </w:rPr>
      </w:pPr>
      <w:r>
        <w:rPr>
          <w:lang w:val="es-ES"/>
        </w:rPr>
        <w:t xml:space="preserve">Las compuertas de Attention U-Net modulan espacialmente características internas de las conexiones</w:t>
      </w:r>
      <w:r>
        <w:rPr>
          <w:lang w:val="es-ES"/>
        </w:rPr>
        <w:t xml:space="preserve"> </w:t>
      </w:r>
      <w:r>
        <w:rPr>
          <w:lang w:val="es-ES"/>
        </w:rPr>
        <w:t xml:space="preserve">de salto. En cambio, la compuerta estudiada en la ablación asigna un peso global a cada canal de</w:t>
      </w:r>
      <w:r>
        <w:rPr>
          <w:lang w:val="es-ES"/>
        </w:rPr>
        <w:t xml:space="preserve"> </w:t>
      </w:r>
      <w:r>
        <w:rPr>
          <w:lang w:val="es-ES"/>
        </w:rPr>
        <w:t xml:space="preserve">entrada. Attention U-Net actúa, por tanto, como referencia arquitectónica contextual, mientras que</w:t>
      </w:r>
      <w:r>
        <w:rPr>
          <w:lang w:val="es-ES"/>
        </w:rPr>
        <w:t xml:space="preserve"> </w:t>
      </w:r>
      <w:r>
        <w:rPr>
          <w:lang w:val="es-ES"/>
        </w:rPr>
        <w:t xml:space="preserve">la hipótesis principal se estudia sobre una red residual fija.</w:t>
      </w:r>
    </w:p>
    <w:bookmarkEnd w:id="9"/>
    <w:bookmarkStart w:id="12" w:name="nnu-net-como-pipeline-auto-configurable"/>
    <w:p>
      <w:pPr>
        <w:pStyle w:val="Ttulo3"/>
      </w:pPr>
      <w:r>
        <w:t xml:space="preserve">2.2.3. nnU-Net como</w:t>
      </w:r>
      <w:r>
        <w:t xml:space="preserve"> </w:t>
      </w:r>
      <w:r>
        <w:rPr>
          <w:i/>
          <w:iCs/>
        </w:rPr>
        <w:t xml:space="preserve">pipeline</w:t>
      </w:r>
      <w:r>
        <w:t xml:space="preserve"> </w:t>
      </w:r>
      <w:r>
        <w:t xml:space="preserve">auto-configurable</w:t>
      </w:r>
    </w:p>
    <w:p>
      <w:pPr>
        <w:rPr>
          <w:lang w:val="es-ES"/>
        </w:rPr>
      </w:pPr>
      <w:r>
        <w:rPr>
          <w:lang w:val="es-ES"/>
        </w:rPr>
        <w:t xml:space="preserve">nnU-Net no es solamente una nueva variante de U-Net. Es un método auto-configurable que obtiene una</w:t>
      </w:r>
      <w:r>
        <w:rPr>
          <w:lang w:val="es-ES"/>
        </w:rPr>
        <w:t xml:space="preserve"> </w:t>
      </w:r>
      <w:r>
        <w:rPr>
          <w:lang w:val="es-ES"/>
        </w:rPr>
        <w:t xml:space="preserve">«huella» del conjunto de datos y, a partir de ella, adapta el preprocesamiento, la configuración 2D</w:t>
      </w:r>
      <w:r>
        <w:rPr>
          <w:lang w:val="es-ES"/>
        </w:rPr>
        <w:t xml:space="preserve"> </w:t>
      </w:r>
      <w:r>
        <w:rPr>
          <w:lang w:val="es-ES"/>
        </w:rPr>
        <w:t xml:space="preserve">o 3D, el tamaño de parche y de lote, el entrenamiento, el posprocesado y la inferencia. Su propuesta</w:t>
      </w:r>
      <w:r>
        <w:rPr>
          <w:lang w:val="es-ES"/>
        </w:rPr>
        <w:t xml:space="preserve"> </w:t>
      </w:r>
      <w:r>
        <w:rPr>
          <w:lang w:val="es-ES"/>
        </w:rPr>
        <w:t xml:space="preserve">es que una parte sustancial del rendimiento depende de decisiones de ingeniería coherentes con cada</w:t>
      </w:r>
      <w:r>
        <w:rPr>
          <w:lang w:val="es-ES"/>
        </w:rPr>
        <w:t xml:space="preserve"> </w:t>
      </w:r>
      <w:r>
        <w:rPr>
          <w:lang w:val="es-ES"/>
        </w:rPr>
        <w:t xml:space="preserve">conjunto de datos, no solo de introducir módulos arquitectónicos novedosos (Isensee et al., 2021).</w:t>
      </w:r>
    </w:p>
    <w:p>
      <w:pPr>
        <w:rPr>
          <w:lang w:val="es-ES"/>
        </w:rPr>
      </w:pPr>
      <w:r>
        <w:rPr>
          <w:lang w:val="es-ES"/>
        </w:rPr>
        <w:t xml:space="preserve">Un resultado de nnU-Net refleja un sistema completo auto-configurado, mientras que las variantes de</w:t>
      </w:r>
      <w:r>
        <w:rPr>
          <w:lang w:val="es-ES"/>
        </w:rPr>
        <w:t xml:space="preserve"> </w:t>
      </w:r>
      <w:r>
        <w:rPr>
          <w:lang w:val="es-ES"/>
        </w:rPr>
        <w:t xml:space="preserve">fusión comparten un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pipeline</w:t>
      </w:r>
      <w:r>
        <w:rPr>
          <w:lang w:val="es-ES"/>
        </w:rPr>
        <w:t xml:space="preserve"> </w:t>
      </w:r>
      <w:r>
        <w:rPr>
          <w:lang w:val="es-ES"/>
        </w:rPr>
        <w:t xml:space="preserve">MONAI y modifican el bloque anterior al codificador. nnU-Net</w:t>
      </w:r>
      <w:r>
        <w:rPr>
          <w:lang w:val="es-ES"/>
        </w:rPr>
        <w:t xml:space="preserve"> </w:t>
      </w:r>
      <w:r>
        <w:rPr>
          <w:lang w:val="es-ES"/>
        </w:rPr>
        <w:t xml:space="preserve">constituye por ello una referencia externa para contextualizar el nivel alcanzado, pero no forma</w:t>
      </w:r>
      <w:r>
        <w:rPr>
          <w:lang w:val="es-ES"/>
        </w:rPr>
        <w:t xml:space="preserve"> </w:t>
      </w:r>
      <w:r>
        <w:rPr>
          <w:lang w:val="es-ES"/>
        </w:rPr>
        <w:t xml:space="preserve">parte de la ablación entre reglas de fusión.</w:t>
      </w:r>
    </w:p>
    <w:bookmarkEnd w:id="10"/>
    <w:bookmarkEnd w:id="11"/>
    <w:bookmarkStart w:id="13" w:name="X470e97582000ff0f795e13d04c441976014b6ac"/>
    <w:p>
      <w:pPr>
        <w:pStyle w:val="Ttulo2"/>
      </w:pPr>
      <w:r>
        <w:t xml:space="preserve">2.3.</w:t>
      </w:r>
      <w:r>
        <w:t xml:space="preserve"> </w:t>
      </w:r>
      <w:r>
        <w:rPr>
          <w:i/>
          <w:iCs/>
        </w:rPr>
        <w:t xml:space="preserve">Transformers</w:t>
      </w:r>
      <w:r>
        <w:t xml:space="preserve"> </w:t>
      </w:r>
      <w:r>
        <w:t xml:space="preserve">y arquitecturas híbridas para segmentación 3D</w:t>
      </w:r>
    </w:p>
    <w:p>
      <w:pPr>
        <w:rPr>
          <w:lang w:val="es-ES"/>
        </w:rPr>
      </w:pPr>
      <w:r>
        <w:rPr>
          <w:lang w:val="es-ES"/>
        </w:rPr>
        <w:t xml:space="preserve">El mecanismo de autoatención de los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Transformers</w:t>
      </w:r>
      <w:r>
        <w:rPr>
          <w:lang w:val="es-ES"/>
        </w:rPr>
        <w:t xml:space="preserve"> </w:t>
      </w:r>
      <w:r>
        <w:rPr>
          <w:lang w:val="es-ES"/>
        </w:rPr>
        <w:t xml:space="preserve">relaciona cada elemento de una secuencia con los</w:t>
      </w:r>
      <w:r>
        <w:rPr>
          <w:lang w:val="es-ES"/>
        </w:rPr>
        <w:t xml:space="preserve"> </w:t>
      </w:r>
      <w:r>
        <w:rPr>
          <w:lang w:val="es-ES"/>
        </w:rPr>
        <w:t xml:space="preserve">demás y facilita el modelado de dependencias de largo alcance (Vaswani et al., 2017). Vision</w:t>
      </w:r>
      <w:r>
        <w:rPr>
          <w:lang w:val="es-ES"/>
        </w:rPr>
        <w:t xml:space="preserve"> </w:t>
      </w:r>
      <w:r>
        <w:rPr>
          <w:lang w:val="es-ES"/>
        </w:rPr>
        <w:t xml:space="preserve">Transformer trasladó esta idea a imágenes al dividirlas en parches, proyectarlos como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tokens</w:t>
      </w:r>
      <w:r>
        <w:rPr>
          <w:lang w:val="es-ES"/>
        </w:rPr>
        <w:t xml:space="preserve"> </w:t>
      </w:r>
      <w:r>
        <w:rPr>
          <w:lang w:val="es-ES"/>
        </w:rPr>
        <w:t xml:space="preserve">y</w:t>
      </w:r>
      <w:r>
        <w:rPr>
          <w:lang w:val="es-ES"/>
        </w:rPr>
        <w:t xml:space="preserve"> </w:t>
      </w:r>
      <w:r>
        <w:rPr>
          <w:lang w:val="es-ES"/>
        </w:rPr>
        <w:t xml:space="preserve">procesarlos mediante un codificador Transformer (Dosovitskiy et al., 2021). En segmentación médica</w:t>
      </w:r>
      <w:r>
        <w:rPr>
          <w:lang w:val="es-ES"/>
        </w:rPr>
        <w:t xml:space="preserve"> </w:t>
      </w:r>
      <w:r>
        <w:rPr>
          <w:lang w:val="es-ES"/>
        </w:rPr>
        <w:t xml:space="preserve">3D, la ventaja potencial es incorporar contexto distribuido por el volumen. Sin embargo, la</w:t>
      </w:r>
      <w:r>
        <w:rPr>
          <w:lang w:val="es-ES"/>
        </w:rPr>
        <w:t xml:space="preserve"> </w:t>
      </w:r>
      <w:r>
        <w:rPr>
          <w:lang w:val="es-ES"/>
        </w:rPr>
        <w:t xml:space="preserve">contrapartida es que la autoatención global crece cuadráticamente con el número de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tokens</w:t>
      </w:r>
      <w:r>
        <w:rPr>
          <w:lang w:val="es-ES"/>
        </w:rPr>
        <w:t xml:space="preserve">, que puede</w:t>
      </w:r>
      <w:r>
        <w:rPr>
          <w:lang w:val="es-ES"/>
        </w:rPr>
        <w:t xml:space="preserve"> </w:t>
      </w:r>
      <w:r>
        <w:rPr>
          <w:lang w:val="es-ES"/>
        </w:rPr>
        <w:t xml:space="preserve">ser muy elevado en datos volumétricos.</w:t>
      </w:r>
    </w:p>
    <w:p>
      <w:pPr>
        <w:rPr>
          <w:lang w:val="es-ES"/>
        </w:rPr>
      </w:pPr>
      <w:r>
        <w:rPr>
          <w:lang w:val="es-ES"/>
        </w:rPr>
        <w:t xml:space="preserve">Swin Transformer limita la atención a ventanas locales y desplaza esas ventanas entre bloques para</w:t>
      </w:r>
      <w:r>
        <w:rPr>
          <w:lang w:val="es-ES"/>
        </w:rPr>
        <w:t xml:space="preserve"> </w:t>
      </w:r>
      <w:r>
        <w:rPr>
          <w:lang w:val="es-ES"/>
        </w:rPr>
        <w:t xml:space="preserve">permitir intercambio de información entre regiones vecinas. Además, construye una jerarquía de</w:t>
      </w:r>
      <w:r>
        <w:rPr>
          <w:lang w:val="es-ES"/>
        </w:rPr>
        <w:t xml:space="preserve"> </w:t>
      </w:r>
      <w:r>
        <w:rPr>
          <w:lang w:val="es-ES"/>
        </w:rPr>
        <w:t xml:space="preserve">características con distintas resoluciones, apropiada para tareas densas y con una complejidad más</w:t>
      </w:r>
      <w:r>
        <w:rPr>
          <w:lang w:val="es-ES"/>
        </w:rPr>
        <w:t xml:space="preserve"> </w:t>
      </w:r>
      <w:r>
        <w:rPr>
          <w:lang w:val="es-ES"/>
        </w:rPr>
        <w:t xml:space="preserve">controlada respecto al número de elementos de la imagen (Liu et al., 2021). Esta combinación de</w:t>
      </w:r>
      <w:r>
        <w:rPr>
          <w:lang w:val="es-ES"/>
        </w:rPr>
        <w:t xml:space="preserve"> </w:t>
      </w:r>
      <w:r>
        <w:rPr>
          <w:lang w:val="es-ES"/>
        </w:rPr>
        <w:t xml:space="preserve">jerarquía y ventanas desplazadas acerca el comportamiento de un Transformer a la representación</w:t>
      </w:r>
      <w:r>
        <w:rPr>
          <w:lang w:val="es-ES"/>
        </w:rPr>
        <w:t xml:space="preserve"> </w:t>
      </w:r>
      <w:r>
        <w:rPr>
          <w:lang w:val="es-ES"/>
        </w:rPr>
        <w:t xml:space="preserve">multiescala que requieren los decodificadores tipo U-Net.</w:t>
      </w:r>
    </w:p>
    <w:p>
      <w:pPr>
        <w:rPr>
          <w:lang w:val="es-ES"/>
        </w:rPr>
      </w:pPr>
      <w:r>
        <w:rPr>
          <w:lang w:val="es-ES"/>
        </w:rPr>
        <w:t xml:space="preserve">En imagen médica se han propuesto varias formas de integrar este paradigma.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UNETR</w:t>
      </w:r>
      <w:r>
        <w:rPr>
          <w:lang w:val="es-ES"/>
        </w:rPr>
        <w:t xml:space="preserve"> </w:t>
      </w:r>
      <w:r>
        <w:rPr>
          <w:lang w:val="es-ES"/>
        </w:rPr>
        <w:t xml:space="preserve">emplea un</w:t>
      </w:r>
      <w:r>
        <w:rPr>
          <w:lang w:val="es-ES"/>
        </w:rPr>
        <w:t xml:space="preserve"> </w:t>
      </w:r>
      <w:r>
        <w:rPr>
          <w:lang w:val="es-ES"/>
        </w:rPr>
        <w:t xml:space="preserve">Transformer como codificador de una secuencia de parches volumétricos y conecta representaciones de</w:t>
      </w:r>
      <w:r>
        <w:rPr>
          <w:lang w:val="es-ES"/>
        </w:rPr>
        <w:t xml:space="preserve"> </w:t>
      </w:r>
      <w:r>
        <w:rPr>
          <w:lang w:val="es-ES"/>
        </w:rPr>
        <w:t xml:space="preserve">distintas profundidades con un decodificador convolucional (Hatamizadeh et al., 2022).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Swin-UNETR</w:t>
      </w:r>
      <w:r>
        <w:rPr>
          <w:lang w:val="es-ES"/>
        </w:rPr>
        <w:t xml:space="preserve"> </w:t>
      </w:r>
      <w:r>
        <w:rPr>
          <w:lang w:val="es-ES"/>
        </w:rPr>
        <w:t xml:space="preserve">reemplaza ese codificador por una jerarquía Swin 3D y conserva un decodificador con conexiones de</w:t>
      </w:r>
      <w:r>
        <w:rPr>
          <w:lang w:val="es-ES"/>
        </w:rPr>
        <w:t xml:space="preserve"> </w:t>
      </w:r>
      <w:r>
        <w:rPr>
          <w:lang w:val="es-ES"/>
        </w:rPr>
        <w:t xml:space="preserve">salto. Fue presentado por Tang et al. (2022) dentro de un marco de preentrenamiento autosupervisado.</w:t>
      </w:r>
      <w:r>
        <w:rPr>
          <w:lang w:val="es-ES"/>
        </w:rPr>
        <w:t xml:space="preserve"> </w:t>
      </w:r>
      <w:r>
        <w:rPr>
          <w:lang w:val="es-ES"/>
        </w:rPr>
        <w:t xml:space="preserve">La implementación utilizada en este TFM corresponde a la arquitectura disponible en MONAI y se</w:t>
      </w:r>
      <w:r>
        <w:rPr>
          <w:lang w:val="es-ES"/>
        </w:rPr>
        <w:t xml:space="preserve"> </w:t>
      </w:r>
      <w:r>
        <w:rPr>
          <w:lang w:val="es-ES"/>
        </w:rPr>
        <w:t xml:space="preserve">entrena con el protocolo definido para el proyecto, sin atribuirle por ello los resultados del</w:t>
      </w:r>
      <w:r>
        <w:rPr>
          <w:lang w:val="es-ES"/>
        </w:rPr>
        <w:t xml:space="preserve"> </w:t>
      </w:r>
      <w:r>
        <w:rPr>
          <w:lang w:val="es-ES"/>
        </w:rPr>
        <w:t xml:space="preserve">preentrenamiento del artículo original.</w:t>
      </w:r>
    </w:p>
    <w:p>
      <w:pPr>
        <w:rPr>
          <w:lang w:val="es-ES"/>
        </w:rPr>
      </w:pPr>
      <w:r>
        <w:rPr>
          <w:b/>
          <w:bCs/>
          <w:lang w:val="es-ES"/>
        </w:rPr>
        <w:t xml:space="preserve">TransBTS</w:t>
      </w:r>
      <w:r>
        <w:rPr>
          <w:lang w:val="es-ES"/>
        </w:rPr>
        <w:t xml:space="preserve"> </w:t>
      </w:r>
      <w:r>
        <w:rPr>
          <w:lang w:val="es-ES"/>
        </w:rPr>
        <w:t xml:space="preserve">adopta otra solución híbrida. Una CNN extrae representaciones espaciales 3D y un</w:t>
      </w:r>
      <w:r>
        <w:rPr>
          <w:lang w:val="es-ES"/>
        </w:rPr>
        <w:t xml:space="preserve"> </w:t>
      </w:r>
      <w:r>
        <w:rPr>
          <w:lang w:val="es-ES"/>
        </w:rPr>
        <w:t xml:space="preserve">Transformer situado en la parte profunda modela relaciones globales antes de la decodificación</w:t>
      </w:r>
      <w:r>
        <w:rPr>
          <w:lang w:val="es-ES"/>
        </w:rPr>
        <w:t xml:space="preserve"> </w:t>
      </w:r>
      <w:r>
        <w:rPr>
          <w:lang w:val="es-ES"/>
        </w:rPr>
        <w:t xml:space="preserve">(Wang et al., 2021). En paralelo, propuestas como UNETR++ buscan reducir el coste de la atención 3D</w:t>
      </w:r>
      <w:r>
        <w:rPr>
          <w:lang w:val="es-ES"/>
        </w:rPr>
        <w:t xml:space="preserve"> </w:t>
      </w:r>
      <w:r>
        <w:rPr>
          <w:lang w:val="es-ES"/>
        </w:rPr>
        <w:t xml:space="preserve">mediante bloques más eficientes (Shaker et al., 2024). En conjunto, estas arquitecturas amplían el</w:t>
      </w:r>
      <w:r>
        <w:rPr>
          <w:lang w:val="es-ES"/>
        </w:rPr>
        <w:t xml:space="preserve"> </w:t>
      </w:r>
      <w:r>
        <w:rPr>
          <w:lang w:val="es-ES"/>
        </w:rPr>
        <w:t xml:space="preserve">campo receptivo y la capacidad de modelar contexto, pero suelen exigir más parámetros, memoria o</w:t>
      </w:r>
      <w:r>
        <w:rPr>
          <w:lang w:val="es-ES"/>
        </w:rPr>
        <w:t xml:space="preserve"> </w:t>
      </w:r>
      <w:r>
        <w:rPr>
          <w:lang w:val="es-ES"/>
        </w:rPr>
        <w:t xml:space="preserve">tiempo que una U-Net compacta. Por ello, CNN, modelos híbridos y Transformers puros deben compararse</w:t>
      </w:r>
      <w:r>
        <w:rPr>
          <w:lang w:val="es-ES"/>
        </w:rPr>
        <w:t xml:space="preserve"> </w:t>
      </w:r>
      <w:r>
        <w:rPr>
          <w:lang w:val="es-ES"/>
        </w:rPr>
        <w:t xml:space="preserve">bajo datos, presupuesto y protocolo compatibles; la familia arquitectónica, por sí sola, no</w:t>
      </w:r>
      <w:r>
        <w:rPr>
          <w:lang w:val="es-ES"/>
        </w:rPr>
        <w:t xml:space="preserve"> </w:t>
      </w:r>
      <w:r>
        <w:rPr>
          <w:lang w:val="es-ES"/>
        </w:rPr>
        <w:t xml:space="preserve">garantiza un resultado superior.</w:t>
      </w:r>
    </w:p>
    <w:bookmarkEnd w:id="12"/>
    <w:bookmarkStart w:id="14" w:name="fusión-multimodal-en-rm"/>
    <w:p>
      <w:pPr>
        <w:pStyle w:val="Ttulo2"/>
      </w:pPr>
      <w:r>
        <w:t xml:space="preserve">2.4. Fusión multimodal en RM</w:t>
      </w:r>
    </w:p>
    <w:p>
      <w:pPr>
        <w:rPr>
          <w:lang w:val="es-ES"/>
        </w:rPr>
      </w:pPr>
      <w:r>
        <w:rPr>
          <w:lang w:val="es-ES"/>
        </w:rPr>
        <w:t xml:space="preserve">Las secuencias T1n, T1c, T2w y FLAIR observan el mismo volumen con contrastes complementarios. Para</w:t>
      </w:r>
      <w:r>
        <w:rPr>
          <w:lang w:val="es-ES"/>
        </w:rPr>
        <w:t xml:space="preserve"> </w:t>
      </w:r>
      <w:r>
        <w:rPr>
          <w:lang w:val="es-ES"/>
        </w:rPr>
        <w:t xml:space="preserve">ordenar las variantes de fusión se separan dos decisiones: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etapa</w:t>
      </w:r>
      <w:r>
        <w:rPr>
          <w:lang w:val="es-ES"/>
        </w:rPr>
        <w:t xml:space="preserve"> </w:t>
      </w:r>
      <w:r>
        <w:rPr>
          <w:lang w:val="es-ES"/>
        </w:rPr>
        <w:t xml:space="preserve">en la que se integran las</w:t>
      </w:r>
      <w:r>
        <w:rPr>
          <w:lang w:val="es-ES"/>
        </w:rPr>
        <w:t xml:space="preserve"> </w:t>
      </w:r>
      <w:r>
        <w:rPr>
          <w:lang w:val="es-ES"/>
        </w:rPr>
        <w:t xml:space="preserve">modalidades y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regla</w:t>
      </w:r>
      <w:r>
        <w:rPr>
          <w:lang w:val="es-ES"/>
        </w:rPr>
        <w:t xml:space="preserve"> </w:t>
      </w:r>
      <w:r>
        <w:rPr>
          <w:lang w:val="es-ES"/>
        </w:rPr>
        <w:t xml:space="preserve">utilizada para combinarlas. «Adaptativa» describe una regla dependiente de</w:t>
      </w:r>
      <w:r>
        <w:rPr>
          <w:lang w:val="es-ES"/>
        </w:rPr>
        <w:t xml:space="preserve"> </w:t>
      </w:r>
      <w:r>
        <w:rPr>
          <w:lang w:val="es-ES"/>
        </w:rPr>
        <w:t xml:space="preserve">los datos, no una etapa por sí misma.</w:t>
      </w:r>
    </w:p>
    <w:p>
      <w:pPr>
        <w:rPr>
          <w:lang w:val="es-ES"/>
        </w:rPr>
      </w:pPr>
      <w:r>
        <w:rPr>
          <w:lang w:val="es-ES"/>
        </w:rPr>
        <w:t xml:space="preserve">Según la etapa, se distinguen tres categorías principales. En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fusión temprana</w:t>
      </w:r>
      <w:r>
        <w:rPr>
          <w:lang w:val="es-ES"/>
        </w:rPr>
        <w:t xml:space="preserve">, las</w:t>
      </w:r>
      <w:r>
        <w:rPr>
          <w:lang w:val="es-ES"/>
        </w:rPr>
        <w:t xml:space="preserve"> </w:t>
      </w:r>
      <w:r>
        <w:rPr>
          <w:lang w:val="es-ES"/>
        </w:rPr>
        <w:t xml:space="preserve">modalidades se combinan antes del extractor o en sus primeras capas. Es eficiente y permite aprender</w:t>
      </w:r>
      <w:r>
        <w:rPr>
          <w:lang w:val="es-ES"/>
        </w:rPr>
        <w:t xml:space="preserve"> </w:t>
      </w:r>
      <w:r>
        <w:rPr>
          <w:lang w:val="es-ES"/>
        </w:rPr>
        <w:t xml:space="preserve">interacciones desde el inicio, aunque normalmente presupone que todas las secuencias están</w:t>
      </w:r>
      <w:r>
        <w:rPr>
          <w:lang w:val="es-ES"/>
        </w:rPr>
        <w:t xml:space="preserve"> </w:t>
      </w:r>
      <w:r>
        <w:rPr>
          <w:lang w:val="es-ES"/>
        </w:rPr>
        <w:t xml:space="preserve">disponibles y alineadas. En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fusión intermedia</w:t>
      </w:r>
      <w:r>
        <w:rPr>
          <w:lang w:val="es-ES"/>
        </w:rPr>
        <w:t xml:space="preserve">, cada modalidad dispone de una rama propia —o</w:t>
      </w:r>
      <w:r>
        <w:rPr>
          <w:lang w:val="es-ES"/>
        </w:rPr>
        <w:t xml:space="preserve"> </w:t>
      </w:r>
      <w:r>
        <w:rPr>
          <w:lang w:val="es-ES"/>
        </w:rPr>
        <w:t xml:space="preserve">de un procesamiento parcialmente separado— y las características se integran en uno o varios</w:t>
      </w:r>
      <w:r>
        <w:rPr>
          <w:lang w:val="es-ES"/>
        </w:rPr>
        <w:t xml:space="preserve"> </w:t>
      </w:r>
      <w:r>
        <w:rPr>
          <w:lang w:val="es-ES"/>
        </w:rPr>
        <w:t xml:space="preserve">niveles. Esta opción puede preservar representaciones específicas de cada contraste, a cambio de</w:t>
      </w:r>
      <w:r>
        <w:rPr>
          <w:lang w:val="es-ES"/>
        </w:rPr>
        <w:t xml:space="preserve"> </w:t>
      </w:r>
      <w:r>
        <w:rPr>
          <w:lang w:val="es-ES"/>
        </w:rPr>
        <w:t xml:space="preserve">mayor complejidad. En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fusión tardía</w:t>
      </w:r>
      <w:r>
        <w:rPr>
          <w:lang w:val="es-ES"/>
        </w:rPr>
        <w:t xml:space="preserve">, cada modalidad genera predicciones que se combinan al</w:t>
      </w:r>
      <w:r>
        <w:rPr>
          <w:lang w:val="es-ES"/>
        </w:rPr>
        <w:t xml:space="preserve"> </w:t>
      </w:r>
      <w:r>
        <w:rPr>
          <w:lang w:val="es-ES"/>
        </w:rPr>
        <w:t xml:space="preserve">final. Ofrece modularidad, pero replica gran parte del cálculo y retrasa las interacciones entre</w:t>
      </w:r>
      <w:r>
        <w:rPr>
          <w:lang w:val="es-ES"/>
        </w:rPr>
        <w:t xml:space="preserve"> </w:t>
      </w:r>
      <w:r>
        <w:rPr>
          <w:lang w:val="es-ES"/>
        </w:rPr>
        <w:t xml:space="preserve">secuencias. Los diseños híbridos pueden emplear más de una etapa, como muestran propuestas que</w:t>
      </w:r>
      <w:r>
        <w:rPr>
          <w:lang w:val="es-ES"/>
        </w:rPr>
        <w:t xml:space="preserve"> </w:t>
      </w:r>
      <w:r>
        <w:rPr>
          <w:lang w:val="es-ES"/>
        </w:rPr>
        <w:t xml:space="preserve">combinan fusión a nivel de imagen, características o contexto global (Liu et al., 2022; Wang et al.,</w:t>
      </w:r>
      <w:r>
        <w:rPr>
          <w:lang w:val="es-ES"/>
        </w:rPr>
        <w:t xml:space="preserve"> </w:t>
      </w:r>
      <w:r>
        <w:rPr>
          <w:lang w:val="es-ES"/>
        </w:rPr>
        <w:t xml:space="preserve">2021; Zhou et al., 2022).</w:t>
      </w:r>
    </w:p>
    <w:p>
      <w:pPr>
        <w:rPr>
          <w:lang w:val="es-ES"/>
        </w:rPr>
      </w:pPr>
      <w:r>
        <w:rPr>
          <w:lang w:val="es-ES"/>
        </w:rPr>
        <w:t xml:space="preserve">La Tabla 1 cruza las tres etapas con reglas compatibles; una ponderación aprendida no pertenece</w:t>
      </w:r>
      <w:r>
        <w:rPr>
          <w:lang w:val="es-ES"/>
        </w:rPr>
        <w:t xml:space="preserve"> </w:t>
      </w:r>
      <w:r>
        <w:rPr>
          <w:lang w:val="es-ES"/>
        </w:rPr>
        <w:t xml:space="preserve">necesariamente a una única etapa y puede aplicarse tanto a la entrada como a características</w:t>
      </w:r>
      <w:r>
        <w:rPr>
          <w:lang w:val="es-ES"/>
        </w:rPr>
        <w:t xml:space="preserve"> </w:t>
      </w:r>
      <w:r>
        <w:rPr>
          <w:lang w:val="es-ES"/>
        </w:rPr>
        <w:t xml:space="preserve">intermedias.</w:t>
      </w:r>
    </w:p>
    <w:tbl>
      <w:tblPr>
        <w:tblStyle w:val="Tablaconcuadrcula"/>
        <w:tblW w:type="dxa" w:w="8504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BFBFBF"/>
          <w:left w:val="single" w:sz="5" w:space="0" w:color="BFBFBF"/>
          <w:bottom w:val="single" w:sz="5" w:space="0" w:color="BFBFBF"/>
          <w:right w:val="single" w:sz="5" w:space="0" w:color="BFBFBF"/>
          <w:insideH w:val="single" w:sz="5" w:space="0" w:color="BFBFBF"/>
          <w:insideV w:val="single" w:sz="5" w:space="0" w:color="BFBFBF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6"/>
              </w:rPr>
              <w:t xml:space="preserve">Etapa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6"/>
              </w:rPr>
              <w:t xml:space="preserve">Representación que se combina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6"/>
              </w:rPr>
              <w:t xml:space="preserve">Reglas habituales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6"/>
              </w:rPr>
              <w:t xml:space="preserve">Ventajas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6"/>
              </w:rPr>
              <w:t xml:space="preserve">Limitaciones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Temprana (</w:t>
            </w:r>
            <w:r>
              <w:rPr>
                <w:rFonts w:ascii="Arial" w:hAnsi="Arial" w:cs="Arial" w:eastAsia="Arial"/>
                <w:i/>
                <w:iCs/>
                <w:color w:val="000000"/>
                <w:sz w:val="16"/>
              </w:rPr>
              <w:t xml:space="preserve">early fusion</w:t>
            </w:r>
            <w:r>
              <w:rPr>
                <w:rFonts w:ascii="Arial" w:hAnsi="Arial" w:cs="Arial" w:eastAsia="Arial"/>
                <w:color w:val="000000"/>
                <w:sz w:val="16"/>
              </w:rPr>
              <w:t xml:space="preserve">)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Imágenes o canales antes del codificador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Concatenación, suma o ponderación de modalidades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Integración sencilla; reutiliza un único extractor; coste adicional reducido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Dependencia de modalidades presentes y registradas. Menor separación explícita de rasgos específicos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Intermedia (</w:t>
            </w:r>
            <w:r>
              <w:rPr>
                <w:rFonts w:ascii="Arial" w:hAnsi="Arial" w:cs="Arial" w:eastAsia="Arial"/>
                <w:i/>
                <w:iCs/>
                <w:color w:val="000000"/>
                <w:sz w:val="16"/>
              </w:rPr>
              <w:t xml:space="preserve">feature-level fusion</w:t>
            </w:r>
            <w:r>
              <w:rPr>
                <w:rFonts w:ascii="Arial" w:hAnsi="Arial" w:cs="Arial" w:eastAsia="Arial"/>
                <w:color w:val="000000"/>
                <w:sz w:val="16"/>
              </w:rPr>
              <w:t xml:space="preserve">)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Características de ramas específicas en uno o varios niveles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Concatenación, suma, atención cruzada o compuertas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Modela relaciones multiescala y conserva representaciones por modalidad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Más parámetros y activaciones. Aumenta la complejidad de entrenamiento e integración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Tardía (</w:t>
            </w:r>
            <w:r>
              <w:rPr>
                <w:rFonts w:ascii="Arial" w:hAnsi="Arial" w:cs="Arial" w:eastAsia="Arial"/>
                <w:i/>
                <w:iCs/>
                <w:color w:val="000000"/>
                <w:sz w:val="16"/>
              </w:rPr>
              <w:t xml:space="preserve">decision-level fusion</w:t>
            </w:r>
            <w:r>
              <w:rPr>
                <w:rFonts w:ascii="Arial" w:hAnsi="Arial" w:cs="Arial" w:eastAsia="Arial"/>
                <w:color w:val="000000"/>
                <w:sz w:val="16"/>
              </w:rPr>
              <w:t xml:space="preserve">)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Mapas de probabilidad o decisiones de modelos separados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Media, voto, producto o ensamblado aprendido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Modularidad y posibilidad de especialización por modalidad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Duplica cálculo. Las modalidades no interactúan durante la extracción temprana de rasgos</w:t>
            </w:r>
          </w:p>
        </w:tc>
      </w:tr>
    </w:tbl>
    <w:p>
      <w:pPr>
        <w:pStyle w:val="Descripcin"/>
        <w:keepLines/>
        <w:rPr>
          <w:lang w:val="es-ES"/>
        </w:rPr>
      </w:pPr>
      <w:r>
        <w:rPr>
          <w:b/>
          <w:lang w:val="es-ES"/>
        </w:rPr>
        <w:t xml:space="preserve">Tabla </w:t>
      </w:r>
      <w:r>
        <w:rPr>
          <w:lang w:val="es-ES"/>
        </w:rPr>
        <w:fldChar w:fldCharType="begin" w:dirty="true"/>
      </w:r>
      <w:r>
        <w:rPr>
          <w:lang w:val="es-ES"/>
        </w:rPr>
        <w:instrText xml:space="preserve"> SEQ Tabla \* ARABIC </w:instrText>
      </w:r>
      <w:r>
        <w:rPr>
          <w:lang w:val="es-ES"/>
        </w:rPr>
        <w:fldChar w:fldCharType="separate"/>
      </w:r>
      <w:r>
        <w:rPr>
          <w:b/>
          <w:lang w:val="es-ES"/>
        </w:rPr>
        <w:t>1</w:t>
      </w:r>
      <w:r>
        <w:rPr>
          <w:lang w:val="es-ES"/>
        </w:rPr>
        <w:fldChar w:fldCharType="end"/>
      </w:r>
      <w:r>
        <w:rPr>
          <w:b/>
          <w:lang w:val="es-ES"/>
        </w:rPr>
        <w:t xml:space="preserve">. </w:t>
      </w:r>
      <w:r>
        <w:rPr>
          <w:lang w:val="es-ES"/>
        </w:rPr>
        <w:t>Etapas de fusión multimodal en segmentación de imagen médica.</w:t>
      </w:r>
    </w:p>
    <w:p>
      <w:pPr>
        <w:rPr>
          <w:lang w:val="es-ES"/>
        </w:rPr>
      </w:pPr>
      <w:r>
        <w:rPr>
          <w:lang w:val="es-ES"/>
        </w:rPr>
        <w:t xml:space="preserve">La etapa no determina por sí sola el grado de adaptación. La fusión temprana puede ser una</w:t>
      </w:r>
      <w:r>
        <w:rPr>
          <w:lang w:val="es-ES"/>
        </w:rPr>
        <w:t xml:space="preserve"> </w:t>
      </w:r>
      <w:r>
        <w:rPr>
          <w:lang w:val="es-ES"/>
        </w:rPr>
        <w:t xml:space="preserve">concatenación sin pesos explícitos o una ponderación condicionada por la entrada; una fusión</w:t>
      </w:r>
      <w:r>
        <w:rPr>
          <w:lang w:val="es-ES"/>
        </w:rPr>
        <w:t xml:space="preserve"> </w:t>
      </w:r>
      <w:r>
        <w:rPr>
          <w:lang w:val="es-ES"/>
        </w:rPr>
        <w:t xml:space="preserve">intermedia también puede usar coeficientes fijos. En este trabajo se eligió la fusión temprana para</w:t>
      </w:r>
      <w:r>
        <w:rPr>
          <w:lang w:val="es-ES"/>
        </w:rPr>
        <w:t xml:space="preserve"> </w:t>
      </w:r>
      <w:r>
        <w:rPr>
          <w:lang w:val="es-ES"/>
        </w:rPr>
        <w:t xml:space="preserve">mantener un único extractor y concentrar la comparación en la regla aplicada a los canales.</w:t>
      </w:r>
    </w:p>
    <w:bookmarkStart w:id="15" w:name="reglas-de-combinación-temprana"/>
    <w:p>
      <w:pPr>
        <w:pStyle w:val="Ttulo3"/>
      </w:pPr>
      <w:r>
        <w:t xml:space="preserve">2.4.1. Reglas de combinación temprana</w:t>
      </w:r>
    </w:p>
    <w:p>
      <w:pPr>
        <w:rPr>
          <w:lang w:val="es-ES"/>
        </w:rPr>
      </w:pPr>
      <w:r>
        <w:rPr>
          <w:lang w:val="es-ES"/>
        </w:rPr>
        <w:t xml:space="preserve">Sean</w:t>
      </w:r>
      <w:r>
        <w:rPr>
          <w:lang w:val="es-ES"/>
        </w:rP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bi"/>
              </m:rPr>
              <m:t>x</m:t>
            </m:r>
          </m:e>
          <m:sub>
            <m:r>
              <m:t>M</m:t>
            </m:r>
          </m:sub>
        </m:sSub>
      </m:oMath>
      <w:r>
        <w:rPr>
          <w:lang w:val="es-ES"/>
        </w:rPr>
        <w:t xml:space="preserve"> </w:t>
      </w:r>
      <w:r>
        <w:rPr>
          <w:lang w:val="es-ES"/>
        </w:rPr>
        <w:t xml:space="preserve">las modalidades registradas de una muestra.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concatenación</w:t>
      </w:r>
      <w:r>
        <w:rPr>
          <w:lang w:val="es-ES"/>
        </w:rPr>
        <w:t xml:space="preserve"> </w:t>
      </w:r>
      <w:r>
        <w:rPr>
          <w:lang w:val="es-ES"/>
        </w:rPr>
        <w:t xml:space="preserve">forma</w:t>
      </w:r>
      <w:r>
        <w:rPr>
          <w:lang w:val="es-ES"/>
        </w:rP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rPr>
                <m:sty m:val="bi"/>
              </m:rP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;</m:t>
        </m:r>
        <m:r>
          <m:rPr>
            <m:sty m:val="p"/>
          </m:rPr>
          <m:t>…</m:t>
        </m:r>
        <m:r>
          <m:rPr>
            <m:sty m:val="p"/>
          </m:rPr>
          <m:t>;</m:t>
        </m:r>
        <m:sSub>
          <m:e>
            <m:r>
              <m:rPr>
                <m:sty m:val="bi"/>
              </m:rPr>
              <m:t>x</m:t>
            </m:r>
          </m:e>
          <m:sub>
            <m:r>
              <m:t>M</m:t>
            </m:r>
          </m:sub>
        </m:sSub>
        <m:r>
          <m:rPr>
            <m:sty m:val="p"/>
          </m:rPr>
          <m:t>]</m:t>
        </m:r>
      </m:oMath>
      <w:r>
        <w:rPr>
          <w:lang w:val="es-ES"/>
        </w:rPr>
        <w:t xml:space="preserve"> </w:t>
      </w:r>
      <w:r>
        <w:rPr>
          <w:lang w:val="es-ES"/>
        </w:rPr>
        <w:t xml:space="preserve">y deja que la primera capa</w:t>
      </w:r>
      <w:r>
        <w:rPr>
          <w:lang w:val="es-ES"/>
        </w:rPr>
        <w:t xml:space="preserve"> </w:t>
      </w:r>
      <w:r>
        <w:rPr>
          <w:lang w:val="es-ES"/>
        </w:rPr>
        <w:t xml:space="preserve">aprenda filtros diferentes para cada canal. No realiza una media ni impone matemáticamente el mismo</w:t>
      </w:r>
      <w:r>
        <w:rPr>
          <w:lang w:val="es-ES"/>
        </w:rPr>
        <w:t xml:space="preserve"> </w:t>
      </w:r>
      <w:r>
        <w:rPr>
          <w:lang w:val="es-ES"/>
        </w:rPr>
        <w:t xml:space="preserve">peso a todas las modalidades. Su rasgo distintivo es que carece de un parámetro separado y</w:t>
      </w:r>
      <w:r>
        <w:rPr>
          <w:lang w:val="es-ES"/>
        </w:rPr>
        <w:t xml:space="preserve"> </w:t>
      </w:r>
      <w:r>
        <w:rPr>
          <w:lang w:val="es-ES"/>
        </w:rPr>
        <w:t xml:space="preserve">observable que reajuste de forma explícita su contribución.</w:t>
      </w:r>
    </w:p>
    <w:p>
      <w:pPr>
        <w:rPr>
          <w:lang w:val="es-ES"/>
        </w:rPr>
      </w:pPr>
      <w:r>
        <w:rPr>
          <w:lang w:val="es-ES"/>
        </w:rPr>
        <w:t xml:space="preserve">Una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ponderación global estática</w:t>
      </w:r>
      <w:r>
        <w:rPr>
          <w:lang w:val="es-ES"/>
        </w:rPr>
        <w:t xml:space="preserve"> </w:t>
      </w:r>
      <w:r>
        <w:rPr>
          <w:lang w:val="es-ES"/>
        </w:rPr>
        <w:t xml:space="preserve">aprende un vector de parámetros compartido por todas las</w:t>
      </w:r>
      <w:r>
        <w:rPr>
          <w:lang w:val="es-ES"/>
        </w:rPr>
        <w:t xml:space="preserve"> </w:t>
      </w:r>
      <w:r>
        <w:rPr>
          <w:lang w:val="es-ES"/>
        </w:rPr>
        <w:t xml:space="preserve">muestras. Si</w:t>
      </w:r>
      <w:r>
        <w:rPr>
          <w:lang w:val="es-ES"/>
        </w:rPr>
        <w:t xml:space="preserve"> </w:t>
      </w:r>
      <m:oMath>
        <m:r>
          <m:rPr>
            <m:sty m:val="bi"/>
          </m:rPr>
          <m:t>α</m:t>
        </m:r>
        <m:r>
          <m:rPr>
            <m:sty m:val="p"/>
          </m:rPr>
          <m:t>=</m:t>
        </m:r>
        <m:r>
          <m:rPr>
            <m:sty m:val="p"/>
          </m:rPr>
          <m:t>softmax</m:t>
        </m:r>
        <m:r>
          <m:rPr>
            <m:sty m:val="p"/>
          </m:rPr>
          <m:t>(</m:t>
        </m:r>
        <m:r>
          <m:rPr>
            <m:sty m:val="bi"/>
          </m:rPr>
          <m:t>θ</m:t>
        </m:r>
        <m:r>
          <m:rPr>
            <m:sty m:val="p"/>
          </m:rPr>
          <m:t>)</m:t>
        </m:r>
      </m:oMath>
      <w:r>
        <w:rPr>
          <w:lang w:val="es-ES"/>
        </w:rPr>
        <w:t xml:space="preserve">, cada canal puede</w:t>
      </w:r>
      <w:r>
        <w:rPr>
          <w:lang w:val="es-ES"/>
        </w:rPr>
        <w:t xml:space="preserve"> </w:t>
      </w:r>
      <w:r>
        <w:rPr>
          <w:lang w:val="es-ES"/>
        </w:rPr>
        <w:t xml:space="preserve">reescalarse como</w:t>
      </w:r>
    </w:p>
    <w:p>
      <w:pPr>
        <w:rPr>
          <w:lang w:val="es-ES"/>
        </w:rPr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rPr>
                      <m:sty m:val="bi"/>
                    </m:rPr>
                    <m:t>x</m:t>
                  </m:r>
                </m:e>
              </m:acc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M</m:t>
          </m:r>
          <m:sSub>
            <m:e>
              <m:r>
                <m:t>α</m:t>
              </m:r>
            </m:e>
            <m:sub>
              <m:r>
                <m:t>m</m:t>
              </m:r>
            </m:sub>
          </m:sSub>
          <m:sSub>
            <m:e>
              <m:r>
                <m:rPr>
                  <m:sty m:val="bi"/>
                </m:rPr>
                <m:t>x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rPr>
          <w:lang w:val="es-ES"/>
        </w:rPr>
      </w:pPr>
      <w:r>
        <w:rPr>
          <w:lang w:val="es-ES"/>
        </w:rPr>
        <w:t xml:space="preserve">El factor</w:t>
      </w:r>
      <w:r>
        <w:rPr>
          <w:lang w:val="es-ES"/>
        </w:rPr>
        <w:t xml:space="preserve"> </w:t>
      </w:r>
      <m:oMath>
        <m:r>
          <m:t>M</m:t>
        </m:r>
      </m:oMath>
      <w:r>
        <w:rPr>
          <w:lang w:val="es-ES"/>
        </w:rPr>
        <w:t xml:space="preserve"> </w:t>
      </w:r>
      <w:r>
        <w:rPr>
          <w:lang w:val="es-ES"/>
        </w:rPr>
        <w:t xml:space="preserve">conserva la escala de la identidad cuando los pesos se inicializan uniformemente.</w:t>
      </w:r>
      <w:r>
        <w:rPr>
          <w:lang w:val="es-ES"/>
        </w:rPr>
        <w:t xml:space="preserve"> </w:t>
      </w:r>
      <w:r>
        <w:rPr>
          <w:lang w:val="es-ES"/>
        </w:rPr>
        <w:t xml:space="preserve">Esta regla puede descubrir una jerarquía promedio entre secuencias, pero aplica la misma jerarquía a</w:t>
      </w:r>
      <w:r>
        <w:rPr>
          <w:lang w:val="es-ES"/>
        </w:rPr>
        <w:t xml:space="preserve"> </w:t>
      </w:r>
      <w:r>
        <w:rPr>
          <w:lang w:val="es-ES"/>
        </w:rPr>
        <w:t xml:space="preserve">todos los casos.</w:t>
      </w:r>
    </w:p>
    <w:p>
      <w:pPr>
        <w:rPr>
          <w:lang w:val="es-ES"/>
        </w:rPr>
      </w:pPr>
      <w:r>
        <w:rPr>
          <w:lang w:val="es-ES"/>
        </w:rPr>
        <w:t xml:space="preserve">Una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ponderación condicionada por la entrada</w:t>
      </w:r>
      <w:r>
        <w:rPr>
          <w:lang w:val="es-ES"/>
        </w:rPr>
        <w:t xml:space="preserve"> </w:t>
      </w:r>
      <w:r>
        <w:rPr>
          <w:lang w:val="es-ES"/>
        </w:rPr>
        <w:t xml:space="preserve">calcula</w:t>
      </w:r>
      <w:r>
        <w:rPr>
          <w:lang w:val="es-ES"/>
        </w:rPr>
        <w:t xml:space="preserve"> </w:t>
      </w:r>
      <m:oMath>
        <m:r>
          <m:rPr>
            <m:sty m:val="bi"/>
          </m:rPr>
          <m:t>α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softmax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ϕ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lang w:val="es-ES"/>
        </w:rPr>
        <w:t xml:space="preserve">, donde</w:t>
      </w:r>
      <w:r>
        <w:rPr>
          <w:lang w:val="es-ES"/>
        </w:rPr>
        <w:t xml:space="preserve"> </w:t>
      </w:r>
      <m:oMath>
        <m:r>
          <m:t>ϕ</m:t>
        </m:r>
      </m:oMath>
      <w:r>
        <w:rPr>
          <w:lang w:val="es-ES"/>
        </w:rPr>
        <w:t xml:space="preserve"> </w:t>
      </w:r>
      <w:r>
        <w:rPr>
          <w:lang w:val="es-ES"/>
        </w:rPr>
        <w:t xml:space="preserve">resume cada modalidad y</w:t>
      </w:r>
      <w:r>
        <w:rPr>
          <w:lang w:val="es-ES"/>
        </w:rPr>
        <w:t xml:space="preserve"> </w:t>
      </w:r>
      <m:oMath>
        <m:r>
          <m:t>g</m:t>
        </m:r>
      </m:oMath>
      <w:r>
        <w:rPr>
          <w:lang w:val="es-ES"/>
        </w:rPr>
        <w:t xml:space="preserve"> </w:t>
      </w:r>
      <w:r>
        <w:rPr>
          <w:lang w:val="es-ES"/>
        </w:rPr>
        <w:t xml:space="preserve">genera sus coeficientes. En este TFM, los descriptores</w:t>
      </w:r>
      <w:r>
        <w:rPr>
          <w:lang w:val="es-ES"/>
        </w:rPr>
        <w:t xml:space="preserve"> </w:t>
      </w:r>
      <w:r>
        <w:rPr>
          <w:lang w:val="es-ES"/>
        </w:rPr>
        <w:t xml:space="preserve">son estadísticas globales de intensidad y se obtiene un peso por modalidad y tensor procesado:</w:t>
      </w:r>
      <w:r>
        <w:rPr>
          <w:lang w:val="es-ES"/>
        </w:rPr>
        <w:t xml:space="preserve"> </w:t>
      </w:r>
      <w:r>
        <w:rPr>
          <w:lang w:val="es-ES"/>
        </w:rPr>
        <w:t xml:space="preserve">parche durante el entrenamiento y ventana durante la validación o la inferencia. Los pesos se</w:t>
      </w:r>
      <w:r>
        <w:rPr>
          <w:lang w:val="es-ES"/>
        </w:rPr>
        <w:t xml:space="preserve"> </w:t>
      </w:r>
      <w:r>
        <w:rPr>
          <w:lang w:val="es-ES"/>
        </w:rPr>
        <w:t xml:space="preserve">aplican antes del codificador y son constantes en las tres dimensiones espaciales dentro de ese</w:t>
      </w:r>
      <w:r>
        <w:rPr>
          <w:lang w:val="es-ES"/>
        </w:rPr>
        <w:t xml:space="preserve"> </w:t>
      </w:r>
      <w:r>
        <w:rPr>
          <w:lang w:val="es-ES"/>
        </w:rPr>
        <w:t xml:space="preserve">tensor. Por tanto, la propuesta es adaptativa respecto de su entrada inmediata, no necesariamente</w:t>
      </w:r>
      <w:r>
        <w:rPr>
          <w:lang w:val="es-ES"/>
        </w:rPr>
        <w:t xml:space="preserve"> </w:t>
      </w:r>
      <w:r>
        <w:rPr>
          <w:lang w:val="es-ES"/>
        </w:rPr>
        <w:t xml:space="preserve">respecto del estudio completo, y no constituye atención espacial, atención por vóxel ni atención</w:t>
      </w:r>
      <w:r>
        <w:rPr>
          <w:lang w:val="es-ES"/>
        </w:rPr>
        <w:t xml:space="preserve"> </w:t>
      </w:r>
      <w:r>
        <w:rPr>
          <w:lang w:val="es-ES"/>
        </w:rPr>
        <w:t xml:space="preserve">específica de ET, TC o WT.</w:t>
      </w:r>
    </w:p>
    <w:bookmarkEnd w:id="13"/>
    <w:bookmarkStart w:id="16" w:name="X3c816e0122024d37d6e7062e532bf9f0b81464c"/>
    <w:p>
      <w:pPr>
        <w:pStyle w:val="Ttulo3"/>
      </w:pPr>
      <w:r>
        <w:t xml:space="preserve">2.4.2. Evolución del estado del arte y brecha estudiada</w:t>
      </w:r>
    </w:p>
    <w:p>
      <w:pPr>
        <w:rPr>
          <w:lang w:val="es-ES"/>
        </w:rPr>
      </w:pPr>
      <w:r>
        <w:rPr>
          <w:lang w:val="es-ES"/>
        </w:rPr>
        <w:t xml:space="preserve">Los primeros sistemas profundos para tumor cerebral ya mostraron el valor de combinar escalas y</w:t>
      </w:r>
      <w:r>
        <w:rPr>
          <w:lang w:val="es-ES"/>
        </w:rPr>
        <w:t xml:space="preserve"> </w:t>
      </w:r>
      <w:r>
        <w:rPr>
          <w:lang w:val="es-ES"/>
        </w:rPr>
        <w:t xml:space="preserve">modalidades. Havaei et al. (2017) utilizaron caminos convolucionales con distinto contexto para</w:t>
      </w:r>
      <w:r>
        <w:rPr>
          <w:lang w:val="es-ES"/>
        </w:rPr>
        <w:t xml:space="preserve"> </w:t>
      </w:r>
      <w:r>
        <w:rPr>
          <w:lang w:val="es-ES"/>
        </w:rPr>
        <w:t xml:space="preserve">segmentar gliomas, y DeepMedic integró dos trayectorias 3D multiescala y un campo aleatorio</w:t>
      </w:r>
      <w:r>
        <w:rPr>
          <w:lang w:val="es-ES"/>
        </w:rPr>
        <w:t xml:space="preserve"> </w:t>
      </w:r>
      <w:r>
        <w:rPr>
          <w:lang w:val="es-ES"/>
        </w:rPr>
        <w:t xml:space="preserve">condicional para refinar lesiones cerebrales (Kamnitsas et al., 2017). Más adelante, la solución de</w:t>
      </w:r>
      <w:r>
        <w:rPr>
          <w:lang w:val="es-ES"/>
        </w:rPr>
        <w:t xml:space="preserve"> </w:t>
      </w:r>
      <w:r>
        <w:rPr>
          <w:lang w:val="es-ES"/>
        </w:rPr>
        <w:t xml:space="preserve">Myronenko (2019) combinó una red encoder-decoder 3D con regularización mediante autoencoder y puso de</w:t>
      </w:r>
      <w:r>
        <w:rPr>
          <w:lang w:val="es-ES"/>
        </w:rPr>
        <w:t xml:space="preserve"> </w:t>
      </w:r>
      <w:r>
        <w:rPr>
          <w:lang w:val="es-ES"/>
        </w:rPr>
        <w:t xml:space="preserve">manifiesto que las CNN volumétricas cuidadosamente entrenadas seguían siendo referencias muy</w:t>
      </w:r>
      <w:r>
        <w:rPr>
          <w:lang w:val="es-ES"/>
        </w:rPr>
        <w:t xml:space="preserve"> </w:t>
      </w:r>
      <w:r>
        <w:rPr>
          <w:lang w:val="es-ES"/>
        </w:rPr>
        <w:t xml:space="preserve">competitivas.</w:t>
      </w:r>
    </w:p>
    <w:p>
      <w:pPr>
        <w:rPr>
          <w:lang w:val="es-ES"/>
        </w:rPr>
      </w:pPr>
      <w:r>
        <w:rPr>
          <w:lang w:val="es-ES"/>
        </w:rPr>
        <w:t xml:space="preserve">La investigación posterior ha trasladado la fusión a representaciones más ricas. Liu et al. (2022)</w:t>
      </w:r>
      <w:r>
        <w:rPr>
          <w:lang w:val="es-ES"/>
        </w:rPr>
        <w:t xml:space="preserve"> </w:t>
      </w:r>
      <w:r>
        <w:rPr>
          <w:lang w:val="es-ES"/>
        </w:rPr>
        <w:t xml:space="preserve">combinaron información a nivel de imagen y de características; Zhou et al. (2022) propusieron una</w:t>
      </w:r>
      <w:r>
        <w:rPr>
          <w:lang w:val="es-ES"/>
        </w:rPr>
        <w:t xml:space="preserve"> </w:t>
      </w:r>
      <w:r>
        <w:rPr>
          <w:lang w:val="es-ES"/>
        </w:rPr>
        <w:t xml:space="preserve">red de tri-atención que relaciona relevancia modal, distribución espacial y correlaciones entre</w:t>
      </w:r>
      <w:r>
        <w:rPr>
          <w:lang w:val="es-ES"/>
        </w:rPr>
        <w:t xml:space="preserve"> </w:t>
      </w:r>
      <w:r>
        <w:rPr>
          <w:lang w:val="es-ES"/>
        </w:rPr>
        <w:t xml:space="preserve">características. Otro frente aborda modalidades ausentes, para evitar que un sistema entrenado con</w:t>
      </w:r>
      <w:r>
        <w:rPr>
          <w:lang w:val="es-ES"/>
        </w:rPr>
        <w:t xml:space="preserve"> </w:t>
      </w:r>
      <w:r>
        <w:rPr>
          <w:lang w:val="es-ES"/>
        </w:rPr>
        <w:t xml:space="preserve">cuatro secuencias falle cuando alguna no está disponible (Ruffle et al., 2023). TransBTS representa,</w:t>
      </w:r>
      <w:r>
        <w:rPr>
          <w:lang w:val="es-ES"/>
        </w:rPr>
        <w:t xml:space="preserve"> </w:t>
      </w:r>
      <w:r>
        <w:rPr>
          <w:lang w:val="es-ES"/>
        </w:rPr>
        <w:t xml:space="preserve">a su vez, la integración del contexto multimodal dentro de una arquitectura híbrida</w:t>
      </w:r>
      <w:r>
        <w:rPr>
          <w:lang w:val="es-ES"/>
        </w:rPr>
        <w:t xml:space="preserve"> </w:t>
      </w:r>
      <w:r>
        <w:rPr>
          <w:lang w:val="es-ES"/>
        </w:rPr>
        <w:t xml:space="preserve">CNN-Transformer (Wang et al., 2021).</w:t>
      </w:r>
    </w:p>
    <w:p>
      <w:pPr>
        <w:rPr>
          <w:lang w:val="es-ES"/>
        </w:rPr>
      </w:pPr>
      <w:r>
        <w:rPr>
          <w:lang w:val="es-ES"/>
        </w:rPr>
        <w:t xml:space="preserve">Estos trabajos ejemplifican fusiones en distintos niveles, pero cambian simultáneamente ramas,</w:t>
      </w:r>
      <w:r>
        <w:rPr>
          <w:lang w:val="es-ES"/>
        </w:rPr>
        <w:t xml:space="preserve"> </w:t>
      </w:r>
      <w:r>
        <w:rPr>
          <w:lang w:val="es-ES"/>
        </w:rPr>
        <w:t xml:space="preserve">mecanismos de atención o codificadores. La revisión permitió identificar que, en esas condiciones,</w:t>
      </w:r>
      <w:r>
        <w:rPr>
          <w:lang w:val="es-ES"/>
        </w:rPr>
        <w:t xml:space="preserve"> </w:t>
      </w:r>
      <w:r>
        <w:rPr>
          <w:lang w:val="es-ES"/>
        </w:rPr>
        <w:t xml:space="preserve">resulta difícil atribuir una mejora exclusivamente a la ponderación de modalidades. La brecha</w:t>
      </w:r>
      <w:r>
        <w:rPr>
          <w:lang w:val="es-ES"/>
        </w:rPr>
        <w:t xml:space="preserve"> </w:t>
      </w:r>
      <w:r>
        <w:rPr>
          <w:lang w:val="es-ES"/>
        </w:rPr>
        <w:t xml:space="preserve">abordada es, por ello, más acotada: comprobar si una regla temprana, global dentro de cada tensor</w:t>
      </w:r>
      <w:r>
        <w:rPr>
          <w:lang w:val="es-ES"/>
        </w:rPr>
        <w:t xml:space="preserve"> </w:t>
      </w:r>
      <w:r>
        <w:rPr>
          <w:lang w:val="es-ES"/>
        </w:rPr>
        <w:t xml:space="preserve">procesado y de pocos parámetros supera a la concatenación y a una ponderación estática cuando la</w:t>
      </w:r>
      <w:r>
        <w:rPr>
          <w:lang w:val="es-ES"/>
        </w:rPr>
        <w:t xml:space="preserve"> </w:t>
      </w:r>
      <w:r>
        <w:rPr>
          <w:lang w:val="es-ES"/>
        </w:rPr>
        <w:t xml:space="preserve">Residual U-Net 3D, los datos y el entrenamiento se mantienen fijos. No se propone una familia</w:t>
      </w:r>
      <w:r>
        <w:rPr>
          <w:lang w:val="es-ES"/>
        </w:rPr>
        <w:t xml:space="preserve"> </w:t>
      </w:r>
      <w:r>
        <w:rPr>
          <w:lang w:val="es-ES"/>
        </w:rPr>
        <w:t xml:space="preserve">general de fusión ni se aborda el escenario de modalidades ausentes.</w:t>
      </w:r>
    </w:p>
    <w:bookmarkEnd w:id="14"/>
    <w:bookmarkEnd w:id="15"/>
    <w:bookmarkStart w:id="17" w:name="Xbf10a66230d7a8ef88a77b94a28aa0b9d0137d8"/>
    <w:p>
      <w:pPr>
        <w:pStyle w:val="Ttulo2"/>
      </w:pPr>
      <w:r>
        <w:t xml:space="preserve">2.5. BraTS-GLI 2024 y evaluación de la segmentación</w:t>
      </w:r>
    </w:p>
    <w:p>
      <w:pPr>
        <w:rPr>
          <w:lang w:val="es-ES"/>
        </w:rPr>
      </w:pPr>
      <w:r>
        <w:rPr>
          <w:lang w:val="es-ES"/>
        </w:rPr>
        <w:t xml:space="preserve">BraTS-GLI 2024 reúne estudios post-tratamiento y su carácter longitudinal permite varias</w:t>
      </w:r>
      <w:r>
        <w:rPr>
          <w:lang w:val="es-ES"/>
        </w:rPr>
        <w:t xml:space="preserve"> </w:t>
      </w:r>
      <w:r>
        <w:rPr>
          <w:lang w:val="es-ES"/>
        </w:rPr>
        <w:t xml:space="preserve">exploraciones de un mismo sujeto (de Verdier et al., 2024); por ello, el estudio de imagen y el</w:t>
      </w:r>
      <w:r>
        <w:rPr>
          <w:lang w:val="es-ES"/>
        </w:rPr>
        <w:t xml:space="preserve"> </w:t>
      </w:r>
      <w:r>
        <w:rPr>
          <w:lang w:val="es-ES"/>
        </w:rPr>
        <w:t xml:space="preserve">paciente no son unidades equivalentes de partición.</w:t>
      </w:r>
      <w:r>
        <w:rPr>
          <w:lang w:val="es-ES"/>
        </w:rPr>
        <w:t xml:space="preserve"> </w:t>
      </w:r>
      <w:r>
        <w:rPr>
          <w:lang w:val="es-ES"/>
        </w:rPr>
        <w:t xml:space="preserve">Además, la evaluación interna de este trabajo no reproduce el protocolo oficial por lesión. Ambas</w:t>
      </w:r>
      <w:r>
        <w:rPr>
          <w:lang w:val="es-ES"/>
        </w:rPr>
        <w:t xml:space="preserve"> </w:t>
      </w:r>
      <w:r>
        <w:rPr>
          <w:lang w:val="es-ES"/>
        </w:rPr>
        <w:t xml:space="preserve">diferencias limitan el alcance de los valores presentados en el Capítulo 5.</w:t>
      </w:r>
    </w:p>
    <w:bookmarkStart w:id="18" w:name="Xe82523ff64417907a949dd9a6cb02c8c2661d3b"/>
    <w:p>
      <w:pPr>
        <w:pStyle w:val="Ttulo3"/>
      </w:pPr>
      <w:r>
        <w:t xml:space="preserve">2.5.1. Del</w:t>
      </w:r>
      <w:r>
        <w:t xml:space="preserve"> </w:t>
      </w:r>
      <w:r>
        <w:rPr>
          <w:i/>
          <w:iCs/>
        </w:rPr>
        <w:t xml:space="preserve">benchmark</w:t>
      </w:r>
      <w:r>
        <w:t xml:space="preserve"> </w:t>
      </w:r>
      <w:r>
        <w:t xml:space="preserve">BraTS al escenario post-tratamiento</w:t>
      </w:r>
    </w:p>
    <w:p>
      <w:pPr>
        <w:rPr>
          <w:lang w:val="es-ES"/>
        </w:rPr>
      </w:pPr>
      <w:r>
        <w:rPr>
          <w:lang w:val="es-ES"/>
        </w:rPr>
        <w:t xml:space="preserve">BraTS estableció un marco común para comparar segmentación multimodal de tumores cerebrales mediante</w:t>
      </w:r>
      <w:r>
        <w:rPr>
          <w:lang w:val="es-ES"/>
        </w:rPr>
        <w:t xml:space="preserve"> </w:t>
      </w:r>
      <w:r>
        <w:rPr>
          <w:lang w:val="es-ES"/>
        </w:rPr>
        <w:t xml:space="preserve">datos anotados, regiones objetivo y métricas compartidas (Menze et al., 2015). La edición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BraTS-GLI 2024</w:t>
      </w:r>
      <w:r>
        <w:rPr>
          <w:lang w:val="es-ES"/>
        </w:rPr>
        <w:t xml:space="preserve"> </w:t>
      </w:r>
      <w:r>
        <w:rPr>
          <w:lang w:val="es-ES"/>
        </w:rPr>
        <w:t xml:space="preserve">se centra en gliomas post-tratamiento y reúne estudios multicéntricos de RM, un</w:t>
      </w:r>
      <w:r>
        <w:rPr>
          <w:lang w:val="es-ES"/>
        </w:rPr>
        <w:t xml:space="preserve"> </w:t>
      </w:r>
      <w:r>
        <w:rPr>
          <w:lang w:val="es-ES"/>
        </w:rPr>
        <w:t xml:space="preserve">escenario donde los cambios terapéuticos aumentan la heterogeneidad visual y la dificultad de</w:t>
      </w:r>
      <w:r>
        <w:rPr>
          <w:lang w:val="es-ES"/>
        </w:rPr>
        <w:t xml:space="preserve"> </w:t>
      </w:r>
      <w:r>
        <w:rPr>
          <w:lang w:val="es-ES"/>
        </w:rPr>
        <w:t xml:space="preserve">delimitación (de Verdier et al., 2024). Las cuatro secuencias utilizadas por este TFM son T1n, T1c,</w:t>
      </w:r>
      <w:r>
        <w:rPr>
          <w:lang w:val="es-ES"/>
        </w:rPr>
        <w:t xml:space="preserve"> </w:t>
      </w:r>
      <w:r>
        <w:rPr>
          <w:lang w:val="es-ES"/>
        </w:rPr>
        <w:t xml:space="preserve">T2w y FLAIR, y la evaluación se expresa de manera consistente para las regiones anidadas ET, TC y</w:t>
      </w:r>
      <w:r>
        <w:rPr>
          <w:lang w:val="es-ES"/>
        </w:rPr>
        <w:t xml:space="preserve"> </w:t>
      </w:r>
      <w:r>
        <w:rPr>
          <w:lang w:val="es-ES"/>
        </w:rPr>
        <w:t xml:space="preserve">WT.</w:t>
      </w:r>
    </w:p>
    <w:p>
      <w:pPr>
        <w:rPr>
          <w:lang w:val="es-ES"/>
        </w:rPr>
      </w:pPr>
      <w:r>
        <w:rPr>
          <w:lang w:val="es-ES"/>
        </w:rPr>
        <w:t xml:space="preserve">BraTS-GLI emplea una evaluación oficial sobre datos ocultos y métricas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lesión</w:t>
      </w:r>
      <w:r>
        <w:rPr>
          <w:lang w:val="es-ES"/>
        </w:rPr>
        <w:t xml:space="preserve">. Los resultados</w:t>
      </w:r>
      <w:r>
        <w:rPr>
          <w:lang w:val="es-ES"/>
        </w:rPr>
        <w:t xml:space="preserve"> </w:t>
      </w:r>
      <w:r>
        <w:rPr>
          <w:lang w:val="es-ES"/>
        </w:rPr>
        <w:t xml:space="preserve">internos de este trabajo, en cambio, proceden del conjunto de test local y calculan las métricas</w:t>
      </w:r>
      <w:r>
        <w:rPr>
          <w:lang w:val="es-ES"/>
        </w:rPr>
        <w:t xml:space="preserve"> </w:t>
      </w:r>
      <w:r>
        <w:rPr>
          <w:lang w:val="es-ES"/>
        </w:rPr>
        <w:t xml:space="preserve">sobre la máscara completa de cada región. Esta evaluación es adecuada para comparar de manera</w:t>
      </w:r>
      <w:r>
        <w:rPr>
          <w:lang w:val="es-ES"/>
        </w:rPr>
        <w:t xml:space="preserve"> </w:t>
      </w:r>
      <w:r>
        <w:rPr>
          <w:lang w:val="es-ES"/>
        </w:rPr>
        <w:t xml:space="preserve">homogénea los experimentos del TFM, pero sus valores no deben presentarse como resultados del</w:t>
      </w:r>
      <w:r>
        <w:rPr>
          <w:lang w:val="es-ES"/>
        </w:rPr>
        <w:t xml:space="preserve"> </w:t>
      </w:r>
      <w:r>
        <w:rPr>
          <w:lang w:val="es-ES"/>
        </w:rPr>
        <w:t xml:space="preserve">servidor oficial ni compararse de forma directa con una clasificación oficial sin reproducir su</w:t>
      </w:r>
      <w:r>
        <w:rPr>
          <w:lang w:val="es-ES"/>
        </w:rPr>
        <w:t xml:space="preserve"> </w:t>
      </w:r>
      <w:r>
        <w:rPr>
          <w:lang w:val="es-ES"/>
        </w:rPr>
        <w:t xml:space="preserve">protocolo lesion-wise (de Verdier et al., 2024).</w:t>
      </w:r>
    </w:p>
    <w:bookmarkEnd w:id="16"/>
    <w:bookmarkStart w:id="19" w:name="coeficiente-dice-y-distancia-hd95"/>
    <w:p>
      <w:pPr>
        <w:pStyle w:val="Ttulo3"/>
      </w:pPr>
      <w:r>
        <w:t xml:space="preserve">2.5.2. Coeficiente Dice y distancia HD95</w:t>
      </w:r>
    </w:p>
    <w:p>
      <w:pPr>
        <w:rPr>
          <w:lang w:val="es-ES"/>
        </w:rPr>
      </w:pPr>
      <w:r>
        <w:rPr>
          <w:lang w:val="es-ES"/>
        </w:rPr>
        <w:t xml:space="preserve">Para una región</w:t>
      </w:r>
      <w:r>
        <w:rPr>
          <w:lang w:val="es-ES"/>
        </w:rPr>
        <w:t xml:space="preserve"> </w:t>
      </w:r>
      <m:oMath>
        <m:r>
          <m:t>r</m:t>
        </m:r>
      </m:oMath>
      <w:r>
        <w:rPr>
          <w:lang w:val="es-ES"/>
        </w:rPr>
        <w:t xml:space="preserve">, sean</w:t>
      </w:r>
      <w:r>
        <w:rPr>
          <w:lang w:val="es-ES"/>
        </w:rPr>
        <w:t xml:space="preserve"> </w:t>
      </w:r>
      <m:oMath>
        <m:sSub>
          <m:e>
            <m:r>
              <m:t>P</m:t>
            </m:r>
          </m:e>
          <m:sub>
            <m:r>
              <m:t>r</m:t>
            </m:r>
          </m:sub>
        </m:sSub>
      </m:oMath>
      <w:r>
        <w:rPr>
          <w:lang w:val="es-ES"/>
        </w:rPr>
        <w:t xml:space="preserve"> </w:t>
      </w:r>
      <w:r>
        <w:rPr>
          <w:lang w:val="es-ES"/>
        </w:rPr>
        <w:t xml:space="preserve">el conjunto de vóxeles predichos y</w:t>
      </w:r>
      <w:r>
        <w:rPr>
          <w:lang w:val="es-ES"/>
        </w:rPr>
        <w:t xml:space="preserve"> </w:t>
      </w:r>
      <m:oMath>
        <m:sSub>
          <m:e>
            <m:r>
              <m:t>G</m:t>
            </m:r>
          </m:e>
          <m:sub>
            <m:r>
              <m:t>r</m:t>
            </m:r>
          </m:sub>
        </m:sSub>
      </m:oMath>
      <w:r>
        <w:rPr>
          <w:lang w:val="es-ES"/>
        </w:rPr>
        <w:t xml:space="preserve"> </w:t>
      </w:r>
      <w:r>
        <w:rPr>
          <w:lang w:val="es-ES"/>
        </w:rPr>
        <w:t xml:space="preserve">la referencia. 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coeficiente Dice</w:t>
      </w:r>
      <w:r>
        <w:rPr>
          <w:lang w:val="es-ES"/>
        </w:rPr>
        <w:t xml:space="preserve"> </w:t>
      </w:r>
      <w:r>
        <w:rPr>
          <w:lang w:val="es-ES"/>
        </w:rPr>
        <w:t xml:space="preserve">se define como</w:t>
      </w:r>
    </w:p>
    <w:p>
      <w:pPr>
        <w:rPr>
          <w:lang w:val="es-ES"/>
        </w:rPr>
      </w:pPr>
      <m:oMathPara>
        <m:oMathParaPr>
          <m:jc m:val="center"/>
        </m:oMathParaPr>
        <m:oMath>
          <m:r>
            <m:rPr>
              <m:sty m:val="p"/>
            </m:rPr>
            <m:t>Dice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,</m:t>
          </m:r>
          <m:sSub>
            <m:e>
              <m:r>
                <m:t>G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|</m:t>
              </m:r>
              <m:sSub>
                <m:e>
                  <m:r>
                    <m:t>P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G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t>P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sSub>
                <m:e>
                  <m:r>
                    <m:t>G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rPr>
          <w:lang w:val="es-ES"/>
        </w:rPr>
      </w:pPr>
      <w:r>
        <w:rPr>
          <w:lang w:val="es-ES"/>
        </w:rPr>
        <w:t xml:space="preserve">Dice toma valores entre 0 y 1 y mide el solapamiento. Un valor de 1 representa una coincidencia</w:t>
      </w:r>
      <w:r>
        <w:rPr>
          <w:lang w:val="es-ES"/>
        </w:rPr>
        <w:t xml:space="preserve"> </w:t>
      </w:r>
      <w:r>
        <w:rPr>
          <w:lang w:val="es-ES"/>
        </w:rPr>
        <w:t xml:space="preserve">perfecta. Es sensible a errores relativos en regiones pequeñas y no informa directamente de la</w:t>
      </w:r>
      <w:r>
        <w:rPr>
          <w:lang w:val="es-ES"/>
        </w:rPr>
        <w:t xml:space="preserve"> </w:t>
      </w:r>
      <w:r>
        <w:rPr>
          <w:lang w:val="es-ES"/>
        </w:rPr>
        <w:t xml:space="preserve">distancia física entre fronteras (Dice, 1945; Taha &amp; Hanbury, 2015).</w:t>
      </w:r>
    </w:p>
    <w:p>
      <w:pPr>
        <w:rPr>
          <w:lang w:val="es-ES"/>
        </w:rPr>
      </w:pPr>
      <w:r>
        <w:rPr>
          <w:lang w:val="es-ES"/>
        </w:rPr>
        <w:t xml:space="preserve">Para complementar el solapamiento se emplea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distancia de Hausdorff al percentil 95</w:t>
      </w:r>
      <w:r>
        <w:rPr>
          <w:lang w:val="es-ES"/>
        </w:rPr>
        <w:t xml:space="preserve">. Sean</w:t>
      </w:r>
      <w:r>
        <w:rPr>
          <w:lang w:val="es-ES"/>
        </w:rPr>
        <w:t xml:space="preserve"> </w:t>
      </w:r>
      <m:oMath>
        <m:r>
          <m:rPr>
            <m:sty m:val="p"/>
          </m:rPr>
          <m:t>∂</m:t>
        </m:r>
        <m:sSub>
          <m:e>
            <m:r>
              <m:t>P</m:t>
            </m:r>
          </m:e>
          <m:sub>
            <m:r>
              <m:t>r</m:t>
            </m:r>
          </m:sub>
        </m:sSub>
      </m:oMath>
      <w:r>
        <w:rPr>
          <w:lang w:val="es-ES"/>
        </w:rPr>
        <w:t xml:space="preserve"> </w:t>
      </w:r>
      <w:r>
        <w:rPr>
          <w:lang w:val="es-ES"/>
        </w:rPr>
        <w:t xml:space="preserve">y</w:t>
      </w:r>
      <w:r>
        <w:rPr>
          <w:lang w:val="es-ES"/>
        </w:rPr>
        <w:t xml:space="preserve"> </w:t>
      </w:r>
      <m:oMath>
        <m:r>
          <m:rPr>
            <m:sty m:val="p"/>
          </m:rPr>
          <m:t>∂</m:t>
        </m:r>
        <m:sSub>
          <m:e>
            <m:r>
              <m:t>G</m:t>
            </m:r>
          </m:e>
          <m:sub>
            <m:r>
              <m:t>r</m:t>
            </m:r>
          </m:sub>
        </m:sSub>
      </m:oMath>
      <w:r>
        <w:rPr>
          <w:lang w:val="es-ES"/>
        </w:rPr>
        <w:t xml:space="preserve"> </w:t>
      </w:r>
      <w:r>
        <w:rPr>
          <w:lang w:val="es-ES"/>
        </w:rPr>
        <w:t xml:space="preserve">las superficies de ambas máscaras y</w:t>
      </w:r>
      <w:r>
        <w:rPr>
          <w:lang w:val="es-ES"/>
        </w:rPr>
        <w:t xml:space="preserve"> </w:t>
      </w:r>
      <m:oMath>
        <m:r>
          <m:t>d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</m:sub>
        </m:sSub>
        <m:sSub>
          <m:e>
            <m:d>
              <m:dPr>
                <m:begChr m:val="‖"/>
                <m:sepChr m:val=""/>
                <m:endChr m:val="‖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s</m:t>
                </m:r>
              </m:e>
            </m:d>
          </m:e>
          <m:sub>
            <m:r>
              <m:t>2</m:t>
            </m:r>
          </m:sub>
        </m:sSub>
      </m:oMath>
      <w:r>
        <w:rPr>
          <w:lang w:val="es-ES"/>
        </w:rPr>
        <w:t xml:space="preserve"> </w:t>
      </w:r>
      <w:r>
        <w:rPr>
          <w:lang w:val="es-ES"/>
        </w:rPr>
        <w:t xml:space="preserve">la distancia de un punto a una superficie, calculada con</w:t>
      </w:r>
      <w:r>
        <w:rPr>
          <w:lang w:val="es-ES"/>
        </w:rPr>
        <w:t xml:space="preserve"> </w:t>
      </w:r>
      <w:r>
        <w:rPr>
          <w:lang w:val="es-ES"/>
        </w:rPr>
        <w:t xml:space="preserve">el espaciado físico de la imagen. Entonces,</w:t>
      </w:r>
    </w:p>
    <w:p>
      <w:pPr>
        <w:rPr>
          <w:lang w:val="es-ES"/>
        </w:rPr>
      </w:pPr>
      <m:oMathPara>
        <m:oMathParaPr>
          <m:jc m:val="center"/>
        </m:oMathParaPr>
        <m:oMath>
          <m:r>
            <m:rPr>
              <m:sty m:val="p"/>
            </m:rPr>
            <m:t>HD95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,</m:t>
          </m:r>
          <m:sSub>
            <m:e>
              <m:r>
                <m:t>G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0.95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{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∂</m:t>
              </m:r>
              <m:sSub>
                <m:e>
                  <m:r>
                    <m:t>G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∂</m:t>
              </m:r>
              <m:sSub>
                <m:e>
                  <m:r>
                    <m:t>P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{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∂</m:t>
              </m:r>
              <m:sSub>
                <m:e>
                  <m:r>
                    <m:t>P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∂</m:t>
              </m:r>
              <m:sSub>
                <m:e>
                  <m:r>
                    <m:t>G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}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rPr>
          <w:lang w:val="es-ES"/>
        </w:rPr>
      </w:pPr>
      <w:r>
        <w:rPr>
          <w:lang w:val="es-ES"/>
        </w:rPr>
        <w:t xml:space="preserve">donde</w:t>
      </w:r>
      <w:r>
        <w:rPr>
          <w:lang w:val="es-ES"/>
        </w:rPr>
        <w:t xml:space="preserve"> </w:t>
      </w:r>
      <m:oMath>
        <m:sSub>
          <m:e>
            <m:r>
              <m:t>Q</m:t>
            </m:r>
          </m:e>
          <m:sub>
            <m:r>
              <m:t>0.95</m:t>
            </m:r>
          </m:sub>
        </m:sSub>
      </m:oMath>
      <w:r>
        <w:rPr>
          <w:lang w:val="es-ES"/>
        </w:rPr>
        <w:t xml:space="preserve"> </w:t>
      </w:r>
      <w:r>
        <w:rPr>
          <w:lang w:val="es-ES"/>
        </w:rPr>
        <w:t xml:space="preserve">es el percentil 95 del conjunto simétrico de distancias. Frente al máximo</w:t>
      </w:r>
      <w:r>
        <w:rPr>
          <w:lang w:val="es-ES"/>
        </w:rPr>
        <w:t xml:space="preserve"> </w:t>
      </w:r>
      <w:r>
        <w:rPr>
          <w:lang w:val="es-ES"/>
        </w:rPr>
        <w:t xml:space="preserve">clásico de Hausdorff, el percentil reduce la influencia de unos pocos valores extremos. Su unidad es</w:t>
      </w:r>
      <w:r>
        <w:rPr>
          <w:lang w:val="es-ES"/>
        </w:rPr>
        <w:t xml:space="preserve"> </w:t>
      </w:r>
      <w:r>
        <w:rPr>
          <w:lang w:val="es-ES"/>
        </w:rPr>
        <w:t xml:space="preserve">el milímetro y un valor menor indica fronteras más próximas (Huttenlocher et al., 1993; Taha &amp;</w:t>
      </w:r>
      <w:r>
        <w:rPr>
          <w:lang w:val="es-ES"/>
        </w:rPr>
        <w:t xml:space="preserve"> </w:t>
      </w:r>
      <w:r>
        <w:rPr>
          <w:lang w:val="es-ES"/>
        </w:rPr>
        <w:t xml:space="preserve">Hanbury, 2015).</w:t>
      </w:r>
    </w:p>
    <w:p>
      <w:pPr>
        <w:rPr>
          <w:lang w:val="es-ES"/>
        </w:rPr>
      </w:pPr>
      <w:r>
        <w:rPr>
          <w:lang w:val="es-ES"/>
        </w:rPr>
        <w:t xml:space="preserve">Los casos vacíos requieren convenciones explícitas. En la evaluación interna, si predicción y</w:t>
      </w:r>
      <w:r>
        <w:rPr>
          <w:lang w:val="es-ES"/>
        </w:rPr>
        <w:t xml:space="preserve"> </w:t>
      </w:r>
      <w:r>
        <w:rPr>
          <w:lang w:val="es-ES"/>
        </w:rPr>
        <w:t xml:space="preserve">referencia están vacías, se asigna Dice = 1 y HD95 = 0. Si solo una está vacía, se asigna Dice = 0 y</w:t>
      </w:r>
      <w:r>
        <w:rPr>
          <w:lang w:val="es-ES"/>
        </w:rPr>
        <w:t xml:space="preserve"> </w:t>
      </w:r>
      <w:r>
        <w:rPr>
          <w:lang w:val="es-ES"/>
        </w:rPr>
        <w:t xml:space="preserve">HD95 infinita. Los valores infinitos se conservan a nivel de caso para identificar el fallo, pero se</w:t>
      </w:r>
      <w:r>
        <w:rPr>
          <w:lang w:val="es-ES"/>
        </w:rPr>
        <w:t xml:space="preserve"> </w:t>
      </w:r>
      <w:r>
        <w:rPr>
          <w:lang w:val="es-ES"/>
        </w:rPr>
        <w:t xml:space="preserve">excluyen de los agregados finitos de HD95. Estas reglas, junto con el cálculo separado para ET, TC y</w:t>
      </w:r>
      <w:r>
        <w:rPr>
          <w:lang w:val="es-ES"/>
        </w:rPr>
        <w:t xml:space="preserve"> </w:t>
      </w:r>
      <w:r>
        <w:rPr>
          <w:lang w:val="es-ES"/>
        </w:rPr>
        <w:t xml:space="preserve">WT, evitan que una implementación implícita altere la interpretación de los resultados.</w:t>
      </w:r>
    </w:p>
    <w:bookmarkEnd w:id="17"/>
    <w:bookmarkEnd w:id="18"/>
    <w:bookmarkStart w:id="20" w:name="coste-computacional-y-reproducibilidad"/>
    <w:p>
      <w:pPr>
        <w:pStyle w:val="Ttulo2"/>
      </w:pPr>
      <w:r>
        <w:t xml:space="preserve">2.6. Coste computacional y reproducibilidad</w:t>
      </w:r>
    </w:p>
    <w:p>
      <w:pPr>
        <w:rPr>
          <w:lang w:val="es-ES"/>
        </w:rPr>
      </w:pPr>
      <w:r>
        <w:rPr>
          <w:lang w:val="es-ES"/>
        </w:rPr>
        <w:t xml:space="preserve">La calidad de segmentación no basta para valorar una arquitectura. En un problema 3D deben</w:t>
      </w:r>
      <w:r>
        <w:rPr>
          <w:lang w:val="es-ES"/>
        </w:rPr>
        <w:t xml:space="preserve"> </w:t>
      </w:r>
      <w:r>
        <w:rPr>
          <w:lang w:val="es-ES"/>
        </w:rPr>
        <w:t xml:space="preserve">considerarse al menos cuatro dimensiones de coste. 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número de parámetros</w:t>
      </w:r>
      <w:r>
        <w:rPr>
          <w:lang w:val="es-ES"/>
        </w:rPr>
        <w:t xml:space="preserve"> </w:t>
      </w:r>
      <w:r>
        <w:rPr>
          <w:lang w:val="es-ES"/>
        </w:rPr>
        <w:t xml:space="preserve">aproxima la capacidad</w:t>
      </w:r>
      <w:r>
        <w:rPr>
          <w:lang w:val="es-ES"/>
        </w:rPr>
        <w:t xml:space="preserve"> </w:t>
      </w:r>
      <w:r>
        <w:rPr>
          <w:lang w:val="es-ES"/>
        </w:rPr>
        <w:t xml:space="preserve">del modelo y el tamaño de sus pesos;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memoria máxima del acelerador</w:t>
      </w:r>
      <w:r>
        <w:rPr>
          <w:lang w:val="es-ES"/>
        </w:rPr>
        <w:t xml:space="preserve"> </w:t>
      </w:r>
      <w:r>
        <w:rPr>
          <w:lang w:val="es-ES"/>
        </w:rPr>
        <w:t xml:space="preserve">incluye también</w:t>
      </w:r>
      <w:r>
        <w:rPr>
          <w:lang w:val="es-ES"/>
        </w:rPr>
        <w:t xml:space="preserve"> </w:t>
      </w:r>
      <w:r>
        <w:rPr>
          <w:lang w:val="es-ES"/>
        </w:rPr>
        <w:t xml:space="preserve">activaciones, gradientes y estados del optimizador, por lo que depende del parche, el lote y la</w:t>
      </w:r>
      <w:r>
        <w:rPr>
          <w:lang w:val="es-ES"/>
        </w:rPr>
        <w:t xml:space="preserve"> </w:t>
      </w:r>
      <w:r>
        <w:rPr>
          <w:lang w:val="es-ES"/>
        </w:rPr>
        <w:t xml:space="preserve">precisión numérica; 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tiempo de entrenamiento</w:t>
      </w:r>
      <w:r>
        <w:rPr>
          <w:lang w:val="es-ES"/>
        </w:rPr>
        <w:t xml:space="preserve"> </w:t>
      </w:r>
      <w:r>
        <w:rPr>
          <w:lang w:val="es-ES"/>
        </w:rPr>
        <w:t xml:space="preserve">refleja el coste de obtener el modelo; y 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tiempo de inferencia</w:t>
      </w:r>
      <w:r>
        <w:rPr>
          <w:lang w:val="es-ES"/>
        </w:rPr>
        <w:t xml:space="preserve"> </w:t>
      </w:r>
      <w:r>
        <w:rPr>
          <w:lang w:val="es-ES"/>
        </w:rPr>
        <w:t xml:space="preserve">condiciona su uso posterior. Dos redes con un número parecido de parámetros</w:t>
      </w:r>
      <w:r>
        <w:rPr>
          <w:lang w:val="es-ES"/>
        </w:rPr>
        <w:t xml:space="preserve"> </w:t>
      </w:r>
      <w:r>
        <w:rPr>
          <w:lang w:val="es-ES"/>
        </w:rPr>
        <w:t xml:space="preserve">pueden diferir notablemente en memoria o latencia por la forma de sus operaciones.</w:t>
      </w:r>
    </w:p>
    <w:p>
      <w:pPr>
        <w:rPr>
          <w:lang w:val="es-ES"/>
        </w:rPr>
      </w:pPr>
      <w:r>
        <w:rPr>
          <w:lang w:val="es-ES"/>
        </w:rPr>
        <w:t xml:space="preserve">Las medidas temporales solo son comparables si se documentan hardware, versiones de software,</w:t>
      </w:r>
      <w:r>
        <w:rPr>
          <w:lang w:val="es-ES"/>
        </w:rPr>
        <w:t xml:space="preserve"> </w:t>
      </w:r>
      <w:r>
        <w:rPr>
          <w:lang w:val="es-ES"/>
        </w:rPr>
        <w:t xml:space="preserve">tamaño de entrada, precisión, lote y procedimiento de medida. Además, el entrenamiento es</w:t>
      </w:r>
      <w:r>
        <w:rPr>
          <w:lang w:val="es-ES"/>
        </w:rPr>
        <w:t xml:space="preserve"> </w:t>
      </w:r>
      <w:r>
        <w:rPr>
          <w:lang w:val="es-ES"/>
        </w:rPr>
        <w:t xml:space="preserve">estocástico y el tiempo hasta alcanzar una solución presenta variabilidad. Los principios de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benchmarking</w:t>
      </w:r>
      <w:r>
        <w:rPr>
          <w:lang w:val="es-ES"/>
        </w:rPr>
        <w:t xml:space="preserve"> </w:t>
      </w:r>
      <w:r>
        <w:rPr>
          <w:lang w:val="es-ES"/>
        </w:rPr>
        <w:t xml:space="preserve">de MLPerf subrayan la necesidad de fijar tanto el sistema como el objetivo medido</w:t>
      </w:r>
      <w:r>
        <w:rPr>
          <w:lang w:val="es-ES"/>
        </w:rPr>
        <w:t xml:space="preserve"> </w:t>
      </w:r>
      <w:r>
        <w:rPr>
          <w:lang w:val="es-ES"/>
        </w:rPr>
        <w:t xml:space="preserve">(Mattson et al., 2020). Del mismo modo, publicar configuraciones, particiones, semillas y código</w:t>
      </w:r>
      <w:r>
        <w:rPr>
          <w:lang w:val="es-ES"/>
        </w:rPr>
        <w:t xml:space="preserve"> </w:t>
      </w:r>
      <w:r>
        <w:rPr>
          <w:lang w:val="es-ES"/>
        </w:rPr>
        <w:t xml:space="preserve">favorece que otros investigadores puedan reconstruir y comprobar los hallazgos (Pineau et al.,</w:t>
      </w:r>
      <w:r>
        <w:rPr>
          <w:lang w:val="es-ES"/>
        </w:rPr>
        <w:t xml:space="preserve"> </w:t>
      </w:r>
      <w:r>
        <w:rPr>
          <w:lang w:val="es-ES"/>
        </w:rPr>
        <w:t xml:space="preserve">2021).</w:t>
      </w:r>
    </w:p>
    <w:p>
      <w:pPr>
        <w:rPr>
          <w:lang w:val="es-ES"/>
        </w:rPr>
      </w:pPr>
      <w:r>
        <w:rPr>
          <w:lang w:val="es-ES"/>
        </w:rPr>
        <w:t xml:space="preserve">En este TFM, estas magnitudes cumplen dos funciones distintas. Dentro de la ablación de fusión,</w:t>
      </w:r>
      <w:r>
        <w:rPr>
          <w:lang w:val="es-ES"/>
        </w:rPr>
        <w:t xml:space="preserve"> </w:t>
      </w:r>
      <w:r>
        <w:rPr>
          <w:lang w:val="es-ES"/>
        </w:rPr>
        <w:t xml:space="preserve">permiten verificar si el mecanismo añadido es ligero frente a la misma Residual U-Net. En la</w:t>
      </w:r>
      <w:r>
        <w:rPr>
          <w:lang w:val="es-ES"/>
        </w:rPr>
        <w:t xml:space="preserve"> </w:t>
      </w:r>
      <w:r>
        <w:rPr>
          <w:lang w:val="es-ES"/>
        </w:rPr>
        <w:t xml:space="preserve">comparación contextual entre arquitecturas ayudan a explicar las diferencias de escala, pero no</w:t>
      </w:r>
      <w:r>
        <w:rPr>
          <w:lang w:val="es-ES"/>
        </w:rPr>
        <w:t xml:space="preserve"> </w:t>
      </w:r>
      <w:r>
        <w:rPr>
          <w:lang w:val="es-ES"/>
        </w:rPr>
        <w:t xml:space="preserve">corrigen cambios de hardware o protocolo. Se obtuvo el número de parámetros de todas las</w:t>
      </w:r>
      <w:r>
        <w:rPr>
          <w:lang w:val="es-ES"/>
        </w:rPr>
        <w:t xml:space="preserve"> </w:t>
      </w:r>
      <w:r>
        <w:rPr>
          <w:lang w:val="es-ES"/>
        </w:rPr>
        <w:t xml:space="preserve">configuraciones MONAI, mientras que nnU-Net conservó su configuración automática. El tiempo solo</w:t>
      </w:r>
      <w:r>
        <w:rPr>
          <w:lang w:val="es-ES"/>
        </w:rPr>
        <w:t xml:space="preserve"> </w:t>
      </w:r>
      <w:r>
        <w:rPr>
          <w:lang w:val="es-ES"/>
        </w:rPr>
        <w:t xml:space="preserve">está disponible en determinados registros, la memoria máxima CUDA no se conservó para todas las</w:t>
      </w:r>
      <w:r>
        <w:rPr>
          <w:lang w:val="es-ES"/>
        </w:rPr>
        <w:t xml:space="preserve"> </w:t>
      </w:r>
      <w:r>
        <w:rPr>
          <w:lang w:val="es-ES"/>
        </w:rPr>
        <w:t xml:space="preserve">ejecuciones y no existe una medida homogénea de latencia de inferencia. Por ello, los datos de</w:t>
      </w:r>
      <w:r>
        <w:rPr>
          <w:lang w:val="es-ES"/>
        </w:rPr>
        <w:t xml:space="preserve"> </w:t>
      </w:r>
      <w:r>
        <w:rPr>
          <w:lang w:val="es-ES"/>
        </w:rPr>
        <w:t xml:space="preserve">entornos distintos se utilizan como evidencia descriptiva, no como una clasificación universal de</w:t>
      </w:r>
      <w:r>
        <w:rPr>
          <w:lang w:val="es-ES"/>
        </w:rPr>
        <w:t xml:space="preserve"> </w:t>
      </w:r>
      <w:r>
        <w:rPr>
          <w:lang w:val="es-ES"/>
        </w:rPr>
        <w:t xml:space="preserve">eficiencia.</w:t>
      </w:r>
    </w:p>
    <w:bookmarkEnd w:id="19"/>
    <w:bookmarkStart w:id="21" w:name="X2e8c0e900780bf78a4370554b348d72eaa828f0"/>
    <w:p>
      <w:pPr>
        <w:pStyle w:val="Ttulo2"/>
      </w:pPr>
      <w:r>
        <w:t xml:space="preserve">2.7. Implementaciones y repositorios considerados</w:t>
      </w:r>
    </w:p>
    <w:p>
      <w:pPr>
        <w:rPr>
          <w:lang w:val="es-ES"/>
        </w:rPr>
      </w:pPr>
      <w:r>
        <w:rPr>
          <w:lang w:val="es-ES"/>
        </w:rPr>
        <w:t xml:space="preserve">La elección de software siguió cinco criterios: correspondencia con las familias arquitectónicas</w:t>
      </w:r>
      <w:r>
        <w:rPr>
          <w:lang w:val="es-ES"/>
        </w:rPr>
        <w:t xml:space="preserve"> </w:t>
      </w:r>
      <w:r>
        <w:rPr>
          <w:lang w:val="es-ES"/>
        </w:rPr>
        <w:t xml:space="preserve">relevantes, soporte de tensores 3D y entradas multicanal, disponibilidad de una implementación</w:t>
      </w:r>
      <w:r>
        <w:rPr>
          <w:lang w:val="es-ES"/>
        </w:rPr>
        <w:t xml:space="preserve"> </w:t>
      </w:r>
      <w:r>
        <w:rPr>
          <w:lang w:val="es-ES"/>
        </w:rPr>
        <w:t xml:space="preserve">pública identificable, esfuerzo de integración con el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pipeline</w:t>
      </w:r>
      <w:r>
        <w:rPr>
          <w:lang w:val="es-ES"/>
        </w:rPr>
        <w:t xml:space="preserve"> </w:t>
      </w:r>
      <w:r>
        <w:rPr>
          <w:lang w:val="es-ES"/>
        </w:rPr>
        <w:t xml:space="preserve">y licencia del código. MONAI se</w:t>
      </w:r>
      <w:r>
        <w:rPr>
          <w:lang w:val="es-ES"/>
        </w:rPr>
        <w:t xml:space="preserve"> </w:t>
      </w:r>
      <w:r>
        <w:rPr>
          <w:lang w:val="es-ES"/>
        </w:rPr>
        <w:t xml:space="preserve">integró como base de las transformaciones, las redes y la inferencia del sistema propio (Cardoso et</w:t>
      </w:r>
      <w:r>
        <w:rPr>
          <w:lang w:val="es-ES"/>
        </w:rPr>
        <w:t xml:space="preserve"> </w:t>
      </w:r>
      <w:r>
        <w:rPr>
          <w:lang w:val="es-ES"/>
        </w:rPr>
        <w:t xml:space="preserve">al., 2022). nnU-Net se ejecutó mediante su flujo externo auto-configurable. El repositorio oficial de</w:t>
      </w:r>
      <w:r>
        <w:rPr>
          <w:lang w:val="es-ES"/>
        </w:rPr>
        <w:t xml:space="preserve"> </w:t>
      </w:r>
      <w:r>
        <w:rPr>
          <w:lang w:val="es-ES"/>
        </w:rPr>
        <w:t xml:space="preserve">TransBTS se revisó como alternativa híbrida, pero no se integró ni se ejecutó.</w:t>
      </w:r>
    </w:p>
    <w:p>
      <w:pPr>
        <w:rPr>
          <w:lang w:val="es-ES"/>
        </w:rPr>
      </w:pPr>
      <w:r>
        <w:rPr>
          <w:lang w:val="es-ES"/>
        </w:rPr>
        <w:t xml:space="preserve">La Tabla 2 aplica esos criterios a las opciones que influyeron en el diseño. «Multimodal» significa</w:t>
      </w:r>
      <w:r>
        <w:rPr>
          <w:lang w:val="es-ES"/>
        </w:rPr>
        <w:t xml:space="preserve"> </w:t>
      </w:r>
      <w:r>
        <w:rPr>
          <w:lang w:val="es-ES"/>
        </w:rPr>
        <w:t xml:space="preserve">aquí que la implementación admite las modalidades como canales o dispone de un flujo específico</w:t>
      </w:r>
      <w:r>
        <w:rPr>
          <w:lang w:val="es-ES"/>
        </w:rPr>
        <w:t xml:space="preserve"> </w:t>
      </w:r>
      <w:r>
        <w:rPr>
          <w:lang w:val="es-ES"/>
        </w:rPr>
        <w:t xml:space="preserve">para ellas, lo que no implica que incorpore ponderación explícita. La licencia indicada corresponde</w:t>
      </w:r>
      <w:r>
        <w:rPr>
          <w:lang w:val="es-ES"/>
        </w:rPr>
        <w:t xml:space="preserve"> </w:t>
      </w:r>
      <w:r>
        <w:rPr>
          <w:lang w:val="es-ES"/>
        </w:rPr>
        <w:t xml:space="preserve">al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software</w:t>
      </w:r>
      <w:r>
        <w:rPr>
          <w:lang w:val="es-ES"/>
        </w:rPr>
        <w:t xml:space="preserve"> </w:t>
      </w:r>
      <w:r>
        <w:rPr>
          <w:lang w:val="es-ES"/>
        </w:rPr>
        <w:t xml:space="preserve">consultado. El acceso y uso de BraTS-GLI se rigen por las condiciones propias del</w:t>
      </w:r>
      <w:r>
        <w:rPr>
          <w:lang w:val="es-ES"/>
        </w:rPr>
        <w:t xml:space="preserve"> </w:t>
      </w:r>
      <w:r>
        <w:rPr>
          <w:lang w:val="es-ES"/>
        </w:rPr>
        <w:t xml:space="preserve">conjunto de datos y no se deducen de la licencia de estos repositorios.</w:t>
      </w:r>
    </w:p>
    <w:tbl>
      <w:tblPr>
        <w:tblStyle w:val="Tablaconcuadrcula"/>
        <w:tblW w:type="dxa" w:w="8504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BFBFBF"/>
          <w:left w:val="single" w:sz="5" w:space="0" w:color="BFBFBF"/>
          <w:bottom w:val="single" w:sz="5" w:space="0" w:color="BFBFBF"/>
          <w:right w:val="single" w:sz="5" w:space="0" w:color="BFBFBF"/>
          <w:insideH w:val="single" w:sz="5" w:space="0" w:color="BFBFBF"/>
          <w:insideV w:val="single" w:sz="5" w:space="0" w:color="BFBFBF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  <w:cantSplit/>
        </w:trPr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4"/>
              </w:rPr>
              <w:t xml:space="preserve">Componente y fuente de implementación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4"/>
              </w:rPr>
              <w:t xml:space="preserve">Tipo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4"/>
              </w:rPr>
              <w:t xml:space="preserve">Soporte 3D y multimodal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4"/>
              </w:rPr>
              <w:t xml:space="preserve">Integración y reproducibilidad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4"/>
              </w:rPr>
              <w:t xml:space="preserve">Licencia del software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4"/>
              </w:rPr>
              <w:t xml:space="preserve">Decisión razonada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MONAI (</w:t>
            </w:r>
            <w:hyperlink r:id="R27f223919ff8495d">
              <w:r>
                <w:rPr>
                  <w:rStyle w:val="VerbatimChar"/>
                </w:rPr>
                <w:t xml:space="preserve">Project-MONAI/MONAI</w:t>
              </w:r>
            </w:hyperlink>
            <w:r>
              <w:rPr>
                <w:rFonts w:ascii="Arial" w:hAnsi="Arial" w:cs="Arial" w:eastAsia="Arial"/>
                <w:color w:val="000000"/>
                <w:sz w:val="14"/>
              </w:rPr>
              <w:t xml:space="preserve">)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i/>
                <w:iCs/>
                <w:color w:val="000000"/>
                <w:sz w:val="14"/>
              </w:rPr>
              <w:t xml:space="preserve">Framework</w:t>
            </w:r>
            <w:r>
              <w:rPr>
                <w:rFonts w:ascii="Arial" w:hAnsi="Arial" w:cs="Arial" w:eastAsia="Arial"/>
                <w:color w:val="000000"/>
                <w:sz w:val="14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4"/>
              </w:rPr>
              <w:t xml:space="preserve">de imagen médica sobre PyTorch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Operadores 3D y entradas multicanal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Integración directa; API común para datos, modelos e inferencia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Apache-2.0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Seleccionado como base del</w:t>
            </w:r>
            <w:r>
              <w:rPr>
                <w:rFonts w:ascii="Arial" w:hAnsi="Arial" w:cs="Arial" w:eastAsia="Arial"/>
                <w:color w:val="000000"/>
                <w:sz w:val="14"/>
              </w:rPr>
              <w:t xml:space="preserve"> </w:t>
            </w:r>
            <w:r>
              <w:rPr>
                <w:rFonts w:ascii="Arial" w:hAnsi="Arial" w:cs="Arial" w:eastAsia="Arial"/>
                <w:i/>
                <w:iCs/>
                <w:color w:val="000000"/>
                <w:sz w:val="14"/>
              </w:rPr>
              <w:t xml:space="preserve">pipeline</w:t>
            </w:r>
            <w:r>
              <w:rPr>
                <w:rFonts w:ascii="Arial" w:hAnsi="Arial" w:cs="Arial" w:eastAsia="Arial"/>
                <w:color w:val="000000"/>
                <w:sz w:val="14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4"/>
              </w:rPr>
              <w:t xml:space="preserve">propio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Residual U-Net 3D (configuración propia de</w:t>
            </w:r>
            <w:r>
              <w:rPr>
                <w:rFonts w:ascii="Arial" w:hAnsi="Arial" w:cs="Arial" w:eastAsia="Arial"/>
                <w:color w:val="000000"/>
                <w:sz w:val="14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4"/>
              </w:rPr>
              <w:t xml:space="preserve">monai.networks.nets.UNet</w:t>
            </w:r>
            <w:r>
              <w:rPr>
                <w:rFonts w:ascii="Arial" w:hAnsi="Arial" w:cs="Arial" w:eastAsia="Arial"/>
                <w:color w:val="000000"/>
                <w:sz w:val="14"/>
              </w:rPr>
              <w:t xml:space="preserve">)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CNN encoder-decoder con unidades residuales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Sí; cuatro canales de entrada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Integración directa y control de una única regla de fusión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Dependencia MONAI: Apache-2.0; código del TFM: sin licencia declarada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Seleccionada como referencia y soporte de la ablación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Attention U-Net 3D (</w:t>
            </w:r>
            <w:r>
              <w:rPr>
                <w:rStyle w:val="VerbatimChar"/>
                <w:rFonts w:ascii="Arial" w:hAnsi="Arial" w:cs="Arial" w:eastAsia="Arial"/>
                <w:color w:val="000000"/>
                <w:sz w:val="14"/>
              </w:rPr>
              <w:t xml:space="preserve">monai.networks.nets.AttentionUnet</w:t>
            </w:r>
            <w:r>
              <w:rPr>
                <w:rFonts w:ascii="Arial" w:hAnsi="Arial" w:cs="Arial" w:eastAsia="Arial"/>
                <w:color w:val="000000"/>
                <w:sz w:val="14"/>
              </w:rPr>
              <w:t xml:space="preserve">)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CNN con compuertas en conexiones de salto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Sí; cuatro canales de entrada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Integración directa en el mismo</w:t>
            </w:r>
            <w:r>
              <w:rPr>
                <w:rFonts w:ascii="Arial" w:hAnsi="Arial" w:cs="Arial" w:eastAsia="Arial"/>
                <w:color w:val="000000"/>
                <w:sz w:val="14"/>
              </w:rPr>
              <w:t xml:space="preserve"> </w:t>
            </w:r>
            <w:r>
              <w:rPr>
                <w:rFonts w:ascii="Arial" w:hAnsi="Arial" w:cs="Arial" w:eastAsia="Arial"/>
                <w:i/>
                <w:iCs/>
                <w:color w:val="000000"/>
                <w:sz w:val="14"/>
              </w:rPr>
              <w:t xml:space="preserve">pipeline</w:t>
            </w:r>
            <w:r>
              <w:rPr>
                <w:rFonts w:ascii="Arial" w:hAnsi="Arial" w:cs="Arial" w:eastAsia="Arial"/>
                <w:color w:val="000000"/>
                <w:sz w:val="14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4"/>
              </w:rPr>
              <w:t xml:space="preserve">MONAI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Apache-2.0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Seleccionada como referencia atencional contextual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Swin-UNETR (</w:t>
            </w:r>
            <w:r>
              <w:rPr>
                <w:rStyle w:val="VerbatimChar"/>
                <w:rFonts w:ascii="Arial" w:hAnsi="Arial" w:cs="Arial" w:eastAsia="Arial"/>
                <w:color w:val="000000"/>
                <w:sz w:val="14"/>
              </w:rPr>
              <w:t xml:space="preserve">monai.networks.nets.SwinUNETR</w:t>
            </w:r>
            <w:r>
              <w:rPr>
                <w:rFonts w:ascii="Arial" w:hAnsi="Arial" w:cs="Arial" w:eastAsia="Arial"/>
                <w:color w:val="000000"/>
                <w:sz w:val="14"/>
              </w:rPr>
              <w:t xml:space="preserve">)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Híbrido Transformer jerárquico y decodificador convolucional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Sí; cuatro canales de entrada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Integración directa, con mayor demanda prevista de memoria y cómputo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Apache-2.0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Seleccionada como referencia Transformer contextual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nnU-Net v2 (</w:t>
            </w:r>
            <w:hyperlink r:id="Rdb6af17dc4504193">
              <w:r>
                <w:rPr>
                  <w:rStyle w:val="VerbatimChar"/>
                </w:rPr>
                <w:t xml:space="preserve">MIC-DKFZ/nnUNet</w:t>
              </w:r>
            </w:hyperlink>
            <w:r>
              <w:rPr>
                <w:rFonts w:ascii="Arial" w:hAnsi="Arial" w:cs="Arial" w:eastAsia="Arial"/>
                <w:color w:val="000000"/>
                <w:sz w:val="14"/>
              </w:rPr>
              <w:t xml:space="preserve">)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i/>
                <w:iCs/>
                <w:color w:val="000000"/>
                <w:sz w:val="14"/>
              </w:rPr>
              <w:t xml:space="preserve">Pipeline</w:t>
            </w:r>
            <w:r>
              <w:rPr>
                <w:rFonts w:ascii="Arial" w:hAnsi="Arial" w:cs="Arial" w:eastAsia="Arial"/>
                <w:color w:val="000000"/>
                <w:sz w:val="14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4"/>
              </w:rPr>
              <w:t xml:space="preserve">auto-configurable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Sí; configuración 3D y múltiples canales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Flujo externo propio; requiere conversión de datos y conserva su planificación automática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Apache-2.0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Seleccionado como referencia externa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TransBTS (</w:t>
            </w:r>
            <w:hyperlink r:id="R192708830a4c48f7">
              <w:r>
                <w:rPr>
                  <w:rStyle w:val="VerbatimChar"/>
                </w:rPr>
                <w:t xml:space="preserve">Rubics-Xuan/TransBTS</w:t>
              </w:r>
            </w:hyperlink>
            <w:r>
              <w:rPr>
                <w:rFonts w:ascii="Arial" w:hAnsi="Arial" w:cs="Arial" w:eastAsia="Arial"/>
                <w:color w:val="000000"/>
                <w:sz w:val="14"/>
              </w:rPr>
              <w:t xml:space="preserve">)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Arquitectura híbrida CNN-Transformer para segmentación multimodal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Sí; diseñada para volúmenes multimodales de RM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Repositorio oficial con entorno PyTorch independiente y adaptación manual al protocolo actual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Apache-2.0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No ejecutada: el coste de portado añadía otra variable sin reforzar la ablación principal</w:t>
            </w:r>
          </w:p>
        </w:tc>
      </w:tr>
    </w:tbl>
    <w:p>
      <w:pPr>
        <w:pStyle w:val="Descripcin"/>
        <w:keepLines/>
        <w:rPr>
          <w:lang w:val="es-ES"/>
        </w:rPr>
      </w:pPr>
      <w:r>
        <w:rPr>
          <w:b/>
          <w:lang w:val="es-ES"/>
        </w:rPr>
        <w:t xml:space="preserve">Tabla </w:t>
      </w:r>
      <w:r>
        <w:rPr>
          <w:lang w:val="es-ES"/>
        </w:rPr>
        <w:fldChar w:fldCharType="begin" w:dirty="true"/>
      </w:r>
      <w:r>
        <w:rPr>
          <w:lang w:val="es-ES"/>
        </w:rPr>
        <w:instrText xml:space="preserve"> SEQ Tabla \* ARABIC </w:instrText>
      </w:r>
      <w:r>
        <w:rPr>
          <w:lang w:val="es-ES"/>
        </w:rPr>
        <w:fldChar w:fldCharType="separate"/>
      </w:r>
      <w:r>
        <w:rPr>
          <w:b/>
          <w:lang w:val="es-ES"/>
        </w:rPr>
        <w:t>2</w:t>
      </w:r>
      <w:r>
        <w:rPr>
          <w:lang w:val="es-ES"/>
        </w:rPr>
        <w:fldChar w:fldCharType="end"/>
      </w:r>
      <w:r>
        <w:rPr>
          <w:b/>
          <w:lang w:val="es-ES"/>
        </w:rPr>
        <w:t xml:space="preserve">. </w:t>
      </w:r>
      <w:r>
        <w:rPr>
          <w:lang w:val="es-ES"/>
        </w:rPr>
        <w:t>Comparación de implementaciones y repositorios relevantes para el TFM.</w:t>
      </w:r>
    </w:p>
    <w:p>
      <w:pPr>
        <w:rPr>
          <w:lang w:val="es-ES"/>
        </w:rPr>
      </w:pPr>
      <w:r>
        <w:rPr>
          <w:lang w:val="es-ES"/>
        </w:rPr>
        <w:t xml:space="preserve">Se eligió una única implementación residual para que el cambio de entrada fuera la principal</w:t>
      </w:r>
      <w:r>
        <w:rPr>
          <w:lang w:val="es-ES"/>
        </w:rPr>
        <w:t xml:space="preserve"> </w:t>
      </w:r>
      <w:r>
        <w:rPr>
          <w:lang w:val="es-ES"/>
        </w:rPr>
        <w:t xml:space="preserve">diferencia entre las cuatro variantes. Attention U-Net y Swin-UNETR se integraron y ejecutaron en</w:t>
      </w:r>
      <w:r>
        <w:rPr>
          <w:lang w:val="es-ES"/>
        </w:rPr>
        <w:t xml:space="preserve"> </w:t>
      </w:r>
      <w:r>
        <w:rPr>
          <w:lang w:val="es-ES"/>
        </w:rPr>
        <w:t xml:space="preserve">MONAI como referencias arquitectónicas, mientras que nnU-Net conservó su flujo externo porque la</w:t>
      </w:r>
      <w:r>
        <w:rPr>
          <w:lang w:val="es-ES"/>
        </w:rPr>
        <w:t xml:space="preserve"> </w:t>
      </w:r>
      <w:r>
        <w:rPr>
          <w:lang w:val="es-ES"/>
        </w:rPr>
        <w:t xml:space="preserve">auto-configuración forma parte del método. Integrar TransBTS habría cambiado simultáneamente el</w:t>
      </w:r>
      <w:r>
        <w:rPr>
          <w:lang w:val="es-ES"/>
        </w:rPr>
        <w:t xml:space="preserve"> </w:t>
      </w:r>
      <w:r>
        <w:rPr>
          <w:lang w:val="es-ES"/>
        </w:rPr>
        <w:t xml:space="preserve">codificador y el entorno; por ese motivo se mantuvo como referencia bibliográfica y no como</w:t>
      </w:r>
      <w:r>
        <w:rPr>
          <w:lang w:val="es-ES"/>
        </w:rPr>
        <w:t xml:space="preserve"> </w:t>
      </w:r>
      <w:r>
        <w:rPr>
          <w:lang w:val="es-ES"/>
        </w:rPr>
        <w:t xml:space="preserve">experimento.</w:t>
      </w:r>
    </w:p>
    <w:bookmarkEnd w:id="20"/>
    <w:bookmarkStart w:id="22" w:name="posicionamiento-del-tfm"/>
    <w:p>
      <w:pPr>
        <w:pStyle w:val="Ttulo2"/>
      </w:pPr>
      <w:r>
        <w:t xml:space="preserve">2.8. Posicionamiento del TFM</w:t>
      </w:r>
    </w:p>
    <w:p>
      <w:pPr>
        <w:rPr>
          <w:lang w:val="es-ES"/>
        </w:rPr>
      </w:pPr>
      <w:r>
        <w:rPr>
          <w:lang w:val="es-ES"/>
        </w:rPr>
        <w:t xml:space="preserve">La revisión llevó a acotar la contribución: en lugar de comparar arquitecturas completas, se</w:t>
      </w:r>
      <w:r>
        <w:rPr>
          <w:lang w:val="es-ES"/>
        </w:rPr>
        <w:t xml:space="preserve"> </w:t>
      </w:r>
      <w:r>
        <w:rPr>
          <w:lang w:val="es-ES"/>
        </w:rPr>
        <w:t xml:space="preserve">modificó únicamente el bloque anterior al codificador residual. Se contrastaron la concatenación, la</w:t>
      </w:r>
      <w:r>
        <w:rPr>
          <w:lang w:val="es-ES"/>
        </w:rPr>
        <w:t xml:space="preserve"> </w:t>
      </w:r>
      <w:r>
        <w:rPr>
          <w:lang w:val="es-ES"/>
        </w:rPr>
        <w:t xml:space="preserve">ponderación global aprendida e independiente de la entrada y dos compuertas condicionadas por</w:t>
      </w:r>
      <w:r>
        <w:rPr>
          <w:lang w:val="es-ES"/>
        </w:rPr>
        <w:t xml:space="preserve"> </w:t>
      </w:r>
      <w:r>
        <w:rPr>
          <w:lang w:val="es-ES"/>
        </w:rPr>
        <w:t xml:space="preserve">estadísticas de la entrada, con tres semillas por configuración y medidas de Dice, HD95 y coste</w:t>
      </w:r>
      <w:r>
        <w:rPr>
          <w:lang w:val="es-ES"/>
        </w:rPr>
        <w:t xml:space="preserve"> </w:t>
      </w:r>
      <w:r>
        <w:rPr>
          <w:lang w:val="es-ES"/>
        </w:rPr>
        <w:t xml:space="preserve">disponibles.</w:t>
      </w:r>
    </w:p>
    <w:p>
      <w:pPr>
        <w:rPr>
          <w:lang w:val="es-ES"/>
        </w:rPr>
      </w:pPr>
      <w:r>
        <w:rPr>
          <w:lang w:val="es-ES"/>
        </w:rPr>
        <w:t xml:space="preserve">Attention U-Net, Swin-UNETR y nnU-Net proporcionan contexto arquitectónico, pero no sustituyen esta</w:t>
      </w:r>
      <w:r>
        <w:rPr>
          <w:lang w:val="es-ES"/>
        </w:rPr>
        <w:t xml:space="preserve"> </w:t>
      </w:r>
      <w:r>
        <w:rPr>
          <w:lang w:val="es-ES"/>
        </w:rPr>
        <w:t xml:space="preserve">comparación. El objetivo tampoco es demostrar la superioridad general de la atención ni competir con</w:t>
      </w:r>
      <w:r>
        <w:rPr>
          <w:lang w:val="es-ES"/>
        </w:rPr>
        <w:t xml:space="preserve"> </w:t>
      </w:r>
      <w:r>
        <w:rPr>
          <w:lang w:val="es-ES"/>
        </w:rPr>
        <w:t xml:space="preserve">la clasificación oficial de BraTS, sino determinar si la adaptación propuesta aporta una mejora</w:t>
      </w:r>
      <w:r>
        <w:rPr>
          <w:lang w:val="es-ES"/>
        </w:rPr>
        <w:t xml:space="preserve"> </w:t>
      </w:r>
      <w:r>
        <w:rPr>
          <w:lang w:val="es-ES"/>
        </w:rPr>
        <w:t xml:space="preserve">consistente bajo el protocolo definido.</w:t>
      </w:r>
    </w:p>
    <w:bookmarkEnd w:id="21"/>
    <w:bookmarkEnd w:id="22"/>
    <w:bookmarkStart w:id="23" w:name="metodología"/>
    <w:p>
      <w:pPr>
        <w:pStyle w:val="Ttulo1"/>
        <w:pageBreakBefore/>
      </w:pPr>
      <w:r>
        <w:t xml:space="preserve">3. Metodología</w:t>
      </w:r>
    </w:p>
    <w:bookmarkStart w:id="24" w:name="enfoque-metodológico"/>
    <w:p>
      <w:pPr>
        <w:pStyle w:val="Ttulo2"/>
      </w:pPr>
      <w:r>
        <w:t xml:space="preserve">3.1. Enfoque metodológico</w:t>
      </w:r>
    </w:p>
    <w:p>
      <w:pPr>
        <w:rPr>
          <w:lang w:val="es-ES"/>
        </w:rPr>
      </w:pPr>
      <w:r>
        <w:rPr>
          <w:lang w:val="es-ES"/>
        </w:rPr>
        <w:t xml:space="preserve">El trabajo se organizó como una secuencia incremental de verificaciones destinada a evitar</w:t>
      </w:r>
      <w:r>
        <w:rPr>
          <w:lang w:val="es-ES"/>
        </w:rPr>
        <w:t xml:space="preserve"> </w:t>
      </w:r>
      <w:r>
        <w:rPr>
          <w:lang w:val="es-ES"/>
        </w:rPr>
        <w:t xml:space="preserve">entrenamientos costosos sobre datos o configuraciones aún no validados. Primero se acotaron la</w:t>
      </w:r>
      <w:r>
        <w:rPr>
          <w:lang w:val="es-ES"/>
        </w:rPr>
        <w:t xml:space="preserve"> </w:t>
      </w:r>
      <w:r>
        <w:rPr>
          <w:lang w:val="es-ES"/>
        </w:rPr>
        <w:t xml:space="preserve">pregunta, el conjunto de datos y los comparadores; después se validaron los 1.621 estudios y se</w:t>
      </w:r>
      <w:r>
        <w:rPr>
          <w:lang w:val="es-ES"/>
        </w:rPr>
        <w:t xml:space="preserve"> </w:t>
      </w:r>
      <w:r>
        <w:rPr>
          <w:lang w:val="es-ES"/>
        </w:rPr>
        <w:t xml:space="preserve">versionaron las particiones. Las pruebas mínimas posteriores comprobaron la carga de datos, la</w:t>
      </w:r>
      <w:r>
        <w:rPr>
          <w:lang w:val="es-ES"/>
        </w:rPr>
        <w:t xml:space="preserve"> </w:t>
      </w:r>
      <w:r>
        <w:rPr>
          <w:lang w:val="es-ES"/>
        </w:rPr>
        <w:t xml:space="preserve">propagación hacia delante y la retropropagación, la inferencia y el guardado de puntos de control</w:t>
      </w:r>
      <w:r>
        <w:rPr>
          <w:lang w:val="es-ES"/>
        </w:rPr>
        <w:t xml:space="preserve"> </w:t>
      </w:r>
      <w:r>
        <w:rPr>
          <w:lang w:val="es-ES"/>
        </w:rPr>
        <w:t xml:space="preserve">antes de ampliar el presupuesto de entrenamiento.</w:t>
      </w:r>
    </w:p>
    <w:p>
      <w:pPr>
        <w:rPr>
          <w:lang w:val="es-ES"/>
        </w:rPr>
      </w:pPr>
      <w:r>
        <w:rPr>
          <w:lang w:val="es-ES"/>
        </w:rPr>
        <w:t xml:space="preserve">La secuencia no fue lineal. Las primeras ejecuciones revelaron un cuello de botella de</w:t>
      </w:r>
      <w:r>
        <w:rPr>
          <w:lang w:val="es-ES"/>
        </w:rPr>
        <w:t xml:space="preserve"> </w:t>
      </w:r>
      <w:r>
        <w:rPr>
          <w:lang w:val="es-ES"/>
        </w:rPr>
        <w:t xml:space="preserve">entrada/salida en la nube y escasa variación de los pesos de la compuerta basada en la media en un</w:t>
      </w:r>
      <w:r>
        <w:rPr>
          <w:lang w:val="es-ES"/>
        </w:rPr>
        <w:t xml:space="preserve"> </w:t>
      </w:r>
      <w:r>
        <w:rPr>
          <w:lang w:val="es-ES"/>
        </w:rPr>
        <w:t xml:space="preserve">diagnóstico sobre volúmenes completos. Estos hallazgos llevaron, respectivamente, a copiar los</w:t>
      </w:r>
      <w:r>
        <w:rPr>
          <w:lang w:val="es-ES"/>
        </w:rPr>
        <w:t xml:space="preserve"> </w:t>
      </w:r>
      <w:r>
        <w:rPr>
          <w:lang w:val="es-ES"/>
        </w:rPr>
        <w:t xml:space="preserve">NIfTI al disco local en las ejecuciones MONAI sobre A100 y a incorporar un descriptor basado en la</w:t>
      </w:r>
      <w:r>
        <w:rPr>
          <w:lang w:val="es-ES"/>
        </w:rPr>
        <w:t xml:space="preserve"> </w:t>
      </w:r>
      <w:r>
        <w:rPr>
          <w:lang w:val="es-ES"/>
        </w:rPr>
        <w:t xml:space="preserve">media y la desviación típica. La ruta nnU-Net mantuvo los NIfTI crudos en Drive y generó el</w:t>
      </w:r>
      <w:r>
        <w:rPr>
          <w:lang w:val="es-ES"/>
        </w:rPr>
        <w:t xml:space="preserve"> </w:t>
      </w:r>
      <w:r>
        <w:rPr>
          <w:lang w:val="es-ES"/>
        </w:rPr>
        <w:t xml:space="preserve">preprocesamiento en almacenamiento local. Por último, una sonda de 25.000 pasos fijó en 15.000 pasos</w:t>
      </w:r>
      <w:r>
        <w:rPr>
          <w:lang w:val="es-ES"/>
        </w:rPr>
        <w:t xml:space="preserve"> </w:t>
      </w:r>
      <w:r>
        <w:rPr>
          <w:lang w:val="es-ES"/>
        </w:rPr>
        <w:t xml:space="preserve">el presupuesto común de las ejecuciones finales. Solo después de congelar las configuraciones se</w:t>
      </w:r>
      <w:r>
        <w:rPr>
          <w:lang w:val="es-ES"/>
        </w:rPr>
        <w:t xml:space="preserve"> </w:t>
      </w:r>
      <w:r>
        <w:rPr>
          <w:lang w:val="es-ES"/>
        </w:rPr>
        <w:t xml:space="preserve">generaron las predicciones de test. Esta secuencia constituye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metodología</w:t>
      </w:r>
      <w:r>
        <w:rPr>
          <w:b/>
          <w:bCs/>
          <w:lang w:val="es-ES"/>
        </w:rPr>
        <w:t xml:space="preserve"> </w:t>
      </w:r>
      <w:r>
        <w:rPr>
          <w:b/>
          <w:bCs/>
          <w:i/>
          <w:iCs/>
          <w:lang w:val="es-ES"/>
        </w:rPr>
        <w:t xml:space="preserve">ad hoc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de carácter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incremental</w:t>
      </w:r>
      <w:r>
        <w:rPr>
          <w:lang w:val="es-ES"/>
        </w:rPr>
        <w:t xml:space="preserve"> </w:t>
      </w:r>
      <w:r>
        <w:rPr>
          <w:lang w:val="es-ES"/>
        </w:rPr>
        <w:t xml:space="preserve">aplicada en el proyecto; el Capítulo 4 documenta las decisiones técnicas y los</w:t>
      </w:r>
      <w:r>
        <w:rPr>
          <w:lang w:val="es-ES"/>
        </w:rPr>
        <w:t xml:space="preserve"> </w:t>
      </w:r>
      <w:r>
        <w:rPr>
          <w:lang w:val="es-ES"/>
        </w:rPr>
        <w:t xml:space="preserve">artefactos asociados.</w:t>
      </w:r>
    </w:p>
    <w:bookmarkEnd w:id="23"/>
    <w:bookmarkStart w:id="25" w:name="descripción-general-de-las-fases"/>
    <w:p>
      <w:pPr>
        <w:pStyle w:val="Ttulo2"/>
      </w:pPr>
      <w:r>
        <w:t xml:space="preserve">3.2. Descripción general de las fases</w:t>
      </w:r>
    </w:p>
    <w:p>
      <w:pPr>
        <w:rPr>
          <w:lang w:val="es-ES"/>
        </w:rPr>
      </w:pPr>
      <w:r>
        <w:rPr>
          <w:b/>
          <w:bCs/>
          <w:lang w:val="es-ES"/>
        </w:rPr>
        <w:t xml:space="preserve">Fase 1 — Familiarización y revisión del estado del arte.</w:t>
      </w:r>
      <w:r>
        <w:rPr>
          <w:lang w:val="es-ES"/>
        </w:rPr>
        <w:t xml:space="preserve"> </w:t>
      </w:r>
      <w:r>
        <w:rPr>
          <w:lang w:val="es-ES"/>
        </w:rPr>
        <w:t xml:space="preserve">Se delimitó el problema clínico, se</w:t>
      </w:r>
      <w:r>
        <w:rPr>
          <w:lang w:val="es-ES"/>
        </w:rPr>
        <w:t xml:space="preserve"> </w:t>
      </w:r>
      <w:r>
        <w:rPr>
          <w:lang w:val="es-ES"/>
        </w:rPr>
        <w:t xml:space="preserve">revisaron las familias U-Net, Transformer y nnU-Net y se fijaron BraTS-GLI 2024, MONAI y la ablación</w:t>
      </w:r>
      <w:r>
        <w:rPr>
          <w:lang w:val="es-ES"/>
        </w:rPr>
        <w:t xml:space="preserve"> </w:t>
      </w:r>
      <w:r>
        <w:rPr>
          <w:lang w:val="es-ES"/>
        </w:rPr>
        <w:t xml:space="preserve">de fusión como núcleo experimental. Las decisiones de alcance quedaron registradas el 18 de mayo de</w:t>
      </w:r>
      <w:r>
        <w:rPr>
          <w:lang w:val="es-ES"/>
        </w:rPr>
        <w:t xml:space="preserve"> </w:t>
      </w:r>
      <w:r>
        <w:rPr>
          <w:lang w:val="es-ES"/>
        </w:rPr>
        <w:t xml:space="preserve">2026 en la documentación previa al diseño y en la bitácora metodológica.</w:t>
      </w:r>
    </w:p>
    <w:p>
      <w:pPr>
        <w:rPr>
          <w:lang w:val="es-ES"/>
        </w:rPr>
      </w:pPr>
      <w:r>
        <w:rPr>
          <w:b/>
          <w:bCs/>
          <w:lang w:val="es-ES"/>
        </w:rPr>
        <w:t xml:space="preserve">Fase 2 — Análisis y preparación de los datos.</w:t>
      </w:r>
      <w:r>
        <w:rPr>
          <w:lang w:val="es-ES"/>
        </w:rPr>
        <w:t xml:space="preserve"> </w:t>
      </w:r>
      <w:r>
        <w:rPr>
          <w:lang w:val="es-ES"/>
        </w:rPr>
        <w:t xml:space="preserve">Se inventariaron los estudios, se verificaron</w:t>
      </w:r>
      <w:r>
        <w:rPr>
          <w:lang w:val="es-ES"/>
        </w:rPr>
        <w:t xml:space="preserve"> </w:t>
      </w:r>
      <w:r>
        <w:rPr>
          <w:lang w:val="es-ES"/>
        </w:rPr>
        <w:t xml:space="preserve">modalidades, máscaras y geometría, y se generó el reparto 70/15/15. La fase quedó materializada el</w:t>
      </w:r>
      <w:r>
        <w:rPr>
          <w:lang w:val="es-ES"/>
        </w:rPr>
        <w:t xml:space="preserve"> </w:t>
      </w:r>
      <w:r>
        <w:rPr>
          <w:lang w:val="es-ES"/>
        </w:rPr>
        <w:t xml:space="preserve">26 de mayo en el resumen de control de calidad —1.621 estudios con estado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ok</w:t>
      </w:r>
      <w:r>
        <w:rPr>
          <w:lang w:val="es-ES"/>
        </w:rPr>
        <w:t xml:space="preserve">— y en un</w:t>
      </w:r>
      <w:r>
        <w:rPr>
          <w:lang w:val="es-ES"/>
        </w:rPr>
        <w:t xml:space="preserve"> </w:t>
      </w:r>
      <w:r>
        <w:rPr>
          <w:lang w:val="es-ES"/>
        </w:rPr>
        <w:t xml:space="preserve">manifiesto de particiones sin identificadores completos solapados. La unidad de reparto fue el</w:t>
      </w:r>
      <w:r>
        <w:rPr>
          <w:lang w:val="es-ES"/>
        </w:rPr>
        <w:t xml:space="preserve"> </w:t>
      </w:r>
      <w:r>
        <w:rPr>
          <w:lang w:val="es-ES"/>
        </w:rPr>
        <w:t xml:space="preserve">estudio, no el sujeto; esta decisión limita la interpretación de la generalización.</w:t>
      </w:r>
    </w:p>
    <w:p>
      <w:pPr>
        <w:rPr>
          <w:lang w:val="es-ES"/>
        </w:rPr>
      </w:pPr>
      <w:r>
        <w:rPr>
          <w:b/>
          <w:bCs/>
          <w:lang w:val="es-ES"/>
        </w:rPr>
        <w:t xml:space="preserve">Fase 3 — Diseño e implementación del</w:t>
      </w:r>
      <w:r>
        <w:rPr>
          <w:b/>
          <w:bCs/>
          <w:lang w:val="es-ES"/>
        </w:rPr>
        <w:t xml:space="preserve"> </w:t>
      </w:r>
      <w:r>
        <w:rPr>
          <w:b/>
          <w:bCs/>
          <w:i/>
          <w:iCs/>
          <w:lang w:val="es-ES"/>
        </w:rPr>
        <w:t xml:space="preserve">pipeline</w:t>
      </w:r>
      <w:r>
        <w:rPr>
          <w:b/>
          <w:bCs/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lang w:val="es-ES"/>
        </w:rPr>
        <w:t xml:space="preserve">Se construyeron la interfaz de línea de</w:t>
      </w:r>
      <w:r>
        <w:rPr>
          <w:lang w:val="es-ES"/>
        </w:rPr>
        <w:t xml:space="preserve"> </w:t>
      </w:r>
      <w:r>
        <w:rPr>
          <w:lang w:val="es-ES"/>
        </w:rPr>
        <w:t xml:space="preserve">comandos, las transformaciones, el bucle de entrenamiento, la factoría de modelos y los bloques de</w:t>
      </w:r>
      <w:r>
        <w:rPr>
          <w:lang w:val="es-ES"/>
        </w:rPr>
        <w:t xml:space="preserve"> </w:t>
      </w:r>
      <w:r>
        <w:rPr>
          <w:lang w:val="es-ES"/>
        </w:rPr>
        <w:t xml:space="preserve">fusión. Pruebas breves de extremo a extremo verificaron carga, entrenamiento, validación,</w:t>
      </w:r>
      <w:r>
        <w:rPr>
          <w:lang w:val="es-ES"/>
        </w:rPr>
        <w:t xml:space="preserve"> </w:t>
      </w:r>
      <w:r>
        <w:rPr>
          <w:lang w:val="es-ES"/>
        </w:rPr>
        <w:t xml:space="preserve">inferencia y puntos de control antes de las ejecuciones largas. nnU-Net se mantuvo en una ruta</w:t>
      </w:r>
      <w:r>
        <w:rPr>
          <w:lang w:val="es-ES"/>
        </w:rPr>
        <w:t xml:space="preserve"> </w:t>
      </w:r>
      <w:r>
        <w:rPr>
          <w:lang w:val="es-ES"/>
        </w:rPr>
        <w:t xml:space="preserve">externa para conservar su planificación y preprocesamiento propios.</w:t>
      </w:r>
    </w:p>
    <w:p>
      <w:pPr>
        <w:rPr>
          <w:lang w:val="es-ES"/>
        </w:rPr>
      </w:pPr>
      <w:r>
        <w:rPr>
          <w:b/>
          <w:bCs/>
          <w:lang w:val="es-ES"/>
        </w:rPr>
        <w:t xml:space="preserve">Fase 4 — Experimentación.</w:t>
      </w:r>
      <w:r>
        <w:rPr>
          <w:lang w:val="es-ES"/>
        </w:rPr>
        <w:t xml:space="preserve"> </w:t>
      </w:r>
      <w:r>
        <w:rPr>
          <w:lang w:val="es-ES"/>
        </w:rPr>
        <w:t xml:space="preserve">Se ejecutó la ablación de cuatro estrategias sobre una Residual U-Net</w:t>
      </w:r>
      <w:r>
        <w:rPr>
          <w:lang w:val="es-ES"/>
        </w:rPr>
        <w:t xml:space="preserve"> </w:t>
      </w:r>
      <w:r>
        <w:rPr>
          <w:lang w:val="es-ES"/>
        </w:rPr>
        <w:t xml:space="preserve">común, con tres semillas por estrategia, además de Attention U-Net, Swin-UNETR y una ejecución de</w:t>
      </w:r>
      <w:r>
        <w:rPr>
          <w:lang w:val="es-ES"/>
        </w:rPr>
        <w:t xml:space="preserve"> </w:t>
      </w:r>
      <w:r>
        <w:rPr>
          <w:lang w:val="es-ES"/>
        </w:rPr>
        <w:t xml:space="preserve">nnU-Net. El diseño reduce las diferencias deliberadas de la ablación al bloque de entrada; las</w:t>
      </w:r>
      <w:r>
        <w:rPr>
          <w:lang w:val="es-ES"/>
        </w:rPr>
        <w:t xml:space="preserve"> </w:t>
      </w:r>
      <w:r>
        <w:rPr>
          <w:lang w:val="es-ES"/>
        </w:rPr>
        <w:t xml:space="preserve">comparaciones entre familias se consideran descriptivas porque no comparten todo el protocolo.</w:t>
      </w:r>
    </w:p>
    <w:p>
      <w:pPr>
        <w:rPr>
          <w:lang w:val="es-ES"/>
        </w:rPr>
      </w:pPr>
      <w:r>
        <w:rPr>
          <w:b/>
          <w:bCs/>
          <w:lang w:val="es-ES"/>
        </w:rPr>
        <w:t xml:space="preserve">Fase 5 — Evaluación y análisis de resultados.</w:t>
      </w:r>
      <w:r>
        <w:rPr>
          <w:lang w:val="es-ES"/>
        </w:rPr>
        <w:t xml:space="preserve"> </w:t>
      </w:r>
      <w:r>
        <w:rPr>
          <w:lang w:val="es-ES"/>
        </w:rPr>
        <w:t xml:space="preserve">Una vez congeladas las configuraciones, se</w:t>
      </w:r>
      <w:r>
        <w:rPr>
          <w:lang w:val="es-ES"/>
        </w:rPr>
        <w:t xml:space="preserve"> </w:t>
      </w:r>
      <w:r>
        <w:rPr>
          <w:lang w:val="es-ES"/>
        </w:rPr>
        <w:t xml:space="preserve">generaron predicciones sobre los 243 estudios de test y se calcularon Dice y HD95 para ET, TC y WT.</w:t>
      </w:r>
      <w:r>
        <w:rPr>
          <w:lang w:val="es-ES"/>
        </w:rPr>
        <w:t xml:space="preserve"> </w:t>
      </w:r>
      <w:r>
        <w:rPr>
          <w:lang w:val="es-ES"/>
        </w:rPr>
        <w:t xml:space="preserve">El fichero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outputs/evaluation/final_all_test.csv</w:t>
      </w:r>
      <w:r>
        <w:rPr>
          <w:lang w:val="es-ES"/>
        </w:rPr>
        <w:t xml:space="preserve">, cerrado el 20 de julio, resume los agregados de</w:t>
      </w:r>
      <w:r>
        <w:rPr>
          <w:lang w:val="es-ES"/>
        </w:rPr>
        <w:t xml:space="preserve"> </w:t>
      </w:r>
      <w:r>
        <w:rPr>
          <w:lang w:val="es-ES"/>
        </w:rPr>
        <w:t xml:space="preserve">tres ejecuciones para los modelos MONAI y de la ejecución única de nnU-Net; los CSV y JSON</w:t>
      </w:r>
      <w:r>
        <w:rPr>
          <w:lang w:val="es-ES"/>
        </w:rPr>
        <w:t xml:space="preserve"> </w:t>
      </w:r>
      <w:r>
        <w:rPr>
          <w:lang w:val="es-ES"/>
        </w:rPr>
        <w:t xml:space="preserve">individuales conservan las métricas de cada ejecución, y los registros de entrenamiento aportan la</w:t>
      </w:r>
      <w:r>
        <w:rPr>
          <w:lang w:val="es-ES"/>
        </w:rPr>
        <w:t xml:space="preserve"> </w:t>
      </w:r>
      <w:r>
        <w:rPr>
          <w:lang w:val="es-ES"/>
        </w:rPr>
        <w:t xml:space="preserve">información computacional disponible.</w:t>
      </w:r>
    </w:p>
    <w:tbl>
      <w:tblPr>
        <w:tblStyle w:val="Tablaconcuadrcula"/>
        <w:tblW w:type="dxa" w:w="8504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BFBFBF"/>
          <w:left w:val="single" w:sz="5" w:space="0" w:color="BFBFBF"/>
          <w:bottom w:val="single" w:sz="5" w:space="0" w:color="BFBFBF"/>
          <w:right w:val="single" w:sz="5" w:space="0" w:color="BFBFBF"/>
          <w:insideH w:val="single" w:sz="5" w:space="0" w:color="BFBFBF"/>
          <w:insideV w:val="single" w:sz="5" w:space="0" w:color="BFBFBF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Fase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Denominación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Actividades principales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1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Familiarización y revisión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Problema clínico y estado del arte; selección de datos, herramientas y familias de modelos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2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Análisis y preparación de datos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Inventario, control de calidad y partición estratificada por estudio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3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Diseño e implementación del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Fonts w:ascii="Arial" w:hAnsi="Arial" w:cs="Arial" w:eastAsia="Arial"/>
                <w:i/>
                <w:iCs/>
                <w:color w:val="000000"/>
                <w:sz w:val="17"/>
              </w:rPr>
              <w:t xml:space="preserve">pipeline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Entorno, código, transformaciones, modelos y mecanismos de fusión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4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Experimentación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Protocolo MONAI, ablación controlada de fusión, varias semillas y referencia nnU-Net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5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Evaluación y análisis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Inferencia sobre test, métricas por región, variabilidad y huella computacional</w:t>
            </w:r>
          </w:p>
        </w:tc>
      </w:tr>
    </w:tbl>
    <w:p>
      <w:pPr>
        <w:pStyle w:val="Descripcin"/>
        <w:keepLines/>
        <w:rPr>
          <w:lang w:val="es-ES"/>
        </w:rPr>
      </w:pPr>
      <w:r>
        <w:rPr>
          <w:b/>
          <w:lang w:val="es-ES"/>
        </w:rPr>
        <w:t xml:space="preserve">Tabla </w:t>
      </w:r>
      <w:r>
        <w:rPr>
          <w:lang w:val="es-ES"/>
        </w:rPr>
        <w:fldChar w:fldCharType="begin" w:dirty="true"/>
      </w:r>
      <w:r>
        <w:rPr>
          <w:lang w:val="es-ES"/>
        </w:rPr>
        <w:instrText xml:space="preserve"> SEQ Tabla \* ARABIC </w:instrText>
      </w:r>
      <w:r>
        <w:rPr>
          <w:lang w:val="es-ES"/>
        </w:rPr>
        <w:fldChar w:fldCharType="separate"/>
      </w:r>
      <w:r>
        <w:rPr>
          <w:b/>
          <w:lang w:val="es-ES"/>
        </w:rPr>
        <w:t>3</w:t>
      </w:r>
      <w:r>
        <w:rPr>
          <w:lang w:val="es-ES"/>
        </w:rPr>
        <w:fldChar w:fldCharType="end"/>
      </w:r>
      <w:r>
        <w:rPr>
          <w:b/>
          <w:lang w:val="es-ES"/>
        </w:rPr>
        <w:t xml:space="preserve">. </w:t>
      </w:r>
      <w:r>
        <w:rPr>
          <w:lang w:val="es-ES"/>
        </w:rPr>
        <w:t>Fases de la metodología ad hoc y actividades principales de cada una.</w:t>
      </w:r>
    </w:p>
    <w:p>
      <w:pPr>
        <w:rPr>
          <w:lang w:val="es-ES"/>
        </w:rPr>
      </w:pPr>
      <w:r>
        <w:rPr>
          <w:lang w:val="es-ES"/>
        </w:rPr>
        <w:t xml:space="preserve">El paso a la Fase 5 quedó condicionado a congelar las configuraciones finales: el test no intervino</w:t>
      </w:r>
      <w:r>
        <w:rPr>
          <w:lang w:val="es-ES"/>
        </w:rPr>
        <w:t xml:space="preserve"> </w:t>
      </w:r>
      <w:r>
        <w:rPr>
          <w:lang w:val="es-ES"/>
        </w:rPr>
        <w:t xml:space="preserve">en la selección de puntos de control.</w:t>
      </w:r>
    </w:p>
    <w:bookmarkEnd w:id="24"/>
    <w:bookmarkStart w:id="26" w:name="X29bf43a66ca6734890689a5fcfb94170afc44ed"/>
    <w:p>
      <w:pPr>
        <w:pStyle w:val="Ttulo2"/>
      </w:pPr>
      <w:r>
        <w:t xml:space="preserve">3.3. Correspondencia entre metodología y desarrollo</w:t>
      </w:r>
    </w:p>
    <w:p>
      <w:pPr>
        <w:rPr>
          <w:lang w:val="es-ES"/>
        </w:rPr>
      </w:pPr>
      <w:r>
        <w:rPr>
          <w:lang w:val="es-ES"/>
        </w:rPr>
        <w:t xml:space="preserve">La Tabla 4 conserva la correspondencia entre las fases y su desarrollo técnico.</w:t>
      </w:r>
    </w:p>
    <w:tbl>
      <w:tblPr>
        <w:tblStyle w:val="Tablaconcuadrcula"/>
        <w:tblW w:type="dxa" w:w="8504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BFBFBF"/>
          <w:left w:val="single" w:sz="5" w:space="0" w:color="BFBFBF"/>
          <w:bottom w:val="single" w:sz="5" w:space="0" w:color="BFBFBF"/>
          <w:right w:val="single" w:sz="5" w:space="0" w:color="BFBFBF"/>
          <w:insideH w:val="single" w:sz="5" w:space="0" w:color="BFBFBF"/>
          <w:insideV w:val="single" w:sz="5" w:space="0" w:color="BFBFBF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Fase (Cap. 3)</w:t>
            </w:r>
          </w:p>
        </w:tc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Sección de desarrollo (Cap. 4)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Fase 1 — Familiarización y revisión</w:t>
            </w:r>
          </w:p>
        </w:tc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4.1. Familiarización y selección de herramientas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Fase 2 — Análisis y preparación de datos</w:t>
            </w:r>
          </w:p>
        </w:tc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4.2. Análisis y preparación de los datos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Fase 3 — Diseño e implementación del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Fonts w:ascii="Arial" w:hAnsi="Arial" w:cs="Arial" w:eastAsia="Arial"/>
                <w:i/>
                <w:iCs/>
                <w:color w:val="000000"/>
                <w:sz w:val="17"/>
              </w:rPr>
              <w:t xml:space="preserve">pipeline</w:t>
            </w:r>
          </w:p>
        </w:tc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4.3. Diseño e implementación del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Fonts w:ascii="Arial" w:hAnsi="Arial" w:cs="Arial" w:eastAsia="Arial"/>
                <w:i/>
                <w:iCs/>
                <w:color w:val="000000"/>
                <w:sz w:val="17"/>
              </w:rPr>
              <w:t xml:space="preserve">pipeline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Fase 4 — Experimentación</w:t>
            </w:r>
          </w:p>
        </w:tc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4.4. Experimentación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Fase 5 — Evaluación y análisis</w:t>
            </w:r>
          </w:p>
        </w:tc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4.5. Evaluación y análisis de resultados</w:t>
            </w:r>
          </w:p>
        </w:tc>
      </w:tr>
    </w:tbl>
    <w:p>
      <w:pPr>
        <w:pStyle w:val="Descripcin"/>
        <w:keepLines/>
        <w:rPr>
          <w:lang w:val="es-ES"/>
        </w:rPr>
      </w:pPr>
      <w:r>
        <w:rPr>
          <w:b/>
          <w:lang w:val="es-ES"/>
        </w:rPr>
        <w:t xml:space="preserve">Tabla </w:t>
      </w:r>
      <w:r>
        <w:rPr>
          <w:lang w:val="es-ES"/>
        </w:rPr>
        <w:fldChar w:fldCharType="begin" w:dirty="true"/>
      </w:r>
      <w:r>
        <w:rPr>
          <w:lang w:val="es-ES"/>
        </w:rPr>
        <w:instrText xml:space="preserve"> SEQ Tabla \* ARABIC </w:instrText>
      </w:r>
      <w:r>
        <w:rPr>
          <w:lang w:val="es-ES"/>
        </w:rPr>
        <w:fldChar w:fldCharType="separate"/>
      </w:r>
      <w:r>
        <w:rPr>
          <w:b/>
          <w:lang w:val="es-ES"/>
        </w:rPr>
        <w:t>4</w:t>
      </w:r>
      <w:r>
        <w:rPr>
          <w:lang w:val="es-ES"/>
        </w:rPr>
        <w:fldChar w:fldCharType="end"/>
      </w:r>
      <w:r>
        <w:rPr>
          <w:b/>
          <w:lang w:val="es-ES"/>
        </w:rPr>
        <w:t xml:space="preserve">. </w:t>
      </w:r>
      <w:r>
        <w:rPr>
          <w:lang w:val="es-ES"/>
        </w:rPr>
        <w:t>Correspondencia entre las fases de la metodología (Capítulo 3) y las secciones de desarrollo técnico (Capítulo 4).</w:t>
      </w:r>
    </w:p>
    <w:bookmarkEnd w:id="25"/>
    <w:bookmarkStart w:id="27" w:name="cronograma"/>
    <w:p>
      <w:pPr>
        <w:pStyle w:val="Ttulo2"/>
      </w:pPr>
      <w:r>
        <w:t xml:space="preserve">3.4. Cronograma</w:t>
      </w:r>
    </w:p>
    <w:p>
      <w:pPr>
        <w:rPr>
          <w:lang w:val="es-ES"/>
        </w:rPr>
      </w:pPr>
      <w:r>
        <w:rPr>
          <w:lang w:val="es-ES"/>
        </w:rPr>
        <w:t xml:space="preserve">El trabajo se desarrolló entre mayo y julio de 2026. Las fases se solaparon porque los diagnósticos</w:t>
      </w:r>
      <w:r>
        <w:rPr>
          <w:lang w:val="es-ES"/>
        </w:rPr>
        <w:t xml:space="preserve"> </w:t>
      </w:r>
      <w:r>
        <w:rPr>
          <w:lang w:val="es-ES"/>
        </w:rPr>
        <w:t xml:space="preserve">experimentales obligaron a revisar componentes ya implementados.</w:t>
      </w:r>
    </w:p>
    <w:tbl>
      <w:tblPr>
        <w:tblStyle w:val="Tablaconcuadrcula"/>
        <w:tblW w:type="dxa" w:w="8504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BFBFBF"/>
          <w:left w:val="single" w:sz="5" w:space="0" w:color="BFBFBF"/>
          <w:bottom w:val="single" w:sz="5" w:space="0" w:color="BFBFBF"/>
          <w:right w:val="single" w:sz="5" w:space="0" w:color="BFBFBF"/>
          <w:insideH w:val="single" w:sz="5" w:space="0" w:color="BFBFBF"/>
          <w:insideV w:val="single" w:sz="5" w:space="0" w:color="BFBFBF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Fase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Actividades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Periodo aproximado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1. Familiarización y revisión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Revisión del estado del arte; decisiones de alcance y herramientas; tutorías de encuadre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Mayo 2026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2. Análisis y preparación de datos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Control de calidad del conjunto; particiones estratificadas reproducibles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Mayo 2026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3. Diseño e implementación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i/>
                <w:iCs/>
                <w:color w:val="000000"/>
                <w:sz w:val="17"/>
              </w:rPr>
              <w:t xml:space="preserve">Pipeline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MONAI; factoría de modelos; mecanismos de fusión; adaptación de E/S y de nnU-Net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Mayo-junio 2026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4. Experimentación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Referencias; Swin-UNETR; nnU-Net; sonda de convergencia; ablación y análisis multisemilla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Junio-julio 2026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5. Evaluación y análisis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Inferencia y métricas sobre test; análisis comparativo y redacción de resultados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Julio 2026</w:t>
            </w:r>
          </w:p>
        </w:tc>
      </w:tr>
    </w:tbl>
    <w:p>
      <w:pPr>
        <w:pStyle w:val="Descripcin"/>
        <w:keepLines/>
        <w:rPr>
          <w:lang w:val="es-ES"/>
        </w:rPr>
      </w:pPr>
      <w:r>
        <w:rPr>
          <w:b/>
          <w:lang w:val="es-ES"/>
        </w:rPr>
        <w:t xml:space="preserve">Tabla </w:t>
      </w:r>
      <w:r>
        <w:rPr>
          <w:lang w:val="es-ES"/>
        </w:rPr>
        <w:fldChar w:fldCharType="begin" w:dirty="true"/>
      </w:r>
      <w:r>
        <w:rPr>
          <w:lang w:val="es-ES"/>
        </w:rPr>
        <w:instrText xml:space="preserve"> SEQ Tabla \* ARABIC </w:instrText>
      </w:r>
      <w:r>
        <w:rPr>
          <w:lang w:val="es-ES"/>
        </w:rPr>
        <w:fldChar w:fldCharType="separate"/>
      </w:r>
      <w:r>
        <w:rPr>
          <w:b/>
          <w:lang w:val="es-ES"/>
        </w:rPr>
        <w:t>5</w:t>
      </w:r>
      <w:r>
        <w:rPr>
          <w:lang w:val="es-ES"/>
        </w:rPr>
        <w:fldChar w:fldCharType="end"/>
      </w:r>
      <w:r>
        <w:rPr>
          <w:b/>
          <w:lang w:val="es-ES"/>
        </w:rPr>
        <w:t xml:space="preserve">. </w:t>
      </w:r>
      <w:r>
        <w:rPr>
          <w:lang w:val="es-ES"/>
        </w:rPr>
        <w:t>Cronograma del proyecto por fases y actividades.</w:t>
      </w:r>
    </w:p>
    <w:p>
      <w:pPr>
        <w:rPr>
          <w:lang w:val="es-ES"/>
        </w:rPr>
      </w:pPr>
      <w:r>
        <w:rPr>
          <w:lang w:val="es-ES"/>
        </w:rPr>
        <w:t xml:space="preserve">El solapamiento principal se produjo entre las fases 3 y 4. Los hitos registrados que modificaron</w:t>
      </w:r>
      <w:r>
        <w:rPr>
          <w:lang w:val="es-ES"/>
        </w:rPr>
        <w:t xml:space="preserve"> </w:t>
      </w:r>
      <w:r>
        <w:rPr>
          <w:lang w:val="es-ES"/>
        </w:rPr>
        <w:t xml:space="preserve">el desarrollo fueron el diagnóstico del cuello de botella de lectura el 25 de junio; el descarte de</w:t>
      </w:r>
      <w:r>
        <w:rPr>
          <w:lang w:val="es-ES"/>
        </w:rPr>
        <w:t xml:space="preserve"> </w:t>
      </w:r>
      <w:r>
        <w:rPr>
          <w:lang w:val="es-ES"/>
        </w:rPr>
        <w:t xml:space="preserve">la caché persistente y la copia de los datos al disco local de Colab el 14 de julio; el diagnóstico</w:t>
      </w:r>
      <w:r>
        <w:rPr>
          <w:lang w:val="es-ES"/>
        </w:rPr>
        <w:t xml:space="preserve"> </w:t>
      </w:r>
      <w:r>
        <w:rPr>
          <w:lang w:val="es-ES"/>
        </w:rPr>
        <w:t xml:space="preserve">de la compuerta y la incorporación del descriptor basado en la media y la desviación típica el 16</w:t>
      </w:r>
      <w:r>
        <w:rPr>
          <w:lang w:val="es-ES"/>
        </w:rPr>
        <w:t xml:space="preserve"> </w:t>
      </w:r>
      <w:r>
        <w:rPr>
          <w:lang w:val="es-ES"/>
        </w:rPr>
        <w:t xml:space="preserve">de julio; y la sonda de convergencia que fijó el presupuesto final el 17 de julio. La evaluación</w:t>
      </w:r>
      <w:r>
        <w:rPr>
          <w:lang w:val="es-ES"/>
        </w:rPr>
        <w:t xml:space="preserve"> </w:t>
      </w:r>
      <w:r>
        <w:rPr>
          <w:lang w:val="es-ES"/>
        </w:rPr>
        <w:t xml:space="preserve">conjunta sobre test se cerró el 20 de julio.</w:t>
      </w:r>
    </w:p>
    <w:bookmarkEnd w:id="26"/>
    <w:bookmarkEnd w:id="27"/>
    <w:bookmarkStart w:id="28" w:name="desarrollo"/>
    <w:p>
      <w:pPr>
        <w:pStyle w:val="Ttulo1"/>
        <w:pageBreakBefore/>
      </w:pPr>
      <w:r>
        <w:t xml:space="preserve">4. Desarrollo</w:t>
      </w:r>
    </w:p>
    <w:p>
      <w:pPr>
        <w:rPr>
          <w:lang w:val="es-ES"/>
        </w:rPr>
      </w:pPr>
      <w:r>
        <w:rPr>
          <w:lang w:val="es-ES"/>
        </w:rPr>
        <w:t xml:space="preserve">El desarrollo separa una infraestructura MONAI compartida de la ruta externa de nnU-Net y mantiene</w:t>
      </w:r>
      <w:r>
        <w:rPr>
          <w:lang w:val="es-ES"/>
        </w:rPr>
        <w:t xml:space="preserve"> </w:t>
      </w:r>
      <w:r>
        <w:rPr>
          <w:lang w:val="es-ES"/>
        </w:rPr>
        <w:t xml:space="preserve">fija la Residual U-Net en la ablación de fusión.</w:t>
      </w:r>
    </w:p>
    <w:bookmarkStart w:id="29" w:name="X583d9726a55dbefaed1c93370122711a0b919a9"/>
    <w:p>
      <w:pPr>
        <w:pStyle w:val="Ttulo2"/>
      </w:pPr>
      <w:r>
        <w:t xml:space="preserve">4.1. Familiarización y selección de herramientas (Fase 1)</w:t>
      </w:r>
    </w:p>
    <w:p>
      <w:pPr>
        <w:rPr>
          <w:lang w:val="es-ES"/>
        </w:rPr>
      </w:pPr>
      <w:r>
        <w:rPr>
          <w:lang w:val="es-ES"/>
        </w:rPr>
        <w:t xml:space="preserve">Se eligió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MONAI</w:t>
      </w:r>
      <w:r>
        <w:rPr>
          <w:lang w:val="es-ES"/>
        </w:rPr>
        <w:t xml:space="preserve">, sobre PyTorch, porque cubría las necesidades compartidas por los experimentos:</w:t>
      </w:r>
      <w:r>
        <w:rPr>
          <w:lang w:val="es-ES"/>
        </w:rPr>
        <w:t xml:space="preserve"> </w:t>
      </w:r>
      <w:r>
        <w:rPr>
          <w:lang w:val="es-ES"/>
        </w:rPr>
        <w:t xml:space="preserve">carga de volúmenes NIfTI multicanal, transformaciones 3D, arquitecturas de segmentación, pérdidas y</w:t>
      </w:r>
      <w:r>
        <w:rPr>
          <w:lang w:val="es-ES"/>
        </w:rPr>
        <w:t xml:space="preserve"> </w:t>
      </w:r>
      <w:r>
        <w:rPr>
          <w:lang w:val="es-ES"/>
        </w:rPr>
        <w:t xml:space="preserve">predicción por ventana deslizante. Su interfaz permitió reutilizar el mismo flujo de datos y</w:t>
      </w:r>
      <w:r>
        <w:rPr>
          <w:lang w:val="es-ES"/>
        </w:rPr>
        <w:t xml:space="preserve"> </w:t>
      </w:r>
      <w:r>
        <w:rPr>
          <w:lang w:val="es-ES"/>
        </w:rPr>
        <w:t xml:space="preserve">evaluación con la Residual U-Net, Attention U-Net y Swin-UNETR. Se mantuvo un bucle de entrenamiento</w:t>
      </w:r>
      <w:r>
        <w:rPr>
          <w:lang w:val="es-ES"/>
        </w:rPr>
        <w:t xml:space="preserve"> </w:t>
      </w:r>
      <w:r>
        <w:rPr>
          <w:lang w:val="es-ES"/>
        </w:rPr>
        <w:t xml:space="preserve">propio para imponer el presupuesto por pasos, activar AMP solo en CUDA, validar con una selección</w:t>
      </w:r>
      <w:r>
        <w:rPr>
          <w:lang w:val="es-ES"/>
        </w:rPr>
        <w:t xml:space="preserve"> </w:t>
      </w:r>
      <w:r>
        <w:rPr>
          <w:lang w:val="es-ES"/>
        </w:rPr>
        <w:t xml:space="preserve">fija de casos y conservar puntos de control y métricas con el mismo formato.</w:t>
      </w:r>
    </w:p>
    <w:p>
      <w:pPr>
        <w:rPr>
          <w:lang w:val="es-ES"/>
        </w:rPr>
      </w:pPr>
      <w:r>
        <w:rPr>
          <w:lang w:val="es-ES"/>
        </w:rPr>
        <w:t xml:space="preserve">Se seleccionaron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cuatro familias de modelos</w:t>
      </w:r>
      <w:r>
        <w:rPr>
          <w:lang w:val="es-ES"/>
        </w:rPr>
        <w:t xml:space="preserve"> </w:t>
      </w:r>
      <w:r>
        <w:rPr>
          <w:lang w:val="es-ES"/>
        </w:rPr>
        <w:t xml:space="preserve">con funciones diferentes en el estudio: una</w:t>
      </w:r>
      <w:r>
        <w:rPr>
          <w:lang w:val="es-ES"/>
        </w:rPr>
        <w:t xml:space="preserve"> </w:t>
      </w:r>
      <w:r>
        <w:rPr>
          <w:lang w:val="es-ES"/>
        </w:rPr>
        <w:t xml:space="preserve">Residual U-Net 3D como soporte común de la ablación de fusión; Attention U-Net 3D como variante</w:t>
      </w:r>
      <w:r>
        <w:rPr>
          <w:lang w:val="es-ES"/>
        </w:rPr>
        <w:t xml:space="preserve"> </w:t>
      </w:r>
      <w:r>
        <w:rPr>
          <w:lang w:val="es-ES"/>
        </w:rPr>
        <w:t xml:space="preserve">convolucional atencional; Swin-UNETR como arquitectura Transformer-UNet; y nnU-Net como referencia</w:t>
      </w:r>
      <w:r>
        <w:rPr>
          <w:lang w:val="es-ES"/>
        </w:rPr>
        <w:t xml:space="preserve"> </w:t>
      </w:r>
      <w:r>
        <w:rPr>
          <w:lang w:val="es-ES"/>
        </w:rPr>
        <w:t xml:space="preserve">externa auto-configurable. Dentro de la familia residual se evaluaron cuatro configuraciones de</w:t>
      </w:r>
      <w:r>
        <w:rPr>
          <w:lang w:val="es-ES"/>
        </w:rPr>
        <w:t xml:space="preserve"> </w:t>
      </w:r>
      <w:r>
        <w:rPr>
          <w:lang w:val="es-ES"/>
        </w:rPr>
        <w:t xml:space="preserve">entrada: concatenación, ponderación global, compuerta adaptativa basada en la media y compuerta</w:t>
      </w:r>
      <w:r>
        <w:rPr>
          <w:lang w:val="es-ES"/>
        </w:rPr>
        <w:t xml:space="preserve"> </w:t>
      </w:r>
      <w:r>
        <w:rPr>
          <w:lang w:val="es-ES"/>
        </w:rPr>
        <w:t xml:space="preserve">adaptativa basada en media y desviación típica. La comparación de herramientas y repositorios que</w:t>
      </w:r>
      <w:r>
        <w:rPr>
          <w:lang w:val="es-ES"/>
        </w:rPr>
        <w:t xml:space="preserve"> </w:t>
      </w:r>
      <w:r>
        <w:rPr>
          <w:lang w:val="es-ES"/>
        </w:rPr>
        <w:t xml:space="preserve">motivó esta selección se presenta en el Capítulo 2.</w:t>
      </w:r>
    </w:p>
    <w:bookmarkEnd w:id="28"/>
    <w:bookmarkStart w:id="30" w:name="X3c9b3c909de1016251f6f9a0ef1fff7604f96a2"/>
    <w:p>
      <w:pPr>
        <w:pStyle w:val="Ttulo2"/>
      </w:pPr>
      <w:r>
        <w:t xml:space="preserve">4.2. Análisis y preparación de los datos (Fase 2)</w:t>
      </w:r>
    </w:p>
    <w:p>
      <w:pPr>
        <w:rPr>
          <w:lang w:val="es-ES"/>
        </w:rPr>
      </w:pPr>
      <w:r>
        <w:rPr>
          <w:lang w:val="es-ES"/>
        </w:rPr>
        <w:t xml:space="preserve">Antes de entrenar se ejecutaron tres operaciones: descubrimiento de estudios, control de calidad y</w:t>
      </w:r>
      <w:r>
        <w:rPr>
          <w:lang w:val="es-ES"/>
        </w:rPr>
        <w:t xml:space="preserve"> </w:t>
      </w:r>
      <w:r>
        <w:rPr>
          <w:lang w:val="es-ES"/>
        </w:rPr>
        <w:t xml:space="preserve">generación de particiones.</w:t>
      </w:r>
    </w:p>
    <w:bookmarkStart w:id="31" w:name="Xcf193804b1b29948b4eb5cd6c8e0c63a3e4118e"/>
    <w:p>
      <w:pPr>
        <w:pStyle w:val="Ttulo3"/>
      </w:pPr>
      <w:r>
        <w:t xml:space="preserve">4.2.1. Conjunto de datos y descubrimiento de estudios</w:t>
      </w:r>
    </w:p>
    <w:p>
      <w:pPr>
        <w:rPr>
          <w:lang w:val="es-ES"/>
        </w:rPr>
      </w:pPr>
      <w:r>
        <w:rPr>
          <w:lang w:val="es-ES"/>
        </w:rPr>
        <w:t xml:space="preserve">El alcance experimental se limita 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BraTS-GLI 2024 post-tratamiento</w:t>
      </w:r>
      <w:r>
        <w:rPr>
          <w:lang w:val="es-ES"/>
        </w:rPr>
        <w:t xml:space="preserve">, sin mezclar tareas de otras</w:t>
      </w:r>
      <w:r>
        <w:rPr>
          <w:lang w:val="es-ES"/>
        </w:rPr>
        <w:t xml:space="preserve"> </w:t>
      </w:r>
      <w:r>
        <w:rPr>
          <w:lang w:val="es-ES"/>
        </w:rPr>
        <w:t xml:space="preserve">colecciones BraTS. Cada estudio aporta cuatro volúmenes de RM 3D en formato NIfTI y su máscara de</w:t>
      </w:r>
      <w:r>
        <w:rPr>
          <w:lang w:val="es-ES"/>
        </w:rPr>
        <w:t xml:space="preserve"> </w:t>
      </w:r>
      <w:r>
        <w:rPr>
          <w:lang w:val="es-ES"/>
        </w:rPr>
        <w:t xml:space="preserve">segmentación. La configuración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configs/dataset/brats_gli_2024.yaml</w:t>
      </w:r>
      <w:r>
        <w:rPr>
          <w:lang w:val="es-ES"/>
        </w:rPr>
        <w:t xml:space="preserve"> </w:t>
      </w:r>
      <w:r>
        <w:rPr>
          <w:lang w:val="es-ES"/>
        </w:rPr>
        <w:t xml:space="preserve">declara la raíz de datos, los</w:t>
      </w:r>
      <w:r>
        <w:rPr>
          <w:lang w:val="es-ES"/>
        </w:rPr>
        <w:t xml:space="preserve"> </w:t>
      </w:r>
      <w:r>
        <w:rPr>
          <w:lang w:val="es-ES"/>
        </w:rPr>
        <w:t xml:space="preserve">directorios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training_data1_v2</w:t>
      </w:r>
      <w:r>
        <w:rPr>
          <w:lang w:val="es-ES"/>
        </w:rPr>
        <w:t xml:space="preserve"> </w:t>
      </w:r>
      <w:r>
        <w:rPr>
          <w:lang w:val="es-ES"/>
        </w:rPr>
        <w:t xml:space="preserve">y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training_data_additional</w:t>
      </w:r>
      <w:r>
        <w:rPr>
          <w:lang w:val="es-ES"/>
        </w:rPr>
        <w:t xml:space="preserve">, las modalidades y el sufijo de la</w:t>
      </w:r>
      <w:r>
        <w:rPr>
          <w:lang w:val="es-ES"/>
        </w:rPr>
        <w:t xml:space="preserve"> </w:t>
      </w:r>
      <w:r>
        <w:rPr>
          <w:lang w:val="es-ES"/>
        </w:rPr>
        <w:t xml:space="preserve">máscara. El módulo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tfm_brats/brats.py</w:t>
      </w:r>
      <w:r>
        <w:rPr>
          <w:lang w:val="es-ES"/>
        </w:rPr>
        <w:t xml:space="preserve"> </w:t>
      </w:r>
      <w:r>
        <w:rPr>
          <w:lang w:val="es-ES"/>
        </w:rPr>
        <w:t xml:space="preserve">recorre ambos directorios, selecciona las carpetas con</w:t>
      </w:r>
      <w:r>
        <w:rPr>
          <w:lang w:val="es-ES"/>
        </w:rPr>
        <w:t xml:space="preserve"> </w:t>
      </w:r>
      <w:r>
        <w:rPr>
          <w:lang w:val="es-ES"/>
        </w:rPr>
        <w:t xml:space="preserve">prefijo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BraTS-GLI-</w:t>
      </w:r>
      <w:r>
        <w:rPr>
          <w:lang w:val="es-ES"/>
        </w:rPr>
        <w:t xml:space="preserve"> </w:t>
      </w:r>
      <w:r>
        <w:rPr>
          <w:lang w:val="es-ES"/>
        </w:rPr>
        <w:t xml:space="preserve">y construye las rutas mediante el patrón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{identificador}-{modalidad}.nii.gz</w:t>
      </w:r>
      <w:r>
        <w:rPr>
          <w:lang w:val="es-ES"/>
        </w:rPr>
        <w:t xml:space="preserve">.</w:t>
      </w:r>
    </w:p>
    <w:bookmarkEnd w:id="29"/>
    <w:bookmarkStart w:id="32" w:name="control-de-calidad"/>
    <w:p>
      <w:pPr>
        <w:pStyle w:val="Ttulo3"/>
      </w:pPr>
      <w:r>
        <w:t xml:space="preserve">4.2.2. Control de calidad</w:t>
      </w:r>
    </w:p>
    <w:p>
      <w:pPr>
        <w:rPr>
          <w:lang w:val="es-ES"/>
        </w:rPr>
      </w:pPr>
      <w:r>
        <w:rPr>
          <w:lang w:val="es-ES"/>
        </w:rPr>
        <w:t xml:space="preserve">Antes de entrenar se ejecutó el subcomando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qc</w:t>
      </w:r>
      <w:r>
        <w:rPr>
          <w:lang w:val="es-ES"/>
        </w:rPr>
        <w:t xml:space="preserve">, que verifica la presencia de las cuatro modalidades</w:t>
      </w:r>
      <w:r>
        <w:rPr>
          <w:lang w:val="es-ES"/>
        </w:rPr>
        <w:t xml:space="preserve"> </w:t>
      </w:r>
      <w:r>
        <w:rPr>
          <w:lang w:val="es-ES"/>
        </w:rPr>
        <w:t xml:space="preserve">y de la máscara, la coherencia de dimensiones, espaciado y transformaciones afines, y la ausencia de</w:t>
      </w:r>
      <w:r>
        <w:rPr>
          <w:lang w:val="es-ES"/>
        </w:rPr>
        <w:t xml:space="preserve"> </w:t>
      </w:r>
      <w:r>
        <w:rPr>
          <w:lang w:val="es-ES"/>
        </w:rPr>
        <w:t xml:space="preserve">etiquetas no permitidas. También calcula los volúmenes de ET, TC y WT que después se emplean para la</w:t>
      </w:r>
      <w:r>
        <w:rPr>
          <w:lang w:val="es-ES"/>
        </w:rPr>
        <w:t xml:space="preserve"> </w:t>
      </w:r>
      <w:r>
        <w:rPr>
          <w:lang w:val="es-ES"/>
        </w:rPr>
        <w:t xml:space="preserve">estratificación. El artefacto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outputs/qc/brats_gli_2024_qc_summary.json</w:t>
      </w:r>
      <w:r>
        <w:rPr>
          <w:lang w:val="es-ES"/>
        </w:rPr>
        <w:t xml:space="preserve"> </w:t>
      </w:r>
      <w:r>
        <w:rPr>
          <w:lang w:val="es-ES"/>
        </w:rPr>
        <w:t xml:space="preserve">registra los 1.621 estudios</w:t>
      </w:r>
      <w:r>
        <w:rPr>
          <w:lang w:val="es-ES"/>
        </w:rPr>
        <w:t xml:space="preserve"> </w:t>
      </w:r>
      <w:r>
        <w:rPr>
          <w:lang w:val="es-ES"/>
        </w:rPr>
        <w:t xml:space="preserve">con estado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ok</w:t>
      </w:r>
      <w:r>
        <w:rPr>
          <w:lang w:val="es-ES"/>
        </w:rPr>
        <w:t xml:space="preserve">, sin categorías en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problem_counts</w:t>
      </w:r>
      <w:r>
        <w:rPr>
          <w:lang w:val="es-ES"/>
        </w:rPr>
        <w:t xml:space="preserve">; 1.223 contienen ET y 398 no la contienen.</w:t>
      </w:r>
    </w:p>
    <w:bookmarkEnd w:id="30"/>
    <w:bookmarkStart w:id="33" w:name="X96f878e379a6fae3eb9013160a28083f8240e47"/>
    <w:p>
      <w:pPr>
        <w:pStyle w:val="Ttulo3"/>
      </w:pPr>
      <w:r>
        <w:t xml:space="preserve">4.2.3. Particiones estratificadas y reproducibles</w:t>
      </w:r>
    </w:p>
    <w:p>
      <w:pPr>
        <w:rPr>
          <w:lang w:val="es-ES"/>
        </w:rPr>
      </w:pPr>
      <w:r>
        <w:rPr>
          <w:lang w:val="es-ES"/>
        </w:rPr>
        <w:t xml:space="preserve">La partición se generó con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tfm_brats/splits.py</w:t>
      </w:r>
      <w:r>
        <w:rPr>
          <w:lang w:val="es-ES"/>
        </w:rPr>
        <w:t xml:space="preserve"> </w:t>
      </w:r>
      <w:r>
        <w:rPr>
          <w:lang w:val="es-ES"/>
        </w:rPr>
        <w:t xml:space="preserve">sobre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1.621 estudios</w:t>
      </w:r>
      <w:r>
        <w:rPr>
          <w:lang w:val="es-ES"/>
        </w:rPr>
        <w:t xml:space="preserve"> </w:t>
      </w:r>
      <w:r>
        <w:rPr>
          <w:lang w:val="es-ES"/>
        </w:rPr>
        <w:t xml:space="preserve">y con la semilla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20260526</w:t>
      </w:r>
      <w:r>
        <w:rPr>
          <w:lang w:val="es-ES"/>
        </w:rPr>
        <w:t xml:space="preserve">. El algoritmo combina tres factores en una única clave de estratificación: directorio de</w:t>
      </w:r>
      <w:r>
        <w:rPr>
          <w:lang w:val="es-ES"/>
        </w:rPr>
        <w:t xml:space="preserve"> </w:t>
      </w:r>
      <w:r>
        <w:rPr>
          <w:lang w:val="es-ES"/>
        </w:rPr>
        <w:t xml:space="preserve">origen, presencia o ausencia de ET y volumen de WT discretizado en cuatro cuantiles. El primer</w:t>
      </w:r>
      <w:r>
        <w:rPr>
          <w:lang w:val="es-ES"/>
        </w:rPr>
        <w:t xml:space="preserve"> </w:t>
      </w:r>
      <w:r>
        <w:rPr>
          <w:lang w:val="es-ES"/>
        </w:rPr>
        <w:t xml:space="preserve">factor conserva la representación de las dos entregas de datos; el segundo distribuye los casos sin</w:t>
      </w:r>
      <w:r>
        <w:rPr>
          <w:lang w:val="es-ES"/>
        </w:rPr>
        <w:t xml:space="preserve"> </w:t>
      </w:r>
      <w:r>
        <w:rPr>
          <w:lang w:val="es-ES"/>
        </w:rPr>
        <w:t xml:space="preserve">ET; y el tercero reparte la carga tumoral aproximada por WT. Los resultados se materializan en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outputs/splits/brats_gli_2024_seed20260526/</w:t>
      </w:r>
      <w:r>
        <w:rPr>
          <w:lang w:val="es-ES"/>
        </w:rPr>
        <w:t xml:space="preserve"> </w:t>
      </w:r>
      <w:r>
        <w:rPr>
          <w:lang w:val="es-ES"/>
        </w:rPr>
        <w:t xml:space="preserve">como ficheros CSV y TXT, junto con un manifiesto que</w:t>
      </w:r>
      <w:r>
        <w:rPr>
          <w:lang w:val="es-ES"/>
        </w:rPr>
        <w:t xml:space="preserve"> </w:t>
      </w:r>
      <w:r>
        <w:rPr>
          <w:lang w:val="es-ES"/>
        </w:rPr>
        <w:t xml:space="preserve">registra la semilla, las proporciones y la distribución obtenida.</w:t>
      </w:r>
    </w:p>
    <w:tbl>
      <w:tblPr>
        <w:tblStyle w:val="Tablaconcuadrcula"/>
        <w:tblW w:type="dxa" w:w="8504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BFBFBF"/>
          <w:left w:val="single" w:sz="5" w:space="0" w:color="BFBFBF"/>
          <w:bottom w:val="single" w:sz="5" w:space="0" w:color="BFBFBF"/>
          <w:right w:val="single" w:sz="5" w:space="0" w:color="BFBFBF"/>
          <w:insideH w:val="single" w:sz="5" w:space="0" w:color="BFBFBF"/>
          <w:insideV w:val="single" w:sz="5" w:space="0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Partición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Estudios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Proporción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Entrenamiento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1.135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70 %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Ajuste de los parámetros de los modelos MONAI y conjunto de origen de nnU-Net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Validación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243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15 %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Monitorización y selección de puntos de control en el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Fonts w:ascii="Arial" w:hAnsi="Arial" w:cs="Arial" w:eastAsia="Arial"/>
                <w:i/>
                <w:iCs/>
                <w:color w:val="000000"/>
                <w:sz w:val="17"/>
              </w:rPr>
              <w:t xml:space="preserve">pipeline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MONAI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Test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243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15 %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Evaluación final después de congelar las configuraciones</w:t>
            </w:r>
          </w:p>
        </w:tc>
      </w:tr>
    </w:tbl>
    <w:p>
      <w:pPr>
        <w:pStyle w:val="Descripcin"/>
        <w:keepLines/>
        <w:rPr>
          <w:lang w:val="es-ES"/>
        </w:rPr>
      </w:pPr>
      <w:r>
        <w:rPr>
          <w:b/>
          <w:lang w:val="es-ES"/>
        </w:rPr>
        <w:t xml:space="preserve">Tabla </w:t>
      </w:r>
      <w:r>
        <w:rPr>
          <w:lang w:val="es-ES"/>
        </w:rPr>
        <w:fldChar w:fldCharType="begin" w:dirty="true"/>
      </w:r>
      <w:r>
        <w:rPr>
          <w:lang w:val="es-ES"/>
        </w:rPr>
        <w:instrText xml:space="preserve"> SEQ Tabla \* ARABIC </w:instrText>
      </w:r>
      <w:r>
        <w:rPr>
          <w:lang w:val="es-ES"/>
        </w:rPr>
        <w:fldChar w:fldCharType="separate"/>
      </w:r>
      <w:r>
        <w:rPr>
          <w:b/>
          <w:lang w:val="es-ES"/>
        </w:rPr>
        <w:t>6</w:t>
      </w:r>
      <w:r>
        <w:rPr>
          <w:lang w:val="es-ES"/>
        </w:rPr>
        <w:fldChar w:fldCharType="end"/>
      </w:r>
      <w:r>
        <w:rPr>
          <w:b/>
          <w:lang w:val="es-ES"/>
        </w:rPr>
        <w:t xml:space="preserve">. </w:t>
      </w:r>
      <w:r>
        <w:rPr>
          <w:lang w:val="es-ES"/>
        </w:rPr>
        <w:t>Distribución de las particiones de BraTS-GLI 2024.</w:t>
      </w:r>
    </w:p>
    <w:p>
      <w:pPr>
        <w:rPr>
          <w:lang w:val="es-ES"/>
        </w:rPr>
      </w:pPr>
      <w:r>
        <w:rPr>
          <w:lang w:val="es-ES"/>
        </w:rPr>
        <w:t xml:space="preserve">Validación y test tienen el mismo tamaño, pero desempeñan funciones distintas: el test no intervino</w:t>
      </w:r>
      <w:r>
        <w:rPr>
          <w:lang w:val="es-ES"/>
        </w:rPr>
        <w:t xml:space="preserve"> </w:t>
      </w:r>
      <w:r>
        <w:rPr>
          <w:lang w:val="es-ES"/>
        </w:rPr>
        <w:t xml:space="preserve">en la selección de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best.pt</w:t>
      </w:r>
      <w:r>
        <w:rPr>
          <w:lang w:val="es-ES"/>
        </w:rPr>
        <w:t xml:space="preserve">. La separación se realizó por identificador completo de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estudio de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imagen</w:t>
      </w:r>
      <w:r>
        <w:rPr>
          <w:lang w:val="es-ES"/>
        </w:rPr>
        <w:t xml:space="preserve">, no mediante agrupación por sujeto. El manifiesto confirma 1.621 identificadores</w:t>
      </w:r>
      <w:r>
        <w:rPr>
          <w:lang w:val="es-ES"/>
        </w:rPr>
        <w:t xml:space="preserve"> </w:t>
      </w:r>
      <w:r>
        <w:rPr>
          <w:lang w:val="es-ES"/>
        </w:rPr>
        <w:t xml:space="preserve">distribuidos sin solapamientos y cuantiles de WT casi equilibrados en cada partición.</w:t>
      </w:r>
    </w:p>
    <w:p>
      <w:pPr>
        <w:rPr>
          <w:lang w:val="es-ES"/>
        </w:rPr>
      </w:pPr>
      <w:r>
        <w:rPr>
          <w:lang w:val="es-ES"/>
        </w:rPr>
        <w:t xml:space="preserve">La revisión por sujeto se efectuó después de cerrar las ejecuciones finales y confirmó la presencia</w:t>
      </w:r>
      <w:r>
        <w:rPr>
          <w:lang w:val="es-ES"/>
        </w:rPr>
        <w:t xml:space="preserve"> </w:t>
      </w:r>
      <w:r>
        <w:rPr>
          <w:lang w:val="es-ES"/>
        </w:rPr>
        <w:t xml:space="preserve">de sujetos en más de una partición. No se modificó retrospectivamente el reparto ni se reentrenaron</w:t>
      </w:r>
      <w:r>
        <w:rPr>
          <w:lang w:val="es-ES"/>
        </w:rPr>
        <w:t xml:space="preserve"> </w:t>
      </w:r>
      <w:r>
        <w:rPr>
          <w:lang w:val="es-ES"/>
        </w:rPr>
        <w:t xml:space="preserve">los modelos. En su lugar, se mantuvo la comparación interna sobre el reparto común y se añadió el</w:t>
      </w:r>
      <w:r>
        <w:rPr>
          <w:lang w:val="es-ES"/>
        </w:rPr>
        <w:t xml:space="preserve"> </w:t>
      </w:r>
      <w:r>
        <w:rPr>
          <w:lang w:val="es-ES"/>
        </w:rPr>
        <w:t xml:space="preserve">análisis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post hoc</w:t>
      </w:r>
      <w:r>
        <w:rPr>
          <w:lang w:val="es-ES"/>
        </w:rPr>
        <w:t xml:space="preserve"> </w:t>
      </w:r>
      <w:r>
        <w:rPr>
          <w:lang w:val="es-ES"/>
        </w:rPr>
        <w:t xml:space="preserve">de la sección 4.5.3. Por ello, el test no constituye una estimación independiente</w:t>
      </w:r>
      <w:r>
        <w:rPr>
          <w:lang w:val="es-ES"/>
        </w:rPr>
        <w:t xml:space="preserve"> </w:t>
      </w:r>
      <w:r>
        <w:rPr>
          <w:lang w:val="es-ES"/>
        </w:rPr>
        <w:t xml:space="preserve">de generalización a pacientes completamente nuevos.</w:t>
      </w:r>
    </w:p>
    <w:bookmarkEnd w:id="31"/>
    <w:bookmarkEnd w:id="32"/>
    <w:bookmarkStart w:id="34" w:name="X441ae69cec1338e92f23076c017d1a186fe1461"/>
    <w:p>
      <w:pPr>
        <w:pStyle w:val="Ttulo2"/>
      </w:pPr>
      <w:r>
        <w:t xml:space="preserve">4.3. Diseño e implementación del</w:t>
      </w:r>
      <w:r>
        <w:t xml:space="preserve"> </w:t>
      </w:r>
      <w:r>
        <w:rPr>
          <w:i/>
          <w:iCs/>
        </w:rPr>
        <w:t xml:space="preserve">pipeline</w:t>
      </w:r>
      <w:r>
        <w:t xml:space="preserve"> </w:t>
      </w:r>
      <w:r>
        <w:t xml:space="preserve">(Fase 3)</w:t>
      </w:r>
    </w:p>
    <w:bookmarkStart w:id="35" w:name="entornos-de-cómputo"/>
    <w:p>
      <w:pPr>
        <w:pStyle w:val="Ttulo3"/>
      </w:pPr>
      <w:r>
        <w:t xml:space="preserve">4.3.1. Entornos de cómputo</w:t>
      </w:r>
    </w:p>
    <w:p>
      <w:pPr>
        <w:rPr>
          <w:lang w:val="es-ES"/>
        </w:rPr>
      </w:pPr>
      <w:r>
        <w:rPr>
          <w:lang w:val="es-ES"/>
        </w:rPr>
        <w:t xml:space="preserve">La asignación de hardware se decidió a partir de pruebas a resolución 128³. En MPS, las variantes</w:t>
      </w:r>
      <w:r>
        <w:rPr>
          <w:lang w:val="es-ES"/>
        </w:rPr>
        <w:t xml:space="preserve"> </w:t>
      </w:r>
      <w:r>
        <w:rPr>
          <w:lang w:val="es-ES"/>
        </w:rPr>
        <w:t xml:space="preserve">residuales necesitaron alrededor de 1,2 s por paso en pruebas de extremo a extremo; Attention U-Net,</w:t>
      </w:r>
      <w:r>
        <w:rPr>
          <w:lang w:val="es-ES"/>
        </w:rPr>
        <w:t xml:space="preserve"> </w:t>
      </w:r>
      <w:r>
        <w:rPr>
          <w:lang w:val="es-ES"/>
        </w:rPr>
        <w:t xml:space="preserve">unos 4,75 s; y Swin-UNETR alcanzó 124 s por paso en el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benchmark</w:t>
      </w:r>
      <w:r>
        <w:rPr>
          <w:lang w:val="es-ES"/>
        </w:rPr>
        <w:t xml:space="preserve"> </w:t>
      </w:r>
      <w:r>
        <w:rPr>
          <w:lang w:val="es-ES"/>
        </w:rPr>
        <w:t xml:space="preserve">sintético. Este salto no lineal es</w:t>
      </w:r>
      <w:r>
        <w:rPr>
          <w:lang w:val="es-ES"/>
        </w:rPr>
        <w:t xml:space="preserve"> </w:t>
      </w:r>
      <w:r>
        <w:rPr>
          <w:lang w:val="es-ES"/>
        </w:rPr>
        <w:t xml:space="preserve">compatible con una ruta poco eficiente o una operación no optimizada en MPS, aunque no se conservó</w:t>
      </w:r>
      <w:r>
        <w:rPr>
          <w:lang w:val="es-ES"/>
        </w:rPr>
        <w:t xml:space="preserve"> </w:t>
      </w:r>
      <w:r>
        <w:rPr>
          <w:lang w:val="es-ES"/>
        </w:rPr>
        <w:t xml:space="preserve">un perfil que permita demostrar su causa. Con 15.000 pasos por semilla, las variantes residuales</w:t>
      </w:r>
      <w:r>
        <w:rPr>
          <w:lang w:val="es-ES"/>
        </w:rPr>
        <w:t xml:space="preserve"> </w:t>
      </w:r>
      <w:r>
        <w:rPr>
          <w:lang w:val="es-ES"/>
        </w:rPr>
        <w:t xml:space="preserve">eran viables en local, mientras que Attention U-Net y Swin-UNETR se trasladaron a la A100. La Tabla</w:t>
      </w:r>
      <w:r>
        <w:rPr>
          <w:lang w:val="es-ES"/>
        </w:rPr>
        <w:t xml:space="preserve"> </w:t>
      </w:r>
      <w:r>
        <w:rPr>
          <w:lang w:val="es-ES"/>
        </w:rPr>
        <w:t xml:space="preserve">7 recoge el reparto final y el tratamiento de la precisión mixta.</w:t>
      </w:r>
    </w:p>
    <w:tbl>
      <w:tblPr>
        <w:tblStyle w:val="Tablaconcuadrcula"/>
        <w:tblW w:type="dxa" w:w="8504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BFBFBF"/>
          <w:left w:val="single" w:sz="5" w:space="0" w:color="BFBFBF"/>
          <w:bottom w:val="single" w:sz="5" w:space="0" w:color="BFBFBF"/>
          <w:right w:val="single" w:sz="5" w:space="0" w:color="BFBFBF"/>
          <w:insideH w:val="single" w:sz="5" w:space="0" w:color="BFBFBF"/>
          <w:insideV w:val="single" w:sz="5" w:space="0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Entorno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Dispositivo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Precisión mixta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Uso final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Local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Apple M4 Pro,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Fonts w:ascii="Arial" w:hAnsi="Arial" w:cs="Arial" w:eastAsia="Arial"/>
                <w:i/>
                <w:iCs/>
                <w:color w:val="000000"/>
                <w:sz w:val="17"/>
              </w:rPr>
              <w:t xml:space="preserve">backend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MPS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Desactivada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Cuatro configuraciones de fusión sobre la Residual U-Net 3D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Google Colab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NVIDIA A100, CUDA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AMP activada en el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Fonts w:ascii="Arial" w:hAnsi="Arial" w:cs="Arial" w:eastAsia="Arial"/>
                <w:i/>
                <w:iCs/>
                <w:color w:val="000000"/>
                <w:sz w:val="17"/>
              </w:rPr>
              <w:t xml:space="preserve">pipeline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MONAI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Attention U-Net 3D y Swin-UNETR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Google Colab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NVIDIA A100, CUDA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Gestionada por nnU-Net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nnU-Net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3d_fullres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,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Fonts w:ascii="Arial" w:hAnsi="Arial" w:cs="Arial" w:eastAsia="Arial"/>
                <w:i/>
                <w:iCs/>
                <w:color w:val="000000"/>
                <w:sz w:val="17"/>
              </w:rPr>
              <w:t xml:space="preserve">fold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0</w:t>
            </w:r>
          </w:p>
        </w:tc>
      </w:tr>
    </w:tbl>
    <w:p>
      <w:pPr>
        <w:pStyle w:val="Descripcin"/>
        <w:keepLines/>
        <w:rPr>
          <w:lang w:val="es-ES"/>
        </w:rPr>
      </w:pPr>
      <w:r>
        <w:rPr>
          <w:b/>
          <w:lang w:val="es-ES"/>
        </w:rPr>
        <w:t xml:space="preserve">Tabla </w:t>
      </w:r>
      <w:r>
        <w:rPr>
          <w:lang w:val="es-ES"/>
        </w:rPr>
        <w:fldChar w:fldCharType="begin" w:dirty="true"/>
      </w:r>
      <w:r>
        <w:rPr>
          <w:lang w:val="es-ES"/>
        </w:rPr>
        <w:instrText xml:space="preserve"> SEQ Tabla \* ARABIC </w:instrText>
      </w:r>
      <w:r>
        <w:rPr>
          <w:lang w:val="es-ES"/>
        </w:rPr>
        <w:fldChar w:fldCharType="separate"/>
      </w:r>
      <w:r>
        <w:rPr>
          <w:b/>
          <w:lang w:val="es-ES"/>
        </w:rPr>
        <w:t>7</w:t>
      </w:r>
      <w:r>
        <w:rPr>
          <w:lang w:val="es-ES"/>
        </w:rPr>
        <w:fldChar w:fldCharType="end"/>
      </w:r>
      <w:r>
        <w:rPr>
          <w:b/>
          <w:lang w:val="es-ES"/>
        </w:rPr>
        <w:t xml:space="preserve">. </w:t>
      </w:r>
      <w:r>
        <w:rPr>
          <w:lang w:val="es-ES"/>
        </w:rPr>
        <w:t>Entornos utilizados en las ejecuciones finales.</w:t>
      </w:r>
    </w:p>
    <w:p>
      <w:pPr>
        <w:rPr>
          <w:lang w:val="es-ES"/>
        </w:rPr>
      </w:pPr>
      <w:r>
        <w:rPr>
          <w:lang w:val="es-ES"/>
        </w:rPr>
        <w:t xml:space="preserve">Este reparto introdujo diferencias de dispositivo y precisión entre grupos. En consecuencia, los</w:t>
      </w:r>
      <w:r>
        <w:rPr>
          <w:lang w:val="es-ES"/>
        </w:rPr>
        <w:t xml:space="preserve"> </w:t>
      </w:r>
      <w:r>
        <w:rPr>
          <w:lang w:val="es-ES"/>
        </w:rPr>
        <w:t xml:space="preserve">tiempos de pared y la comparación global de arquitecturas se interpretan de forma descriptiva. Para</w:t>
      </w:r>
      <w:r>
        <w:rPr>
          <w:lang w:val="es-ES"/>
        </w:rPr>
        <w:t xml:space="preserve"> </w:t>
      </w:r>
      <w:r>
        <w:rPr>
          <w:lang w:val="es-ES"/>
        </w:rPr>
        <w:t xml:space="preserve">las ejecuciones MONAI en A100, los NIfTI se copiaron al disco local del entorno antes de entrenar.</w:t>
      </w:r>
      <w:r>
        <w:rPr>
          <w:lang w:val="es-ES"/>
        </w:rPr>
        <w:t xml:space="preserve"> </w:t>
      </w:r>
      <w:r>
        <w:rPr>
          <w:lang w:val="es-ES"/>
        </w:rPr>
        <w:t xml:space="preserve">En la ruta nnU-Net, los NIfTI crudos permanecieron en Drive y se enlazaron durante el preprocesado,</w:t>
      </w:r>
      <w:r>
        <w:rPr>
          <w:lang w:val="es-ES"/>
        </w:rPr>
        <w:t xml:space="preserve"> </w:t>
      </w:r>
      <w:r>
        <w:rPr>
          <w:lang w:val="es-ES"/>
        </w:rPr>
        <w:t xml:space="preserve">mientras que los datos preprocesados sí se guardaron localmente. La decisión de MONAI se derivó del</w:t>
      </w:r>
      <w:r>
        <w:rPr>
          <w:lang w:val="es-ES"/>
        </w:rPr>
        <w:t xml:space="preserve"> </w:t>
      </w:r>
      <w:r>
        <w:rPr>
          <w:lang w:val="es-ES"/>
        </w:rPr>
        <w:t xml:space="preserve">diagnóstico de entrada/salida descrito en la sección 4.3.4.</w:t>
      </w:r>
    </w:p>
    <w:bookmarkEnd w:id="33"/>
    <w:bookmarkStart w:id="36" w:name="Xc8a19e92d9ffe777e6c7eac7ba16263b8cccc5c"/>
    <w:p>
      <w:pPr>
        <w:pStyle w:val="Ttulo3"/>
      </w:pPr>
      <w:r>
        <w:t xml:space="preserve">4.3.2. Organización del código y flujo de trabajo</w:t>
      </w:r>
    </w:p>
    <w:p>
      <w:pPr>
        <w:rPr>
          <w:lang w:val="es-ES"/>
        </w:rPr>
      </w:pPr>
      <w:r>
        <w:rPr>
          <w:lang w:val="es-ES"/>
        </w:rPr>
        <w:t xml:space="preserve">El código se organiza como un paquete de Python (</w:t>
      </w:r>
      <w:r>
        <w:rPr>
          <w:rStyle w:val="VerbatimChar"/>
          <w:lang w:val="es-ES"/>
        </w:rPr>
        <w:t xml:space="preserve">tfm_brats/</w:t>
      </w:r>
      <w:r>
        <w:rPr>
          <w:lang w:val="es-ES"/>
        </w:rPr>
        <w:t xml:space="preserve">) y un árbol de configuraciones YAML</w:t>
      </w:r>
      <w:r>
        <w:rPr>
          <w:lang w:val="es-ES"/>
        </w:rPr>
        <w:t xml:space="preserve"> </w:t>
      </w:r>
      <w:r>
        <w:rPr>
          <w:lang w:val="es-ES"/>
        </w:rPr>
        <w:t xml:space="preserve">(</w:t>
      </w:r>
      <w:r>
        <w:rPr>
          <w:rStyle w:val="VerbatimChar"/>
          <w:lang w:val="es-ES"/>
        </w:rPr>
        <w:t xml:space="preserve">configs/</w:t>
      </w:r>
      <w:r>
        <w:rPr>
          <w:lang w:val="es-ES"/>
        </w:rPr>
        <w:t xml:space="preserve">).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brats.py</w:t>
      </w:r>
      <w:r>
        <w:rPr>
          <w:lang w:val="es-ES"/>
        </w:rPr>
        <w:t xml:space="preserve"> </w:t>
      </w:r>
      <w:r>
        <w:rPr>
          <w:lang w:val="es-ES"/>
        </w:rPr>
        <w:t xml:space="preserve">centraliza nombres de modalidades, regiones y rutas para que el control de</w:t>
      </w:r>
      <w:r>
        <w:rPr>
          <w:lang w:val="es-ES"/>
        </w:rPr>
        <w:t xml:space="preserve"> </w:t>
      </w:r>
      <w:r>
        <w:rPr>
          <w:lang w:val="es-ES"/>
        </w:rPr>
        <w:t xml:space="preserve">calidad, el entrenamiento y la evaluación no mantengan convenciones independientes.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qc.py</w:t>
      </w:r>
      <w:r>
        <w:rPr>
          <w:lang w:val="es-ES"/>
        </w:rPr>
        <w:t xml:space="preserve"> </w:t>
      </w:r>
      <w:r>
        <w:rPr>
          <w:lang w:val="es-ES"/>
        </w:rPr>
        <w:t xml:space="preserve">y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splits.py</w:t>
      </w:r>
      <w:r>
        <w:rPr>
          <w:lang w:val="es-ES"/>
        </w:rPr>
        <w:t xml:space="preserve"> </w:t>
      </w:r>
      <w:r>
        <w:rPr>
          <w:lang w:val="es-ES"/>
        </w:rPr>
        <w:t xml:space="preserve">preparan los datos;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monai_pipeline.py</w:t>
      </w:r>
      <w:r>
        <w:rPr>
          <w:lang w:val="es-ES"/>
        </w:rPr>
        <w:t xml:space="preserve"> </w:t>
      </w:r>
      <w:r>
        <w:rPr>
          <w:lang w:val="es-ES"/>
        </w:rPr>
        <w:t xml:space="preserve">reúne carga, transformaciones, modelos,</w:t>
      </w:r>
      <w:r>
        <w:rPr>
          <w:lang w:val="es-ES"/>
        </w:rPr>
        <w:t xml:space="preserve"> </w:t>
      </w:r>
      <w:r>
        <w:rPr>
          <w:lang w:val="es-ES"/>
        </w:rPr>
        <w:t xml:space="preserve">entrenamiento, inferencia y puntos de control;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metrics.py</w:t>
      </w:r>
      <w:r>
        <w:rPr>
          <w:lang w:val="es-ES"/>
        </w:rPr>
        <w:t xml:space="preserve"> </w:t>
      </w:r>
      <w:r>
        <w:rPr>
          <w:lang w:val="es-ES"/>
        </w:rPr>
        <w:t xml:space="preserve">calcula Dice y HD95; y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cli.py</w:t>
      </w:r>
      <w:r>
        <w:rPr>
          <w:lang w:val="es-ES"/>
        </w:rPr>
        <w:t xml:space="preserve"> </w:t>
      </w:r>
      <w:r>
        <w:rPr>
          <w:lang w:val="es-ES"/>
        </w:rPr>
        <w:t xml:space="preserve">expone</w:t>
      </w:r>
      <w:r>
        <w:rPr>
          <w:lang w:val="es-ES"/>
        </w:rPr>
        <w:t xml:space="preserve"> </w:t>
      </w:r>
      <w:r>
        <w:rPr>
          <w:lang w:val="es-ES"/>
        </w:rPr>
        <w:t xml:space="preserve">estas operaciones por línea de comandos. Los YAML quedan fuera del código para reconstruir modelos</w:t>
      </w:r>
      <w:r>
        <w:rPr>
          <w:lang w:val="es-ES"/>
        </w:rPr>
        <w:t xml:space="preserve"> </w:t>
      </w:r>
      <w:r>
        <w:rPr>
          <w:lang w:val="es-ES"/>
        </w:rPr>
        <w:t xml:space="preserve">y ejecuciones sin modificar la implementación.</w:t>
      </w:r>
    </w:p>
    <w:p>
      <w:pPr>
        <w:rPr>
          <w:lang w:val="es-ES"/>
        </w:rPr>
      </w:pPr>
      <w:r>
        <w:rPr>
          <w:lang w:val="es-ES"/>
        </w:rPr>
        <w:t xml:space="preserve">Los experimentos MONAI se describen mediante una configuración de datos, otra de modelo y otra de</w:t>
      </w:r>
      <w:r>
        <w:rPr>
          <w:lang w:val="es-ES"/>
        </w:rPr>
        <w:t xml:space="preserve"> </w:t>
      </w:r>
      <w:r>
        <w:rPr>
          <w:lang w:val="es-ES"/>
        </w:rPr>
        <w:t xml:space="preserve">entrenamiento. Las ejecuciones finales añadieron argumentos explícitos de la CLI para la semilla, el</w:t>
      </w:r>
      <w:r>
        <w:rPr>
          <w:lang w:val="es-ES"/>
        </w:rPr>
        <w:t xml:space="preserve"> </w:t>
      </w:r>
      <w:r>
        <w:rPr>
          <w:lang w:val="es-ES"/>
        </w:rPr>
        <w:t xml:space="preserve">dispositivo y, en el perfil local, el límite efectivo de 15.000 pasos. La combinación de YAML y</w:t>
      </w:r>
      <w:r>
        <w:rPr>
          <w:lang w:val="es-ES"/>
        </w:rPr>
        <w:t xml:space="preserve"> </w:t>
      </w:r>
      <w:r>
        <w:rPr>
          <w:lang w:val="es-ES"/>
        </w:rPr>
        <w:t xml:space="preserve">comando identifica los parámetros de cada ejecución; su reproducción requiere además la misma</w:t>
      </w:r>
      <w:r>
        <w:rPr>
          <w:lang w:val="es-ES"/>
        </w:rPr>
        <w:t xml:space="preserve"> </w:t>
      </w:r>
      <w:r>
        <w:rPr>
          <w:lang w:val="es-ES"/>
        </w:rPr>
        <w:t xml:space="preserve">revisión de código, las particiones, los datos y un entorno compatible. Los comandos se conservan en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scratchpad/run_final_fusion_ablation.sh</w:t>
      </w:r>
      <w:r>
        <w:rPr>
          <w:lang w:val="es-ES"/>
        </w:rPr>
        <w:t xml:space="preserve"> </w:t>
      </w:r>
      <w:r>
        <w:rPr>
          <w:lang w:val="es-ES"/>
        </w:rPr>
        <w:t xml:space="preserve">para la ablación local y en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notebooks/colab_final_a100.ipynb</w:t>
      </w:r>
      <w:r>
        <w:rPr>
          <w:lang w:val="es-ES"/>
        </w:rPr>
        <w:t xml:space="preserve"> </w:t>
      </w:r>
      <w:r>
        <w:rPr>
          <w:lang w:val="es-ES"/>
        </w:rPr>
        <w:t xml:space="preserve">para Attention U-Net y Swin-UNETR. nnU-Net utiliza scripts y</w:t>
      </w:r>
      <w:r>
        <w:rPr>
          <w:lang w:val="es-ES"/>
        </w:rPr>
        <w:t xml:space="preserve"> </w:t>
      </w:r>
      <w:r>
        <w:rPr>
          <w:lang w:val="es-ES"/>
        </w:rPr>
        <w:t xml:space="preserve">comandos nativos independientes, descritos en la sección 4.4.5.</w:t>
      </w:r>
    </w:p>
    <w:p>
      <w:pPr>
        <w:rPr>
          <w:lang w:val="es-ES"/>
        </w:rPr>
      </w:pPr>
      <w:r>
        <w:rPr>
          <w:lang w:val="es-ES"/>
        </w:rPr>
        <w:t xml:space="preserve">La CLI propia expone cinco subcomandos. La Tabla 8 resume su responsabilidad y deja explícita la</w:t>
      </w:r>
      <w:r>
        <w:rPr>
          <w:lang w:val="es-ES"/>
        </w:rPr>
        <w:t xml:space="preserve"> </w:t>
      </w:r>
      <w:r>
        <w:rPr>
          <w:lang w:val="es-ES"/>
        </w:rPr>
        <w:t xml:space="preserve">separación entre generar predicciones y evaluarlas.</w:t>
      </w:r>
    </w:p>
    <w:tbl>
      <w:tblPr>
        <w:tblStyle w:val="Tablaconcuadrcula"/>
        <w:tblW w:type="dxa" w:w="8504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BFBFBF"/>
          <w:left w:val="single" w:sz="5" w:space="0" w:color="BFBFBF"/>
          <w:bottom w:val="single" w:sz="5" w:space="0" w:color="BFBFBF"/>
          <w:right w:val="single" w:sz="5" w:space="0" w:color="BFBFBF"/>
          <w:insideH w:val="single" w:sz="5" w:space="0" w:color="BFBFBF"/>
          <w:insideV w:val="single" w:sz="5" w:space="0" w:color="BFBFBF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Subcomando</w:t>
            </w:r>
          </w:p>
        </w:tc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Función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qc</w:t>
            </w:r>
          </w:p>
        </w:tc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Comprueba integridad, geometría y etiquetas, y genera estadísticas por estudio.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splits</w:t>
            </w:r>
          </w:p>
        </w:tc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Genera las particiones estratificadas y su manifiesto.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train</w:t>
            </w:r>
          </w:p>
        </w:tc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Entrena una configuración MONAI y guarda registros y puntos de control.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predict</w:t>
            </w:r>
          </w:p>
        </w:tc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Carga un modelo y exporta predicciones NIfTI para una partición.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evaluate</w:t>
            </w:r>
          </w:p>
        </w:tc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Lee predicciones ya generadas y calcula Dice y HD95 para ET, TC y WT.</w:t>
            </w:r>
          </w:p>
        </w:tc>
      </w:tr>
    </w:tbl>
    <w:p>
      <w:pPr>
        <w:pStyle w:val="Descripcin"/>
        <w:keepLines/>
        <w:rPr>
          <w:lang w:val="es-ES"/>
        </w:rPr>
      </w:pPr>
      <w:r>
        <w:rPr>
          <w:b/>
          <w:lang w:val="es-ES"/>
        </w:rPr>
        <w:t xml:space="preserve">Tabla </w:t>
      </w:r>
      <w:r>
        <w:rPr>
          <w:lang w:val="es-ES"/>
        </w:rPr>
        <w:fldChar w:fldCharType="begin" w:dirty="true"/>
      </w:r>
      <w:r>
        <w:rPr>
          <w:lang w:val="es-ES"/>
        </w:rPr>
        <w:instrText xml:space="preserve"> SEQ Tabla \* ARABIC </w:instrText>
      </w:r>
      <w:r>
        <w:rPr>
          <w:lang w:val="es-ES"/>
        </w:rPr>
        <w:fldChar w:fldCharType="separate"/>
      </w:r>
      <w:r>
        <w:rPr>
          <w:b/>
          <w:lang w:val="es-ES"/>
        </w:rPr>
        <w:t>8</w:t>
      </w:r>
      <w:r>
        <w:rPr>
          <w:lang w:val="es-ES"/>
        </w:rPr>
        <w:fldChar w:fldCharType="end"/>
      </w:r>
      <w:r>
        <w:rPr>
          <w:b/>
          <w:lang w:val="es-ES"/>
        </w:rPr>
        <w:t xml:space="preserve">. </w:t>
      </w:r>
      <w:r>
        <w:rPr>
          <w:lang w:val="es-ES"/>
        </w:rPr>
        <w:t>Subcomandos de la interfaz tfm_brats/cli.py.</w:t>
      </w:r>
    </w:p>
    <w:p>
      <w:pPr>
        <w:rPr>
          <w:lang w:val="es-ES"/>
        </w:rPr>
      </w:pPr>
      <w:r>
        <w:rPr>
          <w:lang w:val="es-ES"/>
        </w:rPr>
        <w:t xml:space="preserve">La separación de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predict</w:t>
      </w:r>
      <w:r>
        <w:rPr>
          <w:lang w:val="es-ES"/>
        </w:rPr>
        <w:t xml:space="preserve"> </w:t>
      </w:r>
      <w:r>
        <w:rPr>
          <w:lang w:val="es-ES"/>
        </w:rPr>
        <w:t xml:space="preserve">y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evaluate</w:t>
      </w:r>
      <w:r>
        <w:rPr>
          <w:lang w:val="es-ES"/>
        </w:rPr>
        <w:t xml:space="preserve"> </w:t>
      </w:r>
      <w:r>
        <w:rPr>
          <w:lang w:val="es-ES"/>
        </w:rPr>
        <w:t xml:space="preserve">permite recalcular métricas y agregados a partir de los NIfTI</w:t>
      </w:r>
      <w:r>
        <w:rPr>
          <w:lang w:val="es-ES"/>
        </w:rPr>
        <w:t xml:space="preserve"> </w:t>
      </w:r>
      <w:r>
        <w:rPr>
          <w:lang w:val="es-ES"/>
        </w:rPr>
        <w:t xml:space="preserve">sin repetir la inferencia. La Figura 1 sitúa esta interfaz común junto a las ramas que no comparten el</w:t>
      </w:r>
      <w:r>
        <w:rPr>
          <w:lang w:val="es-ES"/>
        </w:rPr>
        <w:t xml:space="preserve"> </w:t>
      </w:r>
      <w:r>
        <w:rPr>
          <w:lang w:val="es-ES"/>
        </w:rPr>
        <w:t xml:space="preserve">mismo bucle de entrenamiento.</w:t>
      </w:r>
    </w:p>
    <w:p>
      <w:pPr>
        <w:keepNext/>
        <w:spacing w:before="120" w:after="0"/>
        <w:jc w:val="center"/>
        <w:rPr>
          <w:lang w:val="es-ES"/>
        </w:rPr>
      </w:pPr>
      <w:r>
        <w:rPr>
          <w:lang w:val="es-ES"/>
        </w:rPr>
        <w:drawing>
          <wp:inline>
            <wp:extent cx="5400000" cy="3473401"/>
            <wp:effectExtent b="0" l="0" r="0" t="0"/>
            <wp:docPr descr="Flujo global del sistema experimental." title="Flujo global del sistema experimental." id="2" name="Picture"/>
            <a:graphic>
              <a:graphicData uri="http://schemas.openxmlformats.org/drawingml/2006/picture">
                <pic:pic>
                  <pic:nvPicPr>
                    <pic:cNvPr descr="figuras/fig_pipeline_flujo.png" id="2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473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Descripcin"/>
        <w:keepLines/>
        <w:rPr>
          <w:lang w:val="es-ES"/>
        </w:rPr>
      </w:pPr>
      <w:r>
        <w:rPr>
          <w:b/>
          <w:lang w:val="es-ES"/>
        </w:rPr>
        <w:t xml:space="preserve">Figura </w:t>
      </w:r>
      <w:r>
        <w:rPr>
          <w:lang w:val="es-ES"/>
        </w:rPr>
        <w:fldChar w:fldCharType="begin" w:dirty="true"/>
      </w:r>
      <w:r>
        <w:rPr>
          <w:lang w:val="es-ES"/>
        </w:rPr>
        <w:instrText xml:space="preserve"> SEQ Figura \* ARABIC </w:instrText>
      </w:r>
      <w:r>
        <w:rPr>
          <w:lang w:val="es-ES"/>
        </w:rPr>
        <w:fldChar w:fldCharType="separate"/>
      </w:r>
      <w:r>
        <w:rPr>
          <w:b/>
          <w:lang w:val="es-ES"/>
        </w:rPr>
        <w:t>1</w:t>
      </w:r>
      <w:r>
        <w:rPr>
          <w:lang w:val="es-ES"/>
        </w:rPr>
        <w:fldChar w:fldCharType="end"/>
      </w:r>
      <w:r>
        <w:rPr>
          <w:b/>
          <w:lang w:val="es-ES"/>
        </w:rPr>
        <w:t xml:space="preserve">. </w:t>
      </w:r>
      <w:r>
        <w:rPr>
          <w:lang w:val="es-ES"/>
        </w:rPr>
        <w:t>Visión global del sistema: BraTS-GLI 2024, control de calidad y particiones; carga y preprocesamiento; ramas MONAI para Residual U-Net con fusión, Attention U-Net y Swin-UNETR, junto con la rama externa nnU-Net; y generación de predicciones y evaluación común.</w:t>
      </w:r>
    </w:p>
    <w:p>
      <w:pPr>
        <w:rPr>
          <w:lang w:val="es-ES"/>
        </w:rPr>
      </w:pPr>
      <w:r>
        <w:rPr>
          <w:lang w:val="es-ES"/>
        </w:rPr>
        <w:t xml:space="preserve">Los datos, las particiones y el evaluador final son comunes a las dos rutas; el entrenamiento MONAI</w:t>
      </w:r>
      <w:r>
        <w:rPr>
          <w:lang w:val="es-ES"/>
        </w:rPr>
        <w:t xml:space="preserve"> </w:t>
      </w:r>
      <w:r>
        <w:rPr>
          <w:lang w:val="es-ES"/>
        </w:rPr>
        <w:t xml:space="preserve">propio y el flujo auto-configurable de nnU-Net permanecen separados. Dentro de MONAI, solo la rama</w:t>
      </w:r>
      <w:r>
        <w:rPr>
          <w:lang w:val="es-ES"/>
        </w:rPr>
        <w:t xml:space="preserve"> </w:t>
      </w:r>
      <w:r>
        <w:rPr>
          <w:lang w:val="es-ES"/>
        </w:rPr>
        <w:t xml:space="preserve">residual mantiene fija la arquitectura durante la ablación de fusión.</w:t>
      </w:r>
    </w:p>
    <w:bookmarkEnd w:id="34"/>
    <w:bookmarkStart w:id="37" w:name="X516f2091bfee5b165a23ddf622edc1b6c71e40d"/>
    <w:p>
      <w:pPr>
        <w:pStyle w:val="Ttulo3"/>
      </w:pPr>
      <w:r>
        <w:t xml:space="preserve">4.3.3. Formulación del problema, modalidades y regiones</w:t>
      </w:r>
    </w:p>
    <w:p>
      <w:pPr>
        <w:rPr>
          <w:lang w:val="es-ES"/>
        </w:rPr>
      </w:pPr>
      <w:r>
        <w:rPr>
          <w:lang w:val="es-ES"/>
        </w:rPr>
        <w:t xml:space="preserve">Los modelos MONAI reciben un tensor con cuatro canales en el orden T1n, T1c, T2w y T2f, donde T2f</w:t>
      </w:r>
      <w:r>
        <w:rPr>
          <w:lang w:val="es-ES"/>
        </w:rPr>
        <w:t xml:space="preserve"> </w:t>
      </w:r>
      <w:r>
        <w:rPr>
          <w:lang w:val="es-ES"/>
        </w:rPr>
        <w:t xml:space="preserve">corresponde a FLAIR, y producen tres canales para ET, TC y WT. La Tabla 9 relaciona las entradas con</w:t>
      </w:r>
      <w:r>
        <w:rPr>
          <w:lang w:val="es-ES"/>
        </w:rPr>
        <w:t xml:space="preserve"> </w:t>
      </w:r>
      <w:r>
        <w:rPr>
          <w:lang w:val="es-ES"/>
        </w:rPr>
        <w:t xml:space="preserve">la información que aportan y las salidas con las etiquetas BraTS utilizadas por el código.</w:t>
      </w:r>
    </w:p>
    <w:tbl>
      <w:tblPr>
        <w:tblStyle w:val="Tablaconcuadrcula"/>
        <w:tblW w:type="dxa" w:w="8504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BFBFBF"/>
          <w:left w:val="single" w:sz="5" w:space="0" w:color="BFBFBF"/>
          <w:bottom w:val="single" w:sz="5" w:space="0" w:color="BFBFBF"/>
          <w:right w:val="single" w:sz="5" w:space="0" w:color="BFBFBF"/>
          <w:insideH w:val="single" w:sz="5" w:space="0" w:color="BFBFBF"/>
          <w:insideV w:val="single" w:sz="5" w:space="0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Tipo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Canal o elemento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Información o composición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Relevancia para la segmentación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Entrada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T1n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Anatomía y señal T1 sin contraste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Aporta contexto anatómico y alteraciones no definidas por realce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Entrada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T1c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Información T1 después de contraste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Ayuda a delimitar el componente con realce, sin sustituir la interpretación conjunta de las modalidades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Entrada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T2w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Señal sensible al contenido de agua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Resalta alteraciones ricas en líquido y contribuye a estimar la extensión tumoral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Entrada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FLAIR (</w:t>
            </w: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t2f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)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Señal T2 con supresión del líquido cefalorraquídeo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Facilita la visualización de hiperintensidades parenquimatosas y del componente periférico de WT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Salida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ET, canal 0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Etiqueta {3}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Región tumoral con realce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Salida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TC, canal 1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Etiquetas {1, 3, 4}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Núcleo tumoral completo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Salida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WT, canal 2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Etiquetas {1, 2, 3, 4}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Extensión tumoral completa</w:t>
            </w:r>
          </w:p>
        </w:tc>
      </w:tr>
    </w:tbl>
    <w:p>
      <w:pPr>
        <w:pStyle w:val="Descripcin"/>
        <w:keepLines/>
        <w:rPr>
          <w:lang w:val="es-ES"/>
        </w:rPr>
      </w:pPr>
      <w:r>
        <w:rPr>
          <w:b/>
          <w:lang w:val="es-ES"/>
        </w:rPr>
        <w:t xml:space="preserve">Tabla </w:t>
      </w:r>
      <w:r>
        <w:rPr>
          <w:lang w:val="es-ES"/>
        </w:rPr>
        <w:fldChar w:fldCharType="begin" w:dirty="true"/>
      </w:r>
      <w:r>
        <w:rPr>
          <w:lang w:val="es-ES"/>
        </w:rPr>
        <w:instrText xml:space="preserve"> SEQ Tabla \* ARABIC </w:instrText>
      </w:r>
      <w:r>
        <w:rPr>
          <w:lang w:val="es-ES"/>
        </w:rPr>
        <w:fldChar w:fldCharType="separate"/>
      </w:r>
      <w:r>
        <w:rPr>
          <w:b/>
          <w:lang w:val="es-ES"/>
        </w:rPr>
        <w:t>9</w:t>
      </w:r>
      <w:r>
        <w:rPr>
          <w:lang w:val="es-ES"/>
        </w:rPr>
        <w:fldChar w:fldCharType="end"/>
      </w:r>
      <w:r>
        <w:rPr>
          <w:b/>
          <w:lang w:val="es-ES"/>
        </w:rPr>
        <w:t xml:space="preserve">. </w:t>
      </w:r>
      <w:r>
        <w:rPr>
          <w:lang w:val="es-ES"/>
        </w:rPr>
        <w:t>Entradas multimodales y salidas regionales del sistema de segmentación.</w:t>
      </w:r>
    </w:p>
    <w:p>
      <w:pPr>
        <w:rPr>
          <w:lang w:val="es-ES"/>
        </w:rPr>
      </w:pPr>
      <w:r>
        <w:rPr>
          <w:lang w:val="es-ES"/>
        </w:rPr>
        <w:t xml:space="preserve">Ninguna secuencia resume por sí sola la información usada para construir ET, TC y WT; la entrada</w:t>
      </w:r>
      <w:r>
        <w:rPr>
          <w:lang w:val="es-ES"/>
        </w:rPr>
        <w:t xml:space="preserve"> </w:t>
      </w:r>
      <w:r>
        <w:rPr>
          <w:lang w:val="es-ES"/>
        </w:rPr>
        <w:t xml:space="preserve">combina las cuatro para conservar sus aportaciones complementarias. Los ejemplos del Capítulo 5</w:t>
      </w:r>
      <w:r>
        <w:rPr>
          <w:lang w:val="es-ES"/>
        </w:rPr>
        <w:t xml:space="preserve"> </w:t>
      </w:r>
      <w:r>
        <w:rPr>
          <w:lang w:val="es-ES"/>
        </w:rPr>
        <w:t xml:space="preserve">muestran simultáneamente las regiones predichas sobre un estudio concreto.</w:t>
      </w:r>
    </w:p>
    <w:p>
      <w:pPr>
        <w:rPr>
          <w:lang w:val="es-ES"/>
        </w:rPr>
      </w:pPr>
      <w:r>
        <w:rPr>
          <w:lang w:val="es-ES"/>
        </w:rPr>
        <w:t xml:space="preserve">Las regiones se representan como máscaras anidadas, ET ⊂ TC ⊂ WT.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BratsRegionsd</w:t>
      </w:r>
      <w:r>
        <w:rPr>
          <w:lang w:val="es-ES"/>
        </w:rPr>
        <w:t xml:space="preserve"> </w:t>
      </w:r>
      <w:r>
        <w:rPr>
          <w:lang w:val="es-ES"/>
        </w:rPr>
        <w:t xml:space="preserve">transforma la</w:t>
      </w:r>
      <w:r>
        <w:rPr>
          <w:lang w:val="es-ES"/>
        </w:rPr>
        <w:t xml:space="preserve"> </w:t>
      </w:r>
      <w:r>
        <w:rPr>
          <w:lang w:val="es-ES"/>
        </w:rPr>
        <w:t xml:space="preserve">máscara de etiquetas en tres canales binarios y la salida se formula como segmentación</w:t>
      </w:r>
      <w:r>
        <w:rPr>
          <w:lang w:val="es-ES"/>
        </w:rPr>
        <w:t xml:space="preserve"> </w:t>
      </w:r>
      <w:r>
        <w:rPr>
          <w:lang w:val="es-ES"/>
        </w:rPr>
        <w:t xml:space="preserve">multietiqueta. Los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logits</w:t>
      </w:r>
      <w:r>
        <w:rPr>
          <w:lang w:val="es-ES"/>
        </w:rPr>
        <w:t xml:space="preserve"> </w:t>
      </w:r>
      <w:r>
        <w:rPr>
          <w:lang w:val="es-ES"/>
        </w:rPr>
        <w:t xml:space="preserve">se activan con sigmoide y se umbralizan a 0,5. Al exportar la predicción,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regions_to_labelmap</w:t>
      </w:r>
      <w:r>
        <w:rPr>
          <w:lang w:val="es-ES"/>
        </w:rPr>
        <w:t xml:space="preserve"> </w:t>
      </w:r>
      <w:r>
        <w:rPr>
          <w:lang w:val="es-ES"/>
        </w:rPr>
        <w:t xml:space="preserve">fuerza la coherencia de inclusión mediante la unión de ET con TC y de TC con</w:t>
      </w:r>
      <w:r>
        <w:rPr>
          <w:lang w:val="es-ES"/>
        </w:rPr>
        <w:t xml:space="preserve"> </w:t>
      </w:r>
      <w:r>
        <w:rPr>
          <w:lang w:val="es-ES"/>
        </w:rPr>
        <w:t xml:space="preserve">WT, y reconstruye un mapa NIfTI compatible con la evaluación.</w:t>
      </w:r>
    </w:p>
    <w:bookmarkEnd w:id="35"/>
    <w:bookmarkStart w:id="38" w:name="preprocesamiento-y-aumento-de-datos"/>
    <w:p>
      <w:pPr>
        <w:pStyle w:val="Ttulo3"/>
      </w:pPr>
      <w:r>
        <w:t xml:space="preserve">4.3.4. Preprocesamiento y aumento de datos</w:t>
      </w:r>
    </w:p>
    <w:p>
      <w:pPr>
        <w:rPr>
          <w:lang w:val="es-ES"/>
        </w:rPr>
      </w:pPr>
      <w:r>
        <w:rPr>
          <w:lang w:val="es-ES"/>
        </w:rPr>
        <w:t xml:space="preserve">El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pipeline</w:t>
      </w:r>
      <w:r>
        <w:rPr>
          <w:lang w:val="es-ES"/>
        </w:rPr>
        <w:t xml:space="preserve"> </w:t>
      </w:r>
      <w:r>
        <w:rPr>
          <w:lang w:val="es-ES"/>
        </w:rPr>
        <w:t xml:space="preserve">MONAI usa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LoadImaged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EnsureChannelFirstd</w:t>
      </w:r>
      <w:r>
        <w:rPr>
          <w:lang w:val="es-ES"/>
        </w:rPr>
        <w:t xml:space="preserve">, normalización por modalidad sobre</w:t>
      </w:r>
      <w:r>
        <w:rPr>
          <w:lang w:val="es-ES"/>
        </w:rPr>
        <w:t xml:space="preserve"> </w:t>
      </w:r>
      <w:r>
        <w:rPr>
          <w:lang w:val="es-ES"/>
        </w:rPr>
        <w:t xml:space="preserve">vóxeles no nulos (</w:t>
      </w:r>
      <w:r>
        <w:rPr>
          <w:rStyle w:val="VerbatimChar"/>
          <w:lang w:val="es-ES"/>
        </w:rPr>
        <w:t xml:space="preserve">NormalizeIntensityd(nonzero=True, channel_wise=True)</w:t>
      </w:r>
      <w:r>
        <w:rPr>
          <w:lang w:val="es-ES"/>
        </w:rPr>
        <w:t xml:space="preserve">) y conversión a tensores.</w:t>
      </w:r>
      <w:r>
        <w:rPr>
          <w:lang w:val="es-ES"/>
        </w:rPr>
        <w:t xml:space="preserve"> </w:t>
      </w:r>
      <w:r>
        <w:rPr>
          <w:lang w:val="es-ES"/>
        </w:rPr>
        <w:t xml:space="preserve">Durante entrenamiento y validación interna también carga la etiqueta y aplica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BratsRegionsd</w:t>
      </w:r>
      <w:r>
        <w:rPr>
          <w:lang w:val="es-ES"/>
        </w:rPr>
        <w:t xml:space="preserve">. La</w:t>
      </w:r>
      <w:r>
        <w:rPr>
          <w:lang w:val="es-ES"/>
        </w:rPr>
        <w:t xml:space="preserve"> </w:t>
      </w:r>
      <w:r>
        <w:rPr>
          <w:lang w:val="es-ES"/>
        </w:rPr>
        <w:t xml:space="preserve">inferencia de test usa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build_inference_transforms</w:t>
      </w:r>
      <w:r>
        <w:rPr>
          <w:lang w:val="es-ES"/>
        </w:rPr>
        <w:t xml:space="preserve">, que procesa únicamente la imagen. La máscara se</w:t>
      </w:r>
      <w:r>
        <w:rPr>
          <w:lang w:val="es-ES"/>
        </w:rPr>
        <w:t xml:space="preserve"> </w:t>
      </w:r>
      <w:r>
        <w:rPr>
          <w:lang w:val="es-ES"/>
        </w:rPr>
        <w:t xml:space="preserve">carga después desde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metrics.py</w:t>
      </w:r>
      <w:r>
        <w:rPr>
          <w:lang w:val="es-ES"/>
        </w:rPr>
        <w:t xml:space="preserve"> </w:t>
      </w:r>
      <w:r>
        <w:rPr>
          <w:lang w:val="es-ES"/>
        </w:rPr>
        <w:t xml:space="preserve">para evaluar la predicción exportada.</w:t>
      </w:r>
    </w:p>
    <w:p>
      <w:pPr>
        <w:rPr>
          <w:lang w:val="es-ES"/>
        </w:rPr>
      </w:pPr>
      <w:r>
        <w:rPr>
          <w:lang w:val="es-ES"/>
        </w:rPr>
        <w:t xml:space="preserve">El aumento se limita al entrenamiento.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SpatialPadd</w:t>
      </w:r>
      <w:r>
        <w:rPr>
          <w:lang w:val="es-ES"/>
        </w:rPr>
        <w:t xml:space="preserve"> </w:t>
      </w:r>
      <w:r>
        <w:rPr>
          <w:lang w:val="es-ES"/>
        </w:rPr>
        <w:t xml:space="preserve">asegura un tamaño mínimo de 128³,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DivisiblePadd(k=16)</w:t>
      </w:r>
      <w:r>
        <w:rPr>
          <w:lang w:val="es-ES"/>
        </w:rPr>
        <w:t xml:space="preserve"> </w:t>
      </w:r>
      <w:r>
        <w:rPr>
          <w:lang w:val="es-ES"/>
        </w:rPr>
        <w:t xml:space="preserve">mantiene dimensiones compatibles,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RandCropByPosNegLabeld</w:t>
      </w:r>
      <w:r>
        <w:rPr>
          <w:lang w:val="es-ES"/>
        </w:rPr>
        <w:t xml:space="preserve"> </w:t>
      </w:r>
      <w:r>
        <w:rPr>
          <w:lang w:val="es-ES"/>
        </w:rPr>
        <w:t xml:space="preserve">extrae dos parches</w:t>
      </w:r>
      <w:r>
        <w:rPr>
          <w:lang w:val="es-ES"/>
        </w:rPr>
        <w:t xml:space="preserve"> </w:t>
      </w:r>
      <w:r>
        <w:rPr>
          <w:lang w:val="es-ES"/>
        </w:rPr>
        <w:t xml:space="preserve">por estudio con razón positiva/negativa 1:1 y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RandFlipd</w:t>
      </w:r>
      <w:r>
        <w:rPr>
          <w:lang w:val="es-ES"/>
        </w:rPr>
        <w:t xml:space="preserve"> </w:t>
      </w:r>
      <w:r>
        <w:rPr>
          <w:lang w:val="es-ES"/>
        </w:rPr>
        <w:t xml:space="preserve">aplica volteos independientes con</w:t>
      </w:r>
      <w:r>
        <w:rPr>
          <w:lang w:val="es-ES"/>
        </w:rPr>
        <w:t xml:space="preserve"> </w:t>
      </w:r>
      <w:r>
        <w:rPr>
          <w:lang w:val="es-ES"/>
        </w:rPr>
        <w:t xml:space="preserve">probabilidad 0,5 en los tres ejes. Validación y test no reciben transformaciones aleatorias y se</w:t>
      </w:r>
      <w:r>
        <w:rPr>
          <w:lang w:val="es-ES"/>
        </w:rPr>
        <w:t xml:space="preserve"> </w:t>
      </w:r>
      <w:r>
        <w:rPr>
          <w:lang w:val="es-ES"/>
        </w:rPr>
        <w:t xml:space="preserve">procesan como volúmenes completos mediante ventana deslizante.</w:t>
      </w:r>
    </w:p>
    <w:p>
      <w:pPr>
        <w:rPr>
          <w:lang w:val="es-ES"/>
        </w:rPr>
      </w:pPr>
      <w:r>
        <w:rPr>
          <w:lang w:val="es-ES"/>
        </w:rPr>
        <w:t xml:space="preserve">Los datos se sirven con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Dataset</w:t>
      </w:r>
      <w:r>
        <w:rPr>
          <w:lang w:val="es-ES"/>
        </w:rPr>
        <w:t xml:space="preserve"> </w:t>
      </w:r>
      <w:r>
        <w:rPr>
          <w:lang w:val="es-ES"/>
        </w:rPr>
        <w:t xml:space="preserve">y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DataLoader</w:t>
      </w:r>
      <w:r>
        <w:rPr>
          <w:lang w:val="es-ES"/>
        </w:rPr>
        <w:t xml:space="preserve"> </w:t>
      </w:r>
      <w:r>
        <w:rPr>
          <w:lang w:val="es-ES"/>
        </w:rPr>
        <w:t xml:space="preserve">de MONAI y la colación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list_data_collate</w:t>
      </w:r>
      <w:r>
        <w:rPr>
          <w:lang w:val="es-ES"/>
        </w:rPr>
        <w:t xml:space="preserve">. Durante</w:t>
      </w:r>
      <w:r>
        <w:rPr>
          <w:lang w:val="es-ES"/>
        </w:rPr>
        <w:t xml:space="preserve"> </w:t>
      </w:r>
      <w:r>
        <w:rPr>
          <w:lang w:val="es-ES"/>
        </w:rPr>
        <w:t xml:space="preserve">el desarrollo se añadió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build_cached_dataset</w:t>
      </w:r>
      <w:r>
        <w:rPr>
          <w:lang w:val="es-ES"/>
        </w:rPr>
        <w:t xml:space="preserve">, con modos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none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memory</w:t>
      </w:r>
      <w:r>
        <w:rPr>
          <w:lang w:val="es-ES"/>
        </w:rPr>
        <w:t xml:space="preserve"> </w:t>
      </w:r>
      <w:r>
        <w:rPr>
          <w:lang w:val="es-ES"/>
        </w:rPr>
        <w:t xml:space="preserve">y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persistent</w:t>
      </w:r>
      <w:r>
        <w:rPr>
          <w:lang w:val="es-ES"/>
        </w:rPr>
        <w:t xml:space="preserve">, para</w:t>
      </w:r>
      <w:r>
        <w:rPr>
          <w:lang w:val="es-ES"/>
        </w:rPr>
        <w:t xml:space="preserve"> </w:t>
      </w:r>
      <w:r>
        <w:rPr>
          <w:lang w:val="es-ES"/>
        </w:rPr>
        <w:t xml:space="preserve">adaptar la lectura al entorno. La primera ejecución de Swin-UNETR con caché persistente elevó el uso</w:t>
      </w:r>
      <w:r>
        <w:rPr>
          <w:lang w:val="es-ES"/>
        </w:rPr>
        <w:t xml:space="preserve"> </w:t>
      </w:r>
      <w:r>
        <w:rPr>
          <w:lang w:val="es-ES"/>
        </w:rPr>
        <w:t xml:space="preserve">de disco a 188 de los 235 GB disponibles en Colab hacia el paso 1.090. Cada caso preprocesado</w:t>
      </w:r>
      <w:r>
        <w:rPr>
          <w:lang w:val="es-ES"/>
        </w:rPr>
        <w:t xml:space="preserve"> </w:t>
      </w:r>
      <w:r>
        <w:rPr>
          <w:lang w:val="es-ES"/>
        </w:rPr>
        <w:t xml:space="preserve">ocupaba unos 144–150 MB, por lo que entrenamiento y validación requerían cerca de 200 GB de caché,</w:t>
      </w:r>
      <w:r>
        <w:rPr>
          <w:lang w:val="es-ES"/>
        </w:rPr>
        <w:t xml:space="preserve"> </w:t>
      </w:r>
      <w:r>
        <w:rPr>
          <w:lang w:val="es-ES"/>
        </w:rPr>
        <w:t xml:space="preserve">además del conjunto original y del sistema. La ejecución se detuvo antes de completar la primera</w:t>
      </w:r>
      <w:r>
        <w:rPr>
          <w:lang w:val="es-ES"/>
        </w:rPr>
        <w:t xml:space="preserve"> </w:t>
      </w:r>
      <w:r>
        <w:rPr>
          <w:lang w:val="es-ES"/>
        </w:rPr>
        <w:t xml:space="preserve">época y no había un punto de control recuperable.</w:t>
      </w:r>
    </w:p>
    <w:p>
      <w:pPr>
        <w:rPr>
          <w:lang w:val="es-ES"/>
        </w:rPr>
      </w:pPr>
      <w:r>
        <w:rPr>
          <w:lang w:val="es-ES"/>
        </w:rPr>
        <w:t xml:space="preserve">Se mantuvieron los tres modos en el código, pero las ejecuciones MONAI finales en A100 usaron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cache_mode: none</w:t>
      </w:r>
      <w:r>
        <w:rPr>
          <w:lang w:val="es-ES"/>
        </w:rPr>
        <w:t xml:space="preserve"> </w:t>
      </w:r>
      <w:r>
        <w:rPr>
          <w:lang w:val="es-ES"/>
        </w:rPr>
        <w:t xml:space="preserve">y copiaron unos 30 GB de NIfTI desde Google Drive a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/content</w:t>
      </w:r>
      <w:r>
        <w:rPr>
          <w:lang w:val="es-ES"/>
        </w:rPr>
        <w:t xml:space="preserve">. En una ejecución</w:t>
      </w:r>
      <w:r>
        <w:rPr>
          <w:lang w:val="es-ES"/>
        </w:rPr>
        <w:t xml:space="preserve"> </w:t>
      </w:r>
      <w:r>
        <w:rPr>
          <w:lang w:val="es-ES"/>
        </w:rPr>
        <w:t xml:space="preserve">posterior de Swin-UNETR con datos locales se registró un tiempo de espera de alrededor de 0,0004 s</w:t>
      </w:r>
      <w:r>
        <w:rPr>
          <w:lang w:val="es-ES"/>
        </w:rPr>
        <w:t xml:space="preserve"> </w:t>
      </w:r>
      <w:r>
        <w:rPr>
          <w:lang w:val="es-ES"/>
        </w:rPr>
        <w:t xml:space="preserve">por paso, frente a picos de 3–11 s observados previamente con otro perfil al leer desde Drive. La</w:t>
      </w:r>
      <w:r>
        <w:rPr>
          <w:lang w:val="es-ES"/>
        </w:rPr>
        <w:t xml:space="preserve"> </w:t>
      </w:r>
      <w:r>
        <w:rPr>
          <w:lang w:val="es-ES"/>
        </w:rPr>
        <w:t xml:space="preserve">comparación no fue pareada, pero respaldó operativamente el uso del disco local sin llenarlo con</w:t>
      </w:r>
      <w:r>
        <w:rPr>
          <w:lang w:val="es-ES"/>
        </w:rPr>
        <w:t xml:space="preserve"> </w:t>
      </w:r>
      <w:r>
        <w:rPr>
          <w:lang w:val="es-ES"/>
        </w:rPr>
        <w:t xml:space="preserve">volúmenes preprocesados.</w:t>
      </w:r>
    </w:p>
    <w:bookmarkEnd w:id="36"/>
    <w:bookmarkStart w:id="39" w:name="familias-de-modelos-y-factoría"/>
    <w:p>
      <w:pPr>
        <w:pStyle w:val="Ttulo3"/>
      </w:pPr>
      <w:r>
        <w:t xml:space="preserve">4.3.5. Familias de modelos y factoría</w:t>
      </w:r>
    </w:p>
    <w:p>
      <w:pPr>
        <w:rPr>
          <w:lang w:val="es-ES"/>
        </w:rPr>
      </w:pPr>
      <w:r>
        <w:rPr>
          <w:lang w:val="es-ES"/>
        </w:rPr>
        <w:t xml:space="preserve">La función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build_model</w:t>
      </w:r>
      <w:r>
        <w:rPr>
          <w:lang w:val="es-ES"/>
        </w:rPr>
        <w:t xml:space="preserve"> </w:t>
      </w:r>
      <w:r>
        <w:rPr>
          <w:lang w:val="es-ES"/>
        </w:rPr>
        <w:t xml:space="preserve">de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monai_pipeline.py</w:t>
      </w:r>
      <w:r>
        <w:rPr>
          <w:lang w:val="es-ES"/>
        </w:rPr>
        <w:t xml:space="preserve"> </w:t>
      </w:r>
      <w:r>
        <w:rPr>
          <w:lang w:val="es-ES"/>
        </w:rPr>
        <w:t xml:space="preserve">construye las tres familias integradas en la</w:t>
      </w:r>
      <w:r>
        <w:rPr>
          <w:lang w:val="es-ES"/>
        </w:rPr>
        <w:t xml:space="preserve"> </w:t>
      </w:r>
      <w:r>
        <w:rPr>
          <w:lang w:val="es-ES"/>
        </w:rPr>
        <w:t xml:space="preserve">implementación propia: Residual U-Net, Attention U-Net y Swin-UNETR. nnU-Net no pasa por esta</w:t>
      </w:r>
      <w:r>
        <w:rPr>
          <w:lang w:val="es-ES"/>
        </w:rPr>
        <w:t xml:space="preserve"> </w:t>
      </w:r>
      <w:r>
        <w:rPr>
          <w:lang w:val="es-ES"/>
        </w:rPr>
        <w:t xml:space="preserve">factoría: se ejecuta con su CLI nativa y conserva su planificación, preprocesamiento y</w:t>
      </w:r>
      <w:r>
        <w:rPr>
          <w:lang w:val="es-ES"/>
        </w:rPr>
        <w:t xml:space="preserve"> </w:t>
      </w:r>
      <w:r>
        <w:rPr>
          <w:lang w:val="es-ES"/>
        </w:rPr>
        <w:t xml:space="preserve">entrenamiento. La Tabla 10 distingue las cuatro familias y, dentro de la residual, las cuatro</w:t>
      </w:r>
      <w:r>
        <w:rPr>
          <w:lang w:val="es-ES"/>
        </w:rPr>
        <w:t xml:space="preserve"> </w:t>
      </w:r>
      <w:r>
        <w:rPr>
          <w:lang w:val="es-ES"/>
        </w:rPr>
        <w:t xml:space="preserve">variantes de fusión evaluadas.</w:t>
      </w:r>
    </w:p>
    <w:tbl>
      <w:tblPr>
        <w:tblStyle w:val="Tablaconcuadrcula"/>
        <w:tblW w:type="dxa" w:w="8504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BFBFBF"/>
          <w:left w:val="single" w:sz="5" w:space="0" w:color="BFBFBF"/>
          <w:bottom w:val="single" w:sz="5" w:space="0" w:color="BFBFBF"/>
          <w:right w:val="single" w:sz="5" w:space="0" w:color="BFBFBF"/>
          <w:insideH w:val="single" w:sz="5" w:space="0" w:color="BFBFBF"/>
          <w:insideV w:val="single" w:sz="5" w:space="0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Familia y configuración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Implementación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Hiperparámetros o rasgo principal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Parámetros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Residual U-Net + concatenación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MONAI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UNet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+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FusionUNet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canales (16, 32, 64, 128);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num_res_units=2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; identidad de entrada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1.190.358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Residual U-Net + ponderación global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MONAI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UNet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+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FusionUNet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cuatro escalares aprendidos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1.190.362 (+4)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Residual U-Net + compuerta por media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MONAI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UNet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+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FusionUNet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descriptor 4; MLP 4 → 8 → 4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1.190.434 (+76)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Residual U-Net + compuerta media+desv.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MONAI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UNet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+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FusionUNet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descriptor 8; MLP 8 → 8 → 4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1.190.466 (+108)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Attention U-Net 3D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MONAI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AttentionUnet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canales (16, 32, 64, 128, 256); cuatro niveles de reducción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5.910.443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Swin-UNETR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MONAI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SwinUNETR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feature_size=48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; profundidades (2, 2, 2, 2); cabezas (3, 6, 12, 24)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62.191.941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nnU-Net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3d_fullres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nnU-Net v2, externo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Arquitectura y preprocesamiento auto-configurados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Auto-configurado</w:t>
            </w:r>
          </w:p>
        </w:tc>
      </w:tr>
    </w:tbl>
    <w:p>
      <w:pPr>
        <w:pStyle w:val="Descripcin"/>
        <w:keepLines/>
        <w:rPr>
          <w:lang w:val="es-ES"/>
        </w:rPr>
      </w:pPr>
      <w:r>
        <w:rPr>
          <w:b/>
          <w:lang w:val="es-ES"/>
        </w:rPr>
        <w:t xml:space="preserve">Tabla </w:t>
      </w:r>
      <w:r>
        <w:rPr>
          <w:lang w:val="es-ES"/>
        </w:rPr>
        <w:fldChar w:fldCharType="begin" w:dirty="true"/>
      </w:r>
      <w:r>
        <w:rPr>
          <w:lang w:val="es-ES"/>
        </w:rPr>
        <w:instrText xml:space="preserve"> SEQ Tabla \* ARABIC </w:instrText>
      </w:r>
      <w:r>
        <w:rPr>
          <w:lang w:val="es-ES"/>
        </w:rPr>
        <w:fldChar w:fldCharType="separate"/>
      </w:r>
      <w:r>
        <w:rPr>
          <w:b/>
          <w:lang w:val="es-ES"/>
        </w:rPr>
        <w:t>10</w:t>
      </w:r>
      <w:r>
        <w:rPr>
          <w:lang w:val="es-ES"/>
        </w:rPr>
        <w:fldChar w:fldCharType="end"/>
      </w:r>
      <w:r>
        <w:rPr>
          <w:b/>
          <w:lang w:val="es-ES"/>
        </w:rPr>
        <w:t xml:space="preserve">. </w:t>
      </w:r>
      <w:r>
        <w:rPr>
          <w:lang w:val="es-ES"/>
        </w:rPr>
        <w:t>Familias y configuraciones finales, ruta de implementación y número de parámetros.</w:t>
      </w:r>
    </w:p>
    <w:p>
      <w:pPr>
        <w:rPr>
          <w:lang w:val="es-ES"/>
        </w:rPr>
      </w:pPr>
      <w:r>
        <w:rPr>
          <w:lang w:val="es-ES"/>
        </w:rPr>
        <w:t xml:space="preserve">Las cuatro configuraciones residuales mantienen fija una red de aproximadamente 1,19 millones de</w:t>
      </w:r>
      <w:r>
        <w:rPr>
          <w:lang w:val="es-ES"/>
        </w:rPr>
        <w:t xml:space="preserve"> </w:t>
      </w:r>
      <w:r>
        <w:rPr>
          <w:lang w:val="es-ES"/>
        </w:rPr>
        <w:t xml:space="preserve">parámetros y solo cambian el bloque de entrada. Attention U-Net y, especialmente, Swin-UNETR</w:t>
      </w:r>
      <w:r>
        <w:rPr>
          <w:lang w:val="es-ES"/>
        </w:rPr>
        <w:t xml:space="preserve"> </w:t>
      </w:r>
      <w:r>
        <w:rPr>
          <w:lang w:val="es-ES"/>
        </w:rPr>
        <w:t xml:space="preserve">aumentan la capacidad. nnU-Net se incluye como referencia, no como una configuración construida por</w:t>
      </w:r>
      <w:r>
        <w:rPr>
          <w:lang w:val="es-ES"/>
        </w:rPr>
        <w:t xml:space="preserve"> </w:t>
      </w:r>
      <w:r>
        <w:rPr>
          <w:lang w:val="es-ES"/>
        </w:rPr>
        <w:t xml:space="preserve">la factoría ni como parte de la ablación.</w:t>
      </w:r>
    </w:p>
    <w:p>
      <w:pPr>
        <w:rPr>
          <w:lang w:val="es-ES"/>
        </w:rPr>
      </w:pPr>
      <w:r>
        <w:rPr>
          <w:lang w:val="es-ES"/>
        </w:rPr>
        <w:t xml:space="preserve">La primera versión de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build_model</w:t>
      </w:r>
      <w:r>
        <w:rPr>
          <w:lang w:val="es-ES"/>
        </w:rPr>
        <w:t xml:space="preserve"> </w:t>
      </w:r>
      <w:r>
        <w:rPr>
          <w:lang w:val="es-ES"/>
        </w:rPr>
        <w:t xml:space="preserve">solo construía la Residual U-Net. Se sustituyó por un</w:t>
      </w:r>
      <w:r>
        <w:rPr>
          <w:lang w:val="es-ES"/>
        </w:rPr>
        <w:t xml:space="preserve"> </w:t>
      </w:r>
      <w:r>
        <w:rPr>
          <w:lang w:val="es-ES"/>
        </w:rPr>
        <w:t xml:space="preserve">despachador que traduce desde YAML las firmas diferentes de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UNet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AttentionUnet</w:t>
      </w:r>
      <w:r>
        <w:rPr>
          <w:lang w:val="es-ES"/>
        </w:rPr>
        <w:t xml:space="preserve"> </w:t>
      </w:r>
      <w:r>
        <w:rPr>
          <w:lang w:val="es-ES"/>
        </w:rPr>
        <w:t xml:space="preserve">y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SwinUNETR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lang w:val="es-ES"/>
        </w:rPr>
        <w:t xml:space="preserve">pero conserva para el resto del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pipeline</w:t>
      </w:r>
      <w:r>
        <w:rPr>
          <w:lang w:val="es-ES"/>
        </w:rPr>
        <w:t xml:space="preserve"> </w:t>
      </w:r>
      <w:r>
        <w:rPr>
          <w:lang w:val="es-ES"/>
        </w:rPr>
        <w:t xml:space="preserve">la misma interfaz de cuatro canales de entrada y tres de</w:t>
      </w:r>
      <w:r>
        <w:rPr>
          <w:lang w:val="es-ES"/>
        </w:rPr>
        <w:t xml:space="preserve"> </w:t>
      </w:r>
      <w:r>
        <w:rPr>
          <w:lang w:val="es-ES"/>
        </w:rPr>
        <w:t xml:space="preserve">salida. Un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smoke test</w:t>
      </w:r>
      <w:r>
        <w:rPr>
          <w:lang w:val="es-ES"/>
        </w:rPr>
        <w:t xml:space="preserve"> </w:t>
      </w:r>
      <w:r>
        <w:rPr>
          <w:lang w:val="es-ES"/>
        </w:rPr>
        <w:t xml:space="preserve">con tensores de forma (1, 4, 96, 96, 96) verificó las configuraciones antes</w:t>
      </w:r>
      <w:r>
        <w:rPr>
          <w:lang w:val="es-ES"/>
        </w:rPr>
        <w:t xml:space="preserve"> </w:t>
      </w:r>
      <w:r>
        <w:rPr>
          <w:lang w:val="es-ES"/>
        </w:rPr>
        <w:t xml:space="preserve">de entrenarlas. Swin-UNETR expone además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use_checkpoint</w:t>
      </w:r>
      <w:r>
        <w:rPr>
          <w:lang w:val="es-ES"/>
        </w:rPr>
        <w:t xml:space="preserve">: se activó en la prueba L4 para reducir</w:t>
      </w:r>
      <w:r>
        <w:rPr>
          <w:lang w:val="es-ES"/>
        </w:rPr>
        <w:t xml:space="preserve"> </w:t>
      </w:r>
      <w:r>
        <w:rPr>
          <w:lang w:val="es-ES"/>
        </w:rPr>
        <w:t xml:space="preserve">memoria, mientras que las ejecuciones finales A100 usaron la configuración sin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gradient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checkpointing</w:t>
      </w:r>
      <w:r>
        <w:rPr>
          <w:lang w:val="es-ES"/>
        </w:rPr>
        <w:t xml:space="preserve">.</w:t>
      </w:r>
    </w:p>
    <w:bookmarkEnd w:id="37"/>
    <w:bookmarkStart w:id="40" w:name="mecanismos-de-fusión-multimodal"/>
    <w:p>
      <w:pPr>
        <w:pStyle w:val="Ttulo3"/>
      </w:pPr>
      <w:r>
        <w:t xml:space="preserve">4.3.6. Mecanismos de fusión multimodal</w:t>
      </w:r>
    </w:p>
    <w:p>
      <w:pPr>
        <w:rPr>
          <w:lang w:val="es-ES"/>
        </w:rPr>
      </w:pPr>
      <w:r>
        <w:rPr>
          <w:lang w:val="es-ES"/>
        </w:rPr>
        <w:t xml:space="preserve">La comparación principal modifica únicamente el tratamiento de los cuatro canales antes del</w:t>
      </w:r>
      <w:r>
        <w:rPr>
          <w:lang w:val="es-ES"/>
        </w:rPr>
        <w:t xml:space="preserve"> </w:t>
      </w:r>
      <w:r>
        <w:rPr>
          <w:lang w:val="es-ES"/>
        </w:rPr>
        <w:t xml:space="preserve">codificador residual.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FusionUNet</w:t>
      </w:r>
      <w:r>
        <w:rPr>
          <w:lang w:val="es-ES"/>
        </w:rPr>
        <w:t xml:space="preserve"> </w:t>
      </w:r>
      <w:r>
        <w:rPr>
          <w:lang w:val="es-ES"/>
        </w:rPr>
        <w:t xml:space="preserve">aplica un módulo de fusión y entrega el tensor resultante a la</w:t>
      </w:r>
      <w:r>
        <w:rPr>
          <w:lang w:val="es-ES"/>
        </w:rPr>
        <w:t xml:space="preserve"> </w:t>
      </w:r>
      <w:r>
        <w:rPr>
          <w:lang w:val="es-ES"/>
        </w:rPr>
        <w:t xml:space="preserve">misma U-Net:</w:t>
      </w:r>
    </w:p>
    <w:p>
      <w:pPr>
        <w:pStyle w:val="TFMCode"/>
        <w:keepLines w:val="0"/>
        <w:widowControl w:val="0"/>
        <w:pBdr>
          <w:left w:val="single" w:sz="12" w:space="8" w:color="ED7D31"/>
        </w:pBdr>
        <w:shd w:val="clear" w:fill="F2F2F2"/>
        <w:rPr>
          <w:lang w:val="es-ES"/>
        </w:rPr>
      </w:pPr>
      <w:r>
        <w:rPr>
          <w:rStyle w:val="KeywordTok"/>
          <w:rFonts w:ascii="Consolas" w:hAnsi="Consolas" w:cs="Consolas" w:eastAsia="Consolas"/>
          <w:color w:val="1F1F1F"/>
          <w:sz w:val="15"/>
          <w:noProof/>
          <w:lang w:val="es-ES"/>
        </w:rPr>
        <w:t xml:space="preserve">class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FusionUNet(nn.Module):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  </w:t>
      </w:r>
      <w:r>
        <w:rPr>
          <w:rStyle w:val="KeywordTok"/>
          <w:rFonts w:ascii="Consolas" w:hAnsi="Consolas" w:cs="Consolas" w:eastAsia="Consolas"/>
          <w:color w:val="1F1F1F"/>
          <w:sz w:val="15"/>
          <w:noProof/>
          <w:lang w:val="es-ES"/>
        </w:rPr>
        <w:t xml:space="preserve">def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</w:t>
      </w:r>
      <w:r>
        <w:rPr>
          <w:rStyle w:val="FunctionTok"/>
          <w:rFonts w:ascii="Consolas" w:hAnsi="Consolas" w:cs="Consolas" w:eastAsia="Consolas"/>
          <w:color w:val="1F1F1F"/>
          <w:sz w:val="15"/>
          <w:noProof/>
          <w:lang w:val="es-ES"/>
        </w:rPr>
        <w:t xml:space="preserve">__init__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(</w:t>
      </w:r>
      <w:r>
        <w:rPr>
          <w:rStyle w:val="VariableTok"/>
          <w:rFonts w:ascii="Consolas" w:hAnsi="Consolas" w:cs="Consolas" w:eastAsia="Consolas"/>
          <w:color w:val="1F1F1F"/>
          <w:sz w:val="15"/>
          <w:noProof/>
          <w:lang w:val="es-ES"/>
        </w:rPr>
        <w:t xml:space="preserve">self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, fusion, unet):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      </w:t>
      </w:r>
      <w:r>
        <w:rPr>
          <w:rStyle w:val="BuiltInTok"/>
          <w:rFonts w:ascii="Consolas" w:hAnsi="Consolas" w:cs="Consolas" w:eastAsia="Consolas"/>
          <w:color w:val="1F1F1F"/>
          <w:sz w:val="15"/>
          <w:noProof/>
          <w:lang w:val="es-ES"/>
        </w:rPr>
        <w:t xml:space="preserve">super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().</w:t>
      </w:r>
      <w:r>
        <w:rPr>
          <w:rStyle w:val="FunctionTok"/>
          <w:rFonts w:ascii="Consolas" w:hAnsi="Consolas" w:cs="Consolas" w:eastAsia="Consolas"/>
          <w:color w:val="1F1F1F"/>
          <w:sz w:val="15"/>
          <w:noProof/>
          <w:lang w:val="es-ES"/>
        </w:rPr>
        <w:t xml:space="preserve">__init__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()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      </w:t>
      </w:r>
      <w:r>
        <w:rPr>
          <w:rStyle w:val="VariableTok"/>
          <w:rFonts w:ascii="Consolas" w:hAnsi="Consolas" w:cs="Consolas" w:eastAsia="Consolas"/>
          <w:color w:val="1F1F1F"/>
          <w:sz w:val="15"/>
          <w:noProof/>
          <w:lang w:val="es-ES"/>
        </w:rPr>
        <w:t xml:space="preserve">self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.fusion </w:t>
      </w:r>
      <w:r>
        <w:rPr>
          <w:rStyle w:val="OperatorTok"/>
          <w:rFonts w:ascii="Consolas" w:hAnsi="Consolas" w:cs="Consolas" w:eastAsia="Consolas"/>
          <w:color w:val="1F1F1F"/>
          <w:sz w:val="15"/>
          <w:noProof/>
          <w:lang w:val="es-ES"/>
        </w:rPr>
        <w:t xml:space="preserve">=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fusion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      </w:t>
      </w:r>
      <w:r>
        <w:rPr>
          <w:rStyle w:val="VariableTok"/>
          <w:rFonts w:ascii="Consolas" w:hAnsi="Consolas" w:cs="Consolas" w:eastAsia="Consolas"/>
          <w:color w:val="1F1F1F"/>
          <w:sz w:val="15"/>
          <w:noProof/>
          <w:lang w:val="es-ES"/>
        </w:rPr>
        <w:t xml:space="preserve">self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.unet </w:t>
      </w:r>
      <w:r>
        <w:rPr>
          <w:rStyle w:val="OperatorTok"/>
          <w:rFonts w:ascii="Consolas" w:hAnsi="Consolas" w:cs="Consolas" w:eastAsia="Consolas"/>
          <w:color w:val="1F1F1F"/>
          <w:sz w:val="15"/>
          <w:noProof/>
          <w:lang w:val="es-ES"/>
        </w:rPr>
        <w:t xml:space="preserve">=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unet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  </w:t>
      </w:r>
      <w:r>
        <w:rPr>
          <w:rStyle w:val="KeywordTok"/>
          <w:rFonts w:ascii="Consolas" w:hAnsi="Consolas" w:cs="Consolas" w:eastAsia="Consolas"/>
          <w:color w:val="1F1F1F"/>
          <w:sz w:val="15"/>
          <w:noProof/>
          <w:lang w:val="es-ES"/>
        </w:rPr>
        <w:t xml:space="preserve">def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forward(</w:t>
      </w:r>
      <w:r>
        <w:rPr>
          <w:rStyle w:val="VariableTok"/>
          <w:rFonts w:ascii="Consolas" w:hAnsi="Consolas" w:cs="Consolas" w:eastAsia="Consolas"/>
          <w:color w:val="1F1F1F"/>
          <w:sz w:val="15"/>
          <w:noProof/>
          <w:lang w:val="es-ES"/>
        </w:rPr>
        <w:t xml:space="preserve">self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, x):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      </w:t>
      </w:r>
      <w:r>
        <w:rPr>
          <w:rStyle w:val="ControlFlowTok"/>
          <w:rFonts w:ascii="Consolas" w:hAnsi="Consolas" w:cs="Consolas" w:eastAsia="Consolas"/>
          <w:color w:val="1F1F1F"/>
          <w:sz w:val="15"/>
          <w:noProof/>
          <w:lang w:val="es-ES"/>
        </w:rPr>
        <w:t xml:space="preserve">return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</w:t>
      </w:r>
      <w:r>
        <w:rPr>
          <w:rStyle w:val="VariableTok"/>
          <w:rFonts w:ascii="Consolas" w:hAnsi="Consolas" w:cs="Consolas" w:eastAsia="Consolas"/>
          <w:color w:val="1F1F1F"/>
          <w:sz w:val="15"/>
          <w:noProof/>
          <w:lang w:val="es-ES"/>
        </w:rPr>
        <w:t xml:space="preserve">self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.unet(</w:t>
      </w:r>
      <w:r>
        <w:rPr>
          <w:rStyle w:val="VariableTok"/>
          <w:rFonts w:ascii="Consolas" w:hAnsi="Consolas" w:cs="Consolas" w:eastAsia="Consolas"/>
          <w:color w:val="1F1F1F"/>
          <w:sz w:val="15"/>
          <w:noProof/>
          <w:lang w:val="es-ES"/>
        </w:rPr>
        <w:t xml:space="preserve">self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.fusion(x))</w:t>
      </w:r>
    </w:p>
    <w:p>
      <w:pPr>
        <w:rPr>
          <w:lang w:val="es-ES"/>
        </w:rPr>
      </w:pPr>
      <w:r>
        <w:rPr>
          <w:lang w:val="es-ES"/>
        </w:rPr>
        <w:t xml:space="preserve">La Figura 2 representa esta separación entre el bloque de entrada y la red de segmentación, así</w:t>
      </w:r>
      <w:r>
        <w:rPr>
          <w:lang w:val="es-ES"/>
        </w:rPr>
        <w:t xml:space="preserve"> </w:t>
      </w:r>
      <w:r>
        <w:rPr>
          <w:lang w:val="es-ES"/>
        </w:rPr>
        <w:t xml:space="preserve">como los descriptores usados por las compuertas.</w:t>
      </w:r>
    </w:p>
    <w:p>
      <w:pPr>
        <w:keepNext/>
        <w:spacing w:before="120" w:after="0"/>
        <w:jc w:val="center"/>
        <w:rPr>
          <w:lang w:val="es-ES"/>
        </w:rPr>
      </w:pPr>
      <w:r>
        <w:rPr>
          <w:lang w:val="es-ES"/>
        </w:rPr>
        <w:drawing>
          <wp:inline>
            <wp:extent cx="5400000" cy="4050000"/>
            <wp:effectExtent b="0" l="0" r="0" t="0"/>
            <wp:docPr descr="Arquitectura de fusión multimodal FusionUNet y detalle de la compuerta adaptativa." title="Arquitectura de fusión multimodal FusionUNet y detalle de la compuerta adaptativa." id="3" name="Picture"/>
            <a:graphic>
              <a:graphicData uri="http://schemas.openxmlformats.org/drawingml/2006/picture">
                <pic:pic>
                  <pic:nvPicPr>
                    <pic:cNvPr descr="figuras/fig_arquitectura_fusion.png" id="3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05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Descripcin"/>
        <w:keepLines/>
        <w:rPr>
          <w:lang w:val="es-ES"/>
        </w:rPr>
      </w:pPr>
      <w:r>
        <w:rPr>
          <w:b/>
          <w:lang w:val="es-ES"/>
        </w:rPr>
        <w:t xml:space="preserve">Figura </w:t>
      </w:r>
      <w:r>
        <w:rPr>
          <w:lang w:val="es-ES"/>
        </w:rPr>
        <w:fldChar w:fldCharType="begin" w:dirty="true"/>
      </w:r>
      <w:r>
        <w:rPr>
          <w:lang w:val="es-ES"/>
        </w:rPr>
        <w:instrText xml:space="preserve"> SEQ Figura \* ARABIC </w:instrText>
      </w:r>
      <w:r>
        <w:rPr>
          <w:lang w:val="es-ES"/>
        </w:rPr>
        <w:fldChar w:fldCharType="separate"/>
      </w:r>
      <w:r>
        <w:rPr>
          <w:b/>
          <w:lang w:val="es-ES"/>
        </w:rPr>
        <w:t>2</w:t>
      </w:r>
      <w:r>
        <w:rPr>
          <w:lang w:val="es-ES"/>
        </w:rPr>
        <w:fldChar w:fldCharType="end"/>
      </w:r>
      <w:r>
        <w:rPr>
          <w:b/>
          <w:lang w:val="es-ES"/>
        </w:rPr>
        <w:t xml:space="preserve">. </w:t>
      </w:r>
      <w:r>
        <w:rPr>
          <w:lang w:val="es-ES"/>
        </w:rPr>
        <w:t>Arquitectura de la ablación: cuatro modalidades, bloque de fusión anterior al codificador, Residual U-Net común y tres canales de salida. El detalle de la compuerta muestra la obtención de pesos globales por modalidad a partir de descriptores de la entrada.</w:t>
      </w:r>
    </w:p>
    <w:p>
      <w:pPr>
        <w:rPr>
          <w:lang w:val="es-ES"/>
        </w:rPr>
      </w:pPr>
      <w:r>
        <w:rPr>
          <w:lang w:val="es-ES"/>
        </w:rPr>
        <w:t xml:space="preserve">El mecanismo no es espacial ni se introduce en capas intermedias: produce un peso por modalidad</w:t>
      </w:r>
      <w:r>
        <w:rPr>
          <w:lang w:val="es-ES"/>
        </w:rPr>
        <w:t xml:space="preserve"> </w:t>
      </w:r>
      <w:r>
        <w:rPr>
          <w:lang w:val="es-ES"/>
        </w:rPr>
        <w:t xml:space="preserve">para cada muestra y actúa antes de la primera convolución.</w:t>
      </w:r>
    </w:p>
    <w:p>
      <w:pPr>
        <w:rPr>
          <w:lang w:val="es-ES"/>
        </w:rPr>
      </w:pPr>
      <w:r>
        <w:rPr>
          <w:b/>
          <w:bCs/>
          <w:lang w:val="es-ES"/>
        </w:rPr>
        <w:t xml:space="preserve">Concatenación (</w:t>
      </w:r>
      <w:r>
        <w:rPr>
          <w:rStyle w:val="VerbatimChar"/>
          <w:b/>
          <w:bCs/>
          <w:lang w:val="es-ES"/>
        </w:rPr>
        <w:t xml:space="preserve">concat</w:t>
      </w:r>
      <w:r>
        <w:rPr>
          <w:b/>
          <w:bCs/>
          <w:lang w:val="es-ES"/>
        </w:rPr>
        <w:t xml:space="preserve">).</w:t>
      </w:r>
      <w:r>
        <w:rPr>
          <w:lang w:val="es-ES"/>
        </w:rPr>
        <w:t xml:space="preserve"> </w:t>
      </w:r>
      <w:r>
        <w:rPr>
          <w:lang w:val="es-ES"/>
        </w:rPr>
        <w:t xml:space="preserve">Se implementa como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nn.Identity()</w:t>
      </w:r>
      <w:r>
        <w:rPr>
          <w:lang w:val="es-ES"/>
        </w:rPr>
        <w:t xml:space="preserve">. No introduce una ponderación</w:t>
      </w:r>
      <w:r>
        <w:rPr>
          <w:lang w:val="es-ES"/>
        </w:rPr>
        <w:t xml:space="preserve"> </w:t>
      </w:r>
      <w:r>
        <w:rPr>
          <w:lang w:val="es-ES"/>
        </w:rPr>
        <w:t xml:space="preserve">explícita. Los cuatro canales llegan directamente a la primera convolución de la U-Net.</w:t>
      </w:r>
    </w:p>
    <w:p>
      <w:pPr>
        <w:rPr>
          <w:lang w:val="es-ES"/>
        </w:rPr>
      </w:pPr>
      <w:r>
        <w:rPr>
          <w:b/>
          <w:bCs/>
          <w:lang w:val="es-ES"/>
        </w:rPr>
        <w:t xml:space="preserve">Ponderación global (</w:t>
      </w:r>
      <w:r>
        <w:rPr>
          <w:rStyle w:val="VerbatimChar"/>
          <w:b/>
          <w:bCs/>
          <w:lang w:val="es-ES"/>
        </w:rPr>
        <w:t xml:space="preserve">global_weighted</w:t>
      </w:r>
      <w:r>
        <w:rPr>
          <w:b/>
          <w:bCs/>
          <w:lang w:val="es-ES"/>
        </w:rPr>
        <w:t xml:space="preserve">).</w:t>
      </w:r>
      <w:r>
        <w:rPr>
          <w:lang w:val="es-ES"/>
        </w:rPr>
        <w:t xml:space="preserve"> </w:t>
      </w:r>
      <w:r>
        <w:rPr>
          <w:lang w:val="es-ES"/>
        </w:rPr>
        <w:t xml:space="preserve">Aprende cuatro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logits</w:t>
      </w:r>
      <w:r>
        <w:rPr>
          <w:lang w:val="es-ES"/>
        </w:rPr>
        <w:t xml:space="preserve"> </w:t>
      </w:r>
      <w:r>
        <w:rPr>
          <w:lang w:val="es-ES"/>
        </w:rPr>
        <w:t xml:space="preserve">independientes de la entrada.</w:t>
      </w:r>
      <w:r>
        <w:rPr>
          <w:lang w:val="es-ES"/>
        </w:rPr>
        <w:t xml:space="preserve"> </w:t>
      </w:r>
      <w:r>
        <w:rPr>
          <w:lang w:val="es-ES"/>
        </w:rPr>
        <w:t xml:space="preserve">Tras aplicar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softmax</w:t>
      </w:r>
      <w:r>
        <w:rPr>
          <w:lang w:val="es-ES"/>
        </w:rPr>
        <w:t xml:space="preserve">, cada canal se multiplica por su peso y por cuatro para preservar la escala</w:t>
      </w:r>
      <w:r>
        <w:rPr>
          <w:lang w:val="es-ES"/>
        </w:rPr>
        <w:t xml:space="preserve"> </w:t>
      </w:r>
      <w:r>
        <w:rPr>
          <w:lang w:val="es-ES"/>
        </w:rPr>
        <w:t xml:space="preserve">media de activación. Añade cuatro parámetros y aplica la misma combinación a todos los estudios.</w:t>
      </w:r>
    </w:p>
    <w:p>
      <w:pPr>
        <w:rPr>
          <w:lang w:val="es-ES"/>
        </w:rPr>
      </w:pPr>
      <w:r>
        <w:rPr>
          <w:b/>
          <w:bCs/>
          <w:lang w:val="es-ES"/>
        </w:rPr>
        <w:t xml:space="preserve">Compuerta adaptativa basada en la media (</w:t>
      </w:r>
      <w:r>
        <w:rPr>
          <w:rStyle w:val="VerbatimChar"/>
          <w:b/>
          <w:bCs/>
          <w:lang w:val="es-ES"/>
        </w:rPr>
        <w:t xml:space="preserve">adaptive_gating</w:t>
      </w:r>
      <w:r>
        <w:rPr>
          <w:b/>
          <w:bCs/>
          <w:lang w:val="es-ES"/>
        </w:rPr>
        <w:t xml:space="preserve">).</w:t>
      </w:r>
      <w:r>
        <w:rPr>
          <w:lang w:val="es-ES"/>
        </w:rPr>
        <w:t xml:space="preserve"> </w:t>
      </w:r>
      <w:r>
        <w:rPr>
          <w:lang w:val="es-ES"/>
        </w:rPr>
        <w:t xml:space="preserve">Resume cada canal mediante su media</w:t>
      </w:r>
      <w:r>
        <w:rPr>
          <w:lang w:val="es-ES"/>
        </w:rPr>
        <w:t xml:space="preserve"> </w:t>
      </w:r>
      <w:r>
        <w:rPr>
          <w:lang w:val="es-ES"/>
        </w:rPr>
        <w:t xml:space="preserve">espacial y procesa los cuatro descriptores con un MLP 4 → 8 → 4. Sus dos capas contienen 76</w:t>
      </w:r>
      <w:r>
        <w:rPr>
          <w:lang w:val="es-ES"/>
        </w:rPr>
        <w:t xml:space="preserve"> </w:t>
      </w:r>
      <w:r>
        <w:rPr>
          <w:lang w:val="es-ES"/>
        </w:rPr>
        <w:t xml:space="preserve">parámetros: 40 en la primera y 36 en la segunda, incluidos los sesgos. El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softmax</w:t>
      </w:r>
      <w:r>
        <w:rPr>
          <w:lang w:val="es-ES"/>
        </w:rPr>
        <w:t xml:space="preserve"> </w:t>
      </w:r>
      <w:r>
        <w:rPr>
          <w:lang w:val="es-ES"/>
        </w:rPr>
        <w:t xml:space="preserve">se calcula por</w:t>
      </w:r>
      <w:r>
        <w:rPr>
          <w:lang w:val="es-ES"/>
        </w:rPr>
        <w:t xml:space="preserve"> </w:t>
      </w:r>
      <w:r>
        <w:rPr>
          <w:lang w:val="es-ES"/>
        </w:rPr>
        <w:t xml:space="preserve">muestra y sus pesos vuelven a escalarse por cuatro.</w:t>
      </w:r>
    </w:p>
    <w:p>
      <w:pPr>
        <w:rPr>
          <w:lang w:val="es-ES"/>
        </w:rPr>
      </w:pPr>
      <w:r>
        <w:rPr>
          <w:b/>
          <w:bCs/>
          <w:lang w:val="es-ES"/>
        </w:rPr>
        <w:t xml:space="preserve">Compuerta basada en media y desviación (</w:t>
      </w:r>
      <w:r>
        <w:rPr>
          <w:rStyle w:val="VerbatimChar"/>
          <w:b/>
          <w:bCs/>
          <w:lang w:val="es-ES"/>
        </w:rPr>
        <w:t xml:space="preserve">adaptive_gating_meanstd</w:t>
      </w:r>
      <w:r>
        <w:rPr>
          <w:b/>
          <w:bCs/>
          <w:lang w:val="es-ES"/>
        </w:rPr>
        <w:t xml:space="preserve">).</w:t>
      </w:r>
      <w:r>
        <w:rPr>
          <w:lang w:val="es-ES"/>
        </w:rPr>
        <w:t xml:space="preserve"> </w:t>
      </w:r>
      <w:r>
        <w:rPr>
          <w:lang w:val="es-ES"/>
        </w:rPr>
        <w:t xml:space="preserve">Concatena la media y la</w:t>
      </w:r>
      <w:r>
        <w:rPr>
          <w:lang w:val="es-ES"/>
        </w:rPr>
        <w:t xml:space="preserve"> </w:t>
      </w:r>
      <w:r>
        <w:rPr>
          <w:lang w:val="es-ES"/>
        </w:rPr>
        <w:t xml:space="preserve">desviación típica de cada modalidad, por lo que el descriptor pasa de cuatro a ocho valores y el MLP</w:t>
      </w:r>
      <w:r>
        <w:rPr>
          <w:lang w:val="es-ES"/>
        </w:rPr>
        <w:t xml:space="preserve"> </w:t>
      </w:r>
      <w:r>
        <w:rPr>
          <w:lang w:val="es-ES"/>
        </w:rPr>
        <w:t xml:space="preserve">8 → 8 → 4 añade 108 parámetros. La compuerta continúa produciendo pesos globales por modalidad, no</w:t>
      </w:r>
      <w:r>
        <w:rPr>
          <w:lang w:val="es-ES"/>
        </w:rPr>
        <w:t xml:space="preserve"> </w:t>
      </w:r>
      <w:r>
        <w:rPr>
          <w:lang w:val="es-ES"/>
        </w:rPr>
        <w:t xml:space="preserve">mapas espaciales.</w:t>
      </w:r>
    </w:p>
    <w:p>
      <w:pPr>
        <w:rPr>
          <w:lang w:val="es-ES"/>
        </w:rPr>
      </w:pPr>
      <w:r>
        <w:rPr>
          <w:lang w:val="es-ES"/>
        </w:rPr>
        <w:t xml:space="preserve">La variante surgió de un diagnóstico realizado con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scripts/diagnose_adaptive_gating.py</w:t>
      </w:r>
      <w:r>
        <w:rPr>
          <w:lang w:val="es-ES"/>
        </w:rPr>
        <w:t xml:space="preserve"> </w:t>
      </w:r>
      <w:r>
        <w:rPr>
          <w:lang w:val="es-ES"/>
        </w:rPr>
        <w:t xml:space="preserve">sobre el mejor punto de control de una ejecución preliminar de</w:t>
      </w:r>
      <w:r>
        <w:rPr>
          <w:lang w:val="es-ES"/>
        </w:rPr>
        <w:t xml:space="preserve"> </w:t>
      </w:r>
      <w:r>
        <w:rPr>
          <w:lang w:val="es-ES"/>
        </w:rPr>
        <w:t xml:space="preserve">5.000 pasos y 30 estudios de validación. El script aplicó la compuerta una vez a cada volumen</w:t>
      </w:r>
      <w:r>
        <w:rPr>
          <w:lang w:val="es-ES"/>
        </w:rPr>
        <w:t xml:space="preserve"> </w:t>
      </w:r>
      <w:r>
        <w:rPr>
          <w:lang w:val="es-ES"/>
        </w:rPr>
        <w:t xml:space="preserve">completo normalizado, no a los parches de entrenamiento ni a las ventanas de inferencia. En esa</w:t>
      </w:r>
      <w:r>
        <w:rPr>
          <w:lang w:val="es-ES"/>
        </w:rPr>
        <w:t xml:space="preserve"> </w:t>
      </w:r>
      <w:r>
        <w:rPr>
          <w:lang w:val="es-ES"/>
        </w:rPr>
        <w:t xml:space="preserve">comprobación, los pesos de la compuerta basada en la media fueron indistinguibles a tres decimales</w:t>
      </w:r>
      <w:r>
        <w:rPr>
          <w:lang w:val="es-ES"/>
        </w:rPr>
        <w:t xml:space="preserve"> </w:t>
      </w:r>
      <w:r>
        <w:rPr>
          <w:lang w:val="es-ES"/>
        </w:rPr>
        <w:t xml:space="preserve">(desviación reportada: 0,000) y el Dice interno descendió de 0,586 en la época 4 a 0,521 en la época</w:t>
      </w:r>
      <w:r>
        <w:rPr>
          <w:lang w:val="es-ES"/>
        </w:rPr>
        <w:t xml:space="preserve"> </w:t>
      </w:r>
      <w:r>
        <w:rPr>
          <w:lang w:val="es-ES"/>
        </w:rPr>
        <w:t xml:space="preserve">5. Esta coincidencia motivó añadir la desviación típica, sin atribuirle una relación causal con el</w:t>
      </w:r>
      <w:r>
        <w:rPr>
          <w:lang w:val="es-ES"/>
        </w:rPr>
        <w:t xml:space="preserve"> </w:t>
      </w:r>
      <w:r>
        <w:rPr>
          <w:lang w:val="es-ES"/>
        </w:rPr>
        <w:t xml:space="preserve">deterioro. En las exploraciones posteriores sobre 40 volúmenes completos, el artefacto conservado</w:t>
      </w:r>
      <w:r>
        <w:rPr>
          <w:lang w:val="es-ES"/>
        </w:rPr>
        <w:t xml:space="preserve"> </w:t>
      </w:r>
      <w:r>
        <w:rPr>
          <w:lang w:val="es-ES"/>
        </w:rPr>
        <w:t xml:space="preserve">redondea las desviaciones por modalidad a 0,000 o 0,001. El resultado caracteriza esas entradas</w:t>
      </w:r>
      <w:r>
        <w:rPr>
          <w:lang w:val="es-ES"/>
        </w:rPr>
        <w:t xml:space="preserve"> </w:t>
      </w:r>
      <w:r>
        <w:rPr>
          <w:lang w:val="es-ES"/>
        </w:rPr>
        <w:t xml:space="preserve">completas y esos puntos de control preliminares, pero no mide cuánto varían los pesos entre los</w:t>
      </w:r>
      <w:r>
        <w:rPr>
          <w:lang w:val="es-ES"/>
        </w:rPr>
        <w:t xml:space="preserve"> </w:t>
      </w:r>
      <w:r>
        <w:rPr>
          <w:lang w:val="es-ES"/>
        </w:rPr>
        <w:t xml:space="preserve">parches o ventanas que procesa el modelo final.</w:t>
      </w:r>
    </w:p>
    <w:p>
      <w:pPr>
        <w:rPr>
          <w:lang w:val="es-ES"/>
        </w:rPr>
      </w:pPr>
      <w:r>
        <w:rPr>
          <w:lang w:val="es-ES"/>
        </w:rPr>
        <w:t xml:space="preserve">También se implementaron temperatura del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softmax</w:t>
      </w:r>
      <w:r>
        <w:rPr>
          <w:lang w:val="es-ES"/>
        </w:rPr>
        <w:t xml:space="preserve">, tasa de aprendizaje específica para la fusión,</w:t>
      </w:r>
      <w:r>
        <w:rPr>
          <w:lang w:val="es-ES"/>
        </w:rPr>
        <w:t xml:space="preserve"> </w:t>
      </w:r>
      <w:r>
        <w:rPr>
          <w:lang w:val="es-ES"/>
        </w:rPr>
        <w:t xml:space="preserve">activación gradual y regularización de entropía. En las exploraciones de 5.000 pasos, estabilizar la</w:t>
      </w:r>
      <w:r>
        <w:rPr>
          <w:lang w:val="es-ES"/>
        </w:rPr>
        <w:t xml:space="preserve"> </w:t>
      </w:r>
      <w:r>
        <w:rPr>
          <w:lang w:val="es-ES"/>
        </w:rPr>
        <w:t xml:space="preserve">compuerta basada solo en la media produjo un Dice de validación de 0,594 y no eliminó la regresión</w:t>
      </w:r>
      <w:r>
        <w:rPr>
          <w:lang w:val="es-ES"/>
        </w:rPr>
        <w:t xml:space="preserve"> </w:t>
      </w:r>
      <w:r>
        <w:rPr>
          <w:lang w:val="es-ES"/>
        </w:rPr>
        <w:t xml:space="preserve">tardía. Las tres variantes basadas en la media y la desviación típica alcanzaron entre 0,650 y 0,661</w:t>
      </w:r>
      <w:r>
        <w:rPr>
          <w:lang w:val="es-ES"/>
        </w:rPr>
        <w:t xml:space="preserve"> </w:t>
      </w:r>
      <w:r>
        <w:rPr>
          <w:lang w:val="es-ES"/>
        </w:rPr>
        <w:t xml:space="preserve">con la semilla 20260526, pero la repetición con tres semillas no sostuvo esa mejora. La</w:t>
      </w:r>
      <w:r>
        <w:rPr>
          <w:lang w:val="es-ES"/>
        </w:rPr>
        <w:t xml:space="preserve"> </w:t>
      </w:r>
      <w:r>
        <w:rPr>
          <w:lang w:val="es-ES"/>
        </w:rPr>
        <w:t xml:space="preserve">bitácora y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outputs/evaluation/adaptive_gating_explore_diagnosis.txt</w:t>
      </w:r>
      <w:r>
        <w:rPr>
          <w:lang w:val="es-ES"/>
        </w:rPr>
        <w:t xml:space="preserve"> </w:t>
      </w:r>
      <w:r>
        <w:rPr>
          <w:lang w:val="es-ES"/>
        </w:rPr>
        <w:t xml:space="preserve">conservan esta secuencia. Por</w:t>
      </w:r>
      <w:r>
        <w:rPr>
          <w:lang w:val="es-ES"/>
        </w:rPr>
        <w:t xml:space="preserve"> </w:t>
      </w:r>
      <w:r>
        <w:rPr>
          <w:lang w:val="es-ES"/>
        </w:rPr>
        <w:t xml:space="preserve">ello, la ablación final incluyó los dos descriptores, pero mantuvo el protocolo común: temperatura</w:t>
      </w:r>
      <w:r>
        <w:rPr>
          <w:lang w:val="es-ES"/>
        </w:rPr>
        <w:t xml:space="preserve"> </w:t>
      </w:r>
      <w:r>
        <w:rPr>
          <w:lang w:val="es-ES"/>
        </w:rPr>
        <w:t xml:space="preserve">1, sin tasa específica, activación gradual ni penalización de entropía.</w:t>
      </w:r>
    </w:p>
    <w:bookmarkEnd w:id="38"/>
    <w:bookmarkEnd w:id="39"/>
    <w:bookmarkStart w:id="41" w:name="experimentación-fase-4"/>
    <w:p>
      <w:pPr>
        <w:pStyle w:val="Ttulo2"/>
      </w:pPr>
      <w:r>
        <w:t xml:space="preserve">4.4. Experimentación (Fase 4)</w:t>
      </w:r>
    </w:p>
    <w:p>
      <w:pPr>
        <w:rPr>
          <w:lang w:val="es-ES"/>
        </w:rPr>
      </w:pPr>
      <w:r>
        <w:rPr>
          <w:lang w:val="es-ES"/>
        </w:rPr>
        <w:t xml:space="preserve">La evidencia se organizó en una ablación controlada, dos referencias MONAI y una referencia externa</w:t>
      </w:r>
      <w:r>
        <w:rPr>
          <w:lang w:val="es-ES"/>
        </w:rPr>
        <w:t xml:space="preserve"> </w:t>
      </w:r>
      <w:r>
        <w:rPr>
          <w:lang w:val="es-ES"/>
        </w:rPr>
        <w:t xml:space="preserve">nnU-Net.</w:t>
      </w:r>
    </w:p>
    <w:bookmarkStart w:id="42" w:name="configuración-de-entrenamiento-monai"/>
    <w:p>
      <w:pPr>
        <w:pStyle w:val="Ttulo3"/>
      </w:pPr>
      <w:r>
        <w:t xml:space="preserve">4.4.1. Configuración de entrenamiento MONAI</w:t>
      </w:r>
    </w:p>
    <w:p>
      <w:pPr>
        <w:rPr>
          <w:lang w:val="es-ES"/>
        </w:rPr>
      </w:pPr>
      <w:r>
        <w:rPr>
          <w:lang w:val="es-ES"/>
        </w:rPr>
        <w:t xml:space="preserve">Las configuraciones MONAI finales compartieron los hiperparámetros de optimización de la Tabla 11.</w:t>
      </w:r>
      <w:r>
        <w:rPr>
          <w:lang w:val="es-ES"/>
        </w:rPr>
        <w:t xml:space="preserve"> </w:t>
      </w:r>
      <w:r>
        <w:rPr>
          <w:lang w:val="es-ES"/>
        </w:rPr>
        <w:t xml:space="preserve">El presupuesto se fijó mediante la sonda de concatenación conservada en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outputs/train/probe_concat_25k</w:t>
      </w:r>
      <w:r>
        <w:rPr>
          <w:lang w:val="es-ES"/>
        </w:rPr>
        <w:t xml:space="preserve">, ejecutada durante 25.000 pasos y validada al final de cada época</w:t>
      </w:r>
      <w:r>
        <w:rPr>
          <w:lang w:val="es-ES"/>
        </w:rPr>
        <w:t xml:space="preserve"> </w:t>
      </w:r>
      <w:r>
        <w:rPr>
          <w:lang w:val="es-ES"/>
        </w:rPr>
        <w:t xml:space="preserve">sobre ocho estudios fijos. El Dice interno fue 0,686 en el paso 12.485, alcanzó un máximo de 0,691</w:t>
      </w:r>
      <w:r>
        <w:rPr>
          <w:lang w:val="es-ES"/>
        </w:rPr>
        <w:t xml:space="preserve"> </w:t>
      </w:r>
      <w:r>
        <w:rPr>
          <w:lang w:val="es-ES"/>
        </w:rPr>
        <w:t xml:space="preserve">en el 21.565 y terminó en 0,688. La mejora máxima después del paso 12.485 fue, por tanto, de 0,005 y</w:t>
      </w:r>
      <w:r>
        <w:rPr>
          <w:lang w:val="es-ES"/>
        </w:rPr>
        <w:t xml:space="preserve"> </w:t>
      </w:r>
      <w:r>
        <w:rPr>
          <w:lang w:val="es-ES"/>
        </w:rPr>
        <w:t xml:space="preserve">fue pequeña respecto de la fluctuación observada en ese subconjunto, sin que se estimara formalmente</w:t>
      </w:r>
      <w:r>
        <w:rPr>
          <w:lang w:val="es-ES"/>
        </w:rPr>
        <w:t xml:space="preserve"> </w:t>
      </w:r>
      <w:r>
        <w:rPr>
          <w:lang w:val="es-ES"/>
        </w:rPr>
        <w:t xml:space="preserve">su incertidumbre. Se adoptaron 15.000 pasos para cubrir el inicio de la meseta con un presupuesto</w:t>
      </w:r>
      <w:r>
        <w:rPr>
          <w:lang w:val="es-ES"/>
        </w:rPr>
        <w:t xml:space="preserve"> </w:t>
      </w:r>
      <w:r>
        <w:rPr>
          <w:lang w:val="es-ES"/>
        </w:rPr>
        <w:t xml:space="preserve">común. En el perfil local, cuyo YAML conserva un techo de 25.000, el límite efectivo se impuso con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--max-steps 15000</w:t>
      </w:r>
      <w:r>
        <w:rPr>
          <w:lang w:val="es-ES"/>
        </w:rPr>
        <w:t xml:space="preserve">.</w:t>
      </w:r>
    </w:p>
    <w:tbl>
      <w:tblPr>
        <w:tblStyle w:val="Tablaconcuadrcula"/>
        <w:tblW w:type="dxa" w:w="8504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BFBFBF"/>
          <w:left w:val="single" w:sz="5" w:space="0" w:color="BFBFBF"/>
          <w:bottom w:val="single" w:sz="5" w:space="0" w:color="BFBFBF"/>
          <w:right w:val="single" w:sz="5" w:space="0" w:color="BFBFBF"/>
          <w:insideH w:val="single" w:sz="5" w:space="0" w:color="BFBFBF"/>
          <w:insideV w:val="single" w:sz="5" w:space="0" w:color="BFBFBF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Hiperparámetro</w:t>
            </w:r>
          </w:p>
        </w:tc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Optimizador</w:t>
            </w:r>
          </w:p>
        </w:tc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AdamW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Tasa de aprendizaje</w:t>
            </w:r>
          </w:p>
        </w:tc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1 × 10⁻⁴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Planificación</w:t>
            </w:r>
          </w:p>
        </w:tc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i/>
                <w:iCs/>
                <w:color w:val="000000"/>
                <w:sz w:val="17"/>
              </w:rPr>
              <w:t xml:space="preserve">Warmup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lineal de 1.000 pasos hasta la tasa base y decaimiento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Fonts w:ascii="Arial" w:hAnsi="Arial" w:cs="Arial" w:eastAsia="Arial"/>
                <w:i/>
                <w:iCs/>
                <w:color w:val="000000"/>
                <w:sz w:val="17"/>
              </w:rPr>
              <w:t xml:space="preserve">cosine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hasta el 1 % de ella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i/>
                <w:iCs/>
                <w:color w:val="000000"/>
                <w:sz w:val="17"/>
              </w:rPr>
              <w:t xml:space="preserve">Weight decay</w:t>
            </w:r>
          </w:p>
        </w:tc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1 × 10⁻⁵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Función de pérdida</w:t>
            </w:r>
          </w:p>
        </w:tc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DiceCELoss(sigmoid=True, squared_pred=True)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Tamaño de parche</w:t>
            </w:r>
          </w:p>
        </w:tc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128 × 128 × 128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Tamaño de lote</w:t>
            </w:r>
          </w:p>
        </w:tc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1 estudio, con 2 parches generados por estudio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Presupuesto</w:t>
            </w:r>
          </w:p>
        </w:tc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15.000 pasos, aproximadamente 13 épocas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Semillas</w:t>
            </w:r>
          </w:p>
        </w:tc>
        <w:tc>
          <w:tcPr>
            <w:tcW w:type="dxa" w:w="425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20260526, 20260527 y 20260528</w:t>
            </w:r>
          </w:p>
        </w:tc>
      </w:tr>
    </w:tbl>
    <w:p>
      <w:pPr>
        <w:pStyle w:val="Descripcin"/>
        <w:keepLines/>
        <w:rPr>
          <w:lang w:val="es-ES"/>
        </w:rPr>
      </w:pPr>
      <w:r>
        <w:rPr>
          <w:b/>
          <w:lang w:val="es-ES"/>
        </w:rPr>
        <w:t xml:space="preserve">Tabla </w:t>
      </w:r>
      <w:r>
        <w:rPr>
          <w:lang w:val="es-ES"/>
        </w:rPr>
        <w:fldChar w:fldCharType="begin" w:dirty="true"/>
      </w:r>
      <w:r>
        <w:rPr>
          <w:lang w:val="es-ES"/>
        </w:rPr>
        <w:instrText xml:space="preserve"> SEQ Tabla \* ARABIC </w:instrText>
      </w:r>
      <w:r>
        <w:rPr>
          <w:lang w:val="es-ES"/>
        </w:rPr>
        <w:fldChar w:fldCharType="separate"/>
      </w:r>
      <w:r>
        <w:rPr>
          <w:b/>
          <w:lang w:val="es-ES"/>
        </w:rPr>
        <w:t>11</w:t>
      </w:r>
      <w:r>
        <w:rPr>
          <w:lang w:val="es-ES"/>
        </w:rPr>
        <w:fldChar w:fldCharType="end"/>
      </w:r>
      <w:r>
        <w:rPr>
          <w:b/>
          <w:lang w:val="es-ES"/>
        </w:rPr>
        <w:t xml:space="preserve">. </w:t>
      </w:r>
      <w:r>
        <w:rPr>
          <w:lang w:val="es-ES"/>
        </w:rPr>
        <w:t>Hiperparámetros efectivos del protocolo MONAI final.</w:t>
      </w:r>
    </w:p>
    <w:p>
      <w:pPr>
        <w:rPr>
          <w:lang w:val="es-ES"/>
        </w:rPr>
      </w:pPr>
      <w:r>
        <w:rPr>
          <w:lang w:val="es-ES"/>
        </w:rPr>
        <w:t xml:space="preserve">Los valores de la Tabla 11 se aplicaron a las seis configuraciones MONAI —cuatro configuraciones</w:t>
      </w:r>
      <w:r>
        <w:rPr>
          <w:lang w:val="es-ES"/>
        </w:rPr>
        <w:t xml:space="preserve"> </w:t>
      </w:r>
      <w:r>
        <w:rPr>
          <w:lang w:val="es-ES"/>
        </w:rPr>
        <w:t xml:space="preserve">residuales, Attention U-Net y Swin-UNETR, cada una con tres semillas—, pero no a nnU-Net. La</w:t>
      </w:r>
      <w:r>
        <w:rPr>
          <w:lang w:val="es-ES"/>
        </w:rPr>
        <w:t xml:space="preserve"> </w:t>
      </w:r>
      <w:r>
        <w:rPr>
          <w:lang w:val="es-ES"/>
        </w:rPr>
        <w:t xml:space="preserve">igualdad de hiperparámetros permite una ablación controlada dentro de la familia residual. La</w:t>
      </w:r>
      <w:r>
        <w:rPr>
          <w:lang w:val="es-ES"/>
        </w:rPr>
        <w:t xml:space="preserve"> </w:t>
      </w:r>
      <w:r>
        <w:rPr>
          <w:lang w:val="es-ES"/>
        </w:rPr>
        <w:t xml:space="preserve">comparación entre familias sigue siendo descriptiva porque cambian el dispositivo, AMP y el</w:t>
      </w:r>
      <w:r>
        <w:rPr>
          <w:lang w:val="es-ES"/>
        </w:rPr>
        <w:t xml:space="preserve"> </w:t>
      </w:r>
      <w:r>
        <w:rPr>
          <w:lang w:val="es-ES"/>
        </w:rPr>
        <w:t xml:space="preserve">solapamiento de inferencia.</w:t>
      </w:r>
    </w:p>
    <w:p>
      <w:pPr>
        <w:rPr>
          <w:lang w:val="es-ES"/>
        </w:rPr>
      </w:pPr>
      <w:r>
        <w:rPr>
          <w:rStyle w:val="VerbatimChar"/>
          <w:lang w:val="es-ES"/>
        </w:rPr>
        <w:t xml:space="preserve">DiceCELoss</w:t>
      </w:r>
      <w:r>
        <w:rPr>
          <w:lang w:val="es-ES"/>
        </w:rPr>
        <w:t xml:space="preserve"> </w:t>
      </w:r>
      <w:r>
        <w:rPr>
          <w:lang w:val="es-ES"/>
        </w:rPr>
        <w:t xml:space="preserve">combina el término Dice y la entropía cruzada binaria sobre los tres canales. El</w:t>
      </w:r>
      <w:r>
        <w:rPr>
          <w:lang w:val="es-ES"/>
        </w:rPr>
        <w:t xml:space="preserve"> </w:t>
      </w:r>
      <w:r>
        <w:rPr>
          <w:lang w:val="es-ES"/>
        </w:rPr>
        <w:t xml:space="preserve">planificador se adoptó para distribuir la tasa de aprendizaje dentro del presupuesto fijado. No se</w:t>
      </w:r>
      <w:r>
        <w:rPr>
          <w:lang w:val="es-ES"/>
        </w:rPr>
        <w:t xml:space="preserve"> </w:t>
      </w:r>
      <w:r>
        <w:rPr>
          <w:lang w:val="es-ES"/>
        </w:rPr>
        <w:t xml:space="preserve">utiliza su incorporación como evidencia causal de superioridad frente a la tasa constante de las</w:t>
      </w:r>
      <w:r>
        <w:rPr>
          <w:lang w:val="es-ES"/>
        </w:rPr>
        <w:t xml:space="preserve"> </w:t>
      </w:r>
      <w:r>
        <w:rPr>
          <w:lang w:val="es-ES"/>
        </w:rPr>
        <w:t xml:space="preserve">exploraciones preliminares.</w:t>
      </w:r>
    </w:p>
    <w:bookmarkEnd w:id="40"/>
    <w:bookmarkStart w:id="43" w:name="X2a0fa5c585bb6ada978b5f929d9f6828030d60a"/>
    <w:p>
      <w:pPr>
        <w:pStyle w:val="Ttulo3"/>
      </w:pPr>
      <w:r>
        <w:t xml:space="preserve">4.4.2. Bucle de entrenamiento y selección de puntos de control</w:t>
      </w:r>
    </w:p>
    <w:p>
      <w:pPr>
        <w:rPr>
          <w:lang w:val="es-ES"/>
        </w:rPr>
      </w:pPr>
      <w:r>
        <w:rPr>
          <w:rStyle w:val="VerbatimChar"/>
          <w:lang w:val="es-ES"/>
        </w:rPr>
        <w:t xml:space="preserve">train_one_run</w:t>
      </w:r>
      <w:r>
        <w:rPr>
          <w:lang w:val="es-ES"/>
        </w:rPr>
        <w:t xml:space="preserve"> </w:t>
      </w:r>
      <w:r>
        <w:rPr>
          <w:lang w:val="es-ES"/>
        </w:rPr>
        <w:t xml:space="preserve">gestiona la carga de lotes, el cálculo de la pérdida, la retropropagación, el paso de</w:t>
      </w:r>
      <w:r>
        <w:rPr>
          <w:lang w:val="es-ES"/>
        </w:rPr>
        <w:t xml:space="preserve"> </w:t>
      </w:r>
      <w:r>
        <w:rPr>
          <w:lang w:val="es-ES"/>
        </w:rPr>
        <w:t xml:space="preserve">AdamW, el planificador y la validación periódica. En CUDA usa autocast y escalado de gradiente. En</w:t>
      </w:r>
      <w:r>
        <w:rPr>
          <w:lang w:val="es-ES"/>
        </w:rPr>
        <w:t xml:space="preserve"> </w:t>
      </w:r>
      <w:r>
        <w:rPr>
          <w:lang w:val="es-ES"/>
        </w:rPr>
        <w:t xml:space="preserve">MPS ambas funciones permanecen desactivadas. El entrenamiento se limita por número de pasos, aunque</w:t>
      </w:r>
      <w:r>
        <w:rPr>
          <w:lang w:val="es-ES"/>
        </w:rPr>
        <w:t xml:space="preserve"> </w:t>
      </w:r>
      <w:r>
        <w:rPr>
          <w:lang w:val="es-ES"/>
        </w:rPr>
        <w:t xml:space="preserve">el registro conserva también la época alcanzada.</w:t>
      </w:r>
    </w:p>
    <w:p>
      <w:pPr>
        <w:rPr>
          <w:lang w:val="es-ES"/>
        </w:rPr>
      </w:pPr>
      <w:r>
        <w:rPr>
          <w:lang w:val="es-ES"/>
        </w:rPr>
        <w:t xml:space="preserve">Al final de cada época —y al alcanzar el límite de pasos— se calcula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mean_dice</w:t>
      </w:r>
      <w:r>
        <w:rPr>
          <w:lang w:val="es-ES"/>
        </w:rPr>
        <w:t xml:space="preserve">, la media de Dice</w:t>
      </w:r>
      <w:r>
        <w:rPr>
          <w:lang w:val="es-ES"/>
        </w:rPr>
        <w:t xml:space="preserve"> </w:t>
      </w:r>
      <w:r>
        <w:rPr>
          <w:lang w:val="es-ES"/>
        </w:rPr>
        <w:t xml:space="preserve">de ET, TC y WT. En las pruebas preliminares se aumentó la validación interna de dos 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ocho lotes</w:t>
      </w:r>
      <w:r>
        <w:rPr>
          <w:lang w:val="es-ES"/>
        </w:rPr>
        <w:t xml:space="preserve"> </w:t>
      </w:r>
      <w:r>
        <w:rPr>
          <w:lang w:val="es-ES"/>
        </w:rPr>
        <w:t xml:space="preserve">para reducir el ruido sin renunciar a una comprobación al final de cada época. Como el cargador</w:t>
      </w:r>
      <w:r>
        <w:rPr>
          <w:lang w:val="es-ES"/>
        </w:rPr>
        <w:t xml:space="preserve"> </w:t>
      </w:r>
      <w:r>
        <w:rPr>
          <w:lang w:val="es-ES"/>
        </w:rPr>
        <w:t xml:space="preserve">tiene tamaño de lote uno y no baraja, se usan siempre los ocho primeros estudios de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val.csv</w:t>
      </w:r>
      <w:r>
        <w:rPr>
          <w:lang w:val="es-ES"/>
        </w:rPr>
        <w:t xml:space="preserve">. No se</w:t>
      </w:r>
      <w:r>
        <w:rPr>
          <w:lang w:val="es-ES"/>
        </w:rPr>
        <w:t xml:space="preserve"> </w:t>
      </w:r>
      <w:r>
        <w:rPr>
          <w:lang w:val="es-ES"/>
        </w:rPr>
        <w:t xml:space="preserve">conservó un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benchmark</w:t>
      </w:r>
      <w:r>
        <w:rPr>
          <w:lang w:val="es-ES"/>
        </w:rPr>
        <w:t xml:space="preserve"> </w:t>
      </w:r>
      <w:r>
        <w:rPr>
          <w:lang w:val="es-ES"/>
        </w:rPr>
        <w:t xml:space="preserve">que cuantifique el ahorro frente a validar los 243 estudios, por lo que ocho</w:t>
      </w:r>
      <w:r>
        <w:rPr>
          <w:lang w:val="es-ES"/>
        </w:rPr>
        <w:t xml:space="preserve"> </w:t>
      </w:r>
      <w:r>
        <w:rPr>
          <w:lang w:val="es-ES"/>
        </w:rPr>
        <w:t xml:space="preserve">debe entenderse como un compromiso operativo y no como un tamaño óptimo.</w:t>
      </w:r>
    </w:p>
    <w:p>
      <w:pPr>
        <w:rPr>
          <w:lang w:val="es-ES"/>
        </w:rPr>
      </w:pPr>
      <w:r>
        <w:rPr>
          <w:lang w:val="es-ES"/>
        </w:rPr>
        <w:t xml:space="preserve">Esta métrica selecciona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best.pt</w:t>
      </w:r>
      <w:r>
        <w:rPr>
          <w:lang w:val="es-ES"/>
        </w:rPr>
        <w:t xml:space="preserve">, mientras que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last.pt</w:t>
      </w:r>
      <w:r>
        <w:rPr>
          <w:lang w:val="es-ES"/>
        </w:rPr>
        <w:t xml:space="preserve"> </w:t>
      </w:r>
      <w:r>
        <w:rPr>
          <w:lang w:val="es-ES"/>
        </w:rPr>
        <w:t xml:space="preserve">conserva el estado más reciente. El riesgo</w:t>
      </w:r>
      <w:r>
        <w:rPr>
          <w:lang w:val="es-ES"/>
        </w:rPr>
        <w:t xml:space="preserve"> </w:t>
      </w:r>
      <w:r>
        <w:rPr>
          <w:lang w:val="es-ES"/>
        </w:rPr>
        <w:t xml:space="preserve">aceptado es que la selección dependa de un subconjunto pequeño, con mayor ruido y una composición de</w:t>
      </w:r>
      <w:r>
        <w:rPr>
          <w:lang w:val="es-ES"/>
        </w:rPr>
        <w:t xml:space="preserve"> </w:t>
      </w:r>
      <w:r>
        <w:rPr>
          <w:lang w:val="es-ES"/>
        </w:rPr>
        <w:t xml:space="preserve">ET, TC y WT potencialmente poco representativa. La evaluación reportable se ejecuta después con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predict</w:t>
      </w:r>
      <w:r>
        <w:rPr>
          <w:lang w:val="es-ES"/>
        </w:rPr>
        <w:t xml:space="preserve"> </w:t>
      </w:r>
      <w:r>
        <w:rPr>
          <w:lang w:val="es-ES"/>
        </w:rPr>
        <w:t xml:space="preserve">y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evaluate</w:t>
      </w:r>
      <w:r>
        <w:rPr>
          <w:lang w:val="es-ES"/>
        </w:rPr>
        <w:t xml:space="preserve"> </w:t>
      </w:r>
      <w:r>
        <w:rPr>
          <w:lang w:val="es-ES"/>
        </w:rPr>
        <w:t xml:space="preserve">sobre la partición completa.</w:t>
      </w:r>
    </w:p>
    <w:p>
      <w:pPr>
        <w:rPr>
          <w:lang w:val="es-ES"/>
        </w:rPr>
      </w:pPr>
      <w:r>
        <w:rPr>
          <w:lang w:val="es-ES"/>
        </w:rPr>
        <w:t xml:space="preserve">Cada punto de control guarda el estado del modelo y del optimizador, las configuraciones, la época,</w:t>
      </w:r>
      <w:r>
        <w:rPr>
          <w:lang w:val="es-ES"/>
        </w:rPr>
        <w:t xml:space="preserve"> </w:t>
      </w:r>
      <w:r>
        <w:rPr>
          <w:lang w:val="es-ES"/>
        </w:rPr>
        <w:t xml:space="preserve">el paso global y la mejor métrica observada.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best.pt</w:t>
      </w:r>
      <w:r>
        <w:rPr>
          <w:lang w:val="es-ES"/>
        </w:rPr>
        <w:t xml:space="preserve"> </w:t>
      </w:r>
      <w:r>
        <w:rPr>
          <w:lang w:val="es-ES"/>
        </w:rPr>
        <w:t xml:space="preserve">es el artefacto utilizado posteriormente por</w:t>
      </w:r>
      <w:r>
        <w:rPr>
          <w:lang w:val="es-ES"/>
        </w:rPr>
        <w:t xml:space="preserve"> </w:t>
      </w:r>
      <w:r>
        <w:rPr>
          <w:lang w:val="es-ES"/>
        </w:rPr>
        <w:t xml:space="preserve">el subcomando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predict</w:t>
      </w:r>
      <w:r>
        <w:rPr>
          <w:lang w:val="es-ES"/>
        </w:rPr>
        <w:t xml:space="preserve">.</w:t>
      </w:r>
    </w:p>
    <w:bookmarkEnd w:id="41"/>
    <w:bookmarkStart w:id="44" w:name="Xaecb9a9add0ec443da9678302f483ba2a908249"/>
    <w:p>
      <w:pPr>
        <w:pStyle w:val="Ttulo3"/>
      </w:pPr>
      <w:r>
        <w:t xml:space="preserve">4.4.3. Diseño de las comparaciones y reproducibilidad</w:t>
      </w:r>
    </w:p>
    <w:p>
      <w:pPr>
        <w:rPr>
          <w:lang w:val="es-ES"/>
        </w:rPr>
      </w:pPr>
      <w:r>
        <w:rPr>
          <w:lang w:val="es-ES"/>
        </w:rPr>
        <w:t xml:space="preserve">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ablación de fusión</w:t>
      </w:r>
      <w:r>
        <w:rPr>
          <w:lang w:val="es-ES"/>
        </w:rPr>
        <w:t xml:space="preserve"> </w:t>
      </w:r>
      <w:r>
        <w:rPr>
          <w:lang w:val="es-ES"/>
        </w:rPr>
        <w:t xml:space="preserve">constituye la comparación controlada del trabajo. Sus cuatro</w:t>
      </w:r>
      <w:r>
        <w:rPr>
          <w:lang w:val="es-ES"/>
        </w:rPr>
        <w:t xml:space="preserve"> </w:t>
      </w:r>
      <w:r>
        <w:rPr>
          <w:lang w:val="es-ES"/>
        </w:rPr>
        <w:t xml:space="preserve">configuraciones comparten la Residual U-Net, los estudios y particiones, las transformaciones, la</w:t>
      </w:r>
      <w:r>
        <w:rPr>
          <w:lang w:val="es-ES"/>
        </w:rPr>
        <w:t xml:space="preserve"> </w:t>
      </w:r>
      <w:r>
        <w:rPr>
          <w:lang w:val="es-ES"/>
        </w:rPr>
        <w:t xml:space="preserve">pérdida, el optimizador, el presupuesto, el entorno MPS y el protocolo de inferencia. Cada una se</w:t>
      </w:r>
      <w:r>
        <w:rPr>
          <w:lang w:val="es-ES"/>
        </w:rPr>
        <w:t xml:space="preserve"> </w:t>
      </w:r>
      <w:r>
        <w:rPr>
          <w:lang w:val="es-ES"/>
        </w:rPr>
        <w:t xml:space="preserve">entrenó con las tres semillas y sin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ensemble</w:t>
      </w:r>
      <w:r>
        <w:rPr>
          <w:lang w:val="es-ES"/>
        </w:rPr>
        <w:t xml:space="preserve">. El diseño reduce las diferencias deliberadas al</w:t>
      </w:r>
      <w:r>
        <w:rPr>
          <w:lang w:val="es-ES"/>
        </w:rPr>
        <w:t xml:space="preserve"> </w:t>
      </w:r>
      <w:r>
        <w:rPr>
          <w:lang w:val="es-ES"/>
        </w:rPr>
        <w:t xml:space="preserve">bloque de fusión y permite interpretar los resultados dentro de la variabilidad observada, sin</w:t>
      </w:r>
      <w:r>
        <w:rPr>
          <w:lang w:val="es-ES"/>
        </w:rPr>
        <w:t xml:space="preserve"> </w:t>
      </w:r>
      <w:r>
        <w:rPr>
          <w:lang w:val="es-ES"/>
        </w:rPr>
        <w:t xml:space="preserve">suponer un aislamiento causal perfecto.</w:t>
      </w:r>
    </w:p>
    <w:p>
      <w:pPr>
        <w:rPr>
          <w:lang w:val="es-ES"/>
        </w:rPr>
      </w:pPr>
      <w:r>
        <w:rPr>
          <w:lang w:val="es-ES"/>
        </w:rPr>
        <w:t xml:space="preserve">Attention U-Net y Swin-UNETR compartieron entre sí el protocolo MONAI A100, incluidas AMP y tres</w:t>
      </w:r>
      <w:r>
        <w:rPr>
          <w:lang w:val="es-ES"/>
        </w:rPr>
        <w:t xml:space="preserve"> </w:t>
      </w:r>
      <w:r>
        <w:rPr>
          <w:lang w:val="es-ES"/>
        </w:rPr>
        <w:t xml:space="preserve">semillas. En cambio, la comparación de estas arquitecturas con las residuales no es causal. Además</w:t>
      </w:r>
      <w:r>
        <w:rPr>
          <w:lang w:val="es-ES"/>
        </w:rPr>
        <w:t xml:space="preserve"> </w:t>
      </w:r>
      <w:r>
        <w:rPr>
          <w:lang w:val="es-ES"/>
        </w:rPr>
        <w:t xml:space="preserve">de la arquitectura, cambian el dispositivo y el solapamiento de inferencia. nnU-Net se separa aún</w:t>
      </w:r>
      <w:r>
        <w:rPr>
          <w:lang w:val="es-ES"/>
        </w:rPr>
        <w:t xml:space="preserve"> </w:t>
      </w:r>
      <w:r>
        <w:rPr>
          <w:lang w:val="es-ES"/>
        </w:rPr>
        <w:t xml:space="preserve">más de este protocolo, pues utiliza su propio preprocesamiento y entrenamiento y solo una ejecución</w:t>
      </w:r>
      <w:r>
        <w:rPr>
          <w:lang w:val="es-ES"/>
        </w:rPr>
        <w:t xml:space="preserve"> </w:t>
      </w:r>
      <w:r>
        <w:rPr>
          <w:lang w:val="es-ES"/>
        </w:rPr>
        <w:t xml:space="preserve">del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fold</w:t>
      </w:r>
      <w:r>
        <w:rPr>
          <w:lang w:val="es-ES"/>
        </w:rPr>
        <w:t xml:space="preserve"> </w:t>
      </w:r>
      <w:r>
        <w:rPr>
          <w:lang w:val="es-ES"/>
        </w:rPr>
        <w:t xml:space="preserve">0.</w:t>
      </w:r>
    </w:p>
    <w:p>
      <w:pPr>
        <w:rPr>
          <w:lang w:val="es-ES"/>
        </w:rPr>
      </w:pPr>
      <w:r>
        <w:rPr>
          <w:lang w:val="es-ES"/>
        </w:rPr>
        <w:t xml:space="preserve">La reproducibilidad práctica se apoya en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set_reproducibility</w:t>
      </w:r>
      <w:r>
        <w:rPr>
          <w:lang w:val="es-ES"/>
        </w:rPr>
        <w:t xml:space="preserve">, que propaga cada semilla a Python,</w:t>
      </w:r>
      <w:r>
        <w:rPr>
          <w:lang w:val="es-ES"/>
        </w:rPr>
        <w:t xml:space="preserve"> </w:t>
      </w:r>
      <w:r>
        <w:rPr>
          <w:lang w:val="es-ES"/>
        </w:rPr>
        <w:t xml:space="preserve">NumPy, PyTorch y MONAI, y en la conservación de particiones, YAML, comandos y métricas. Los puntos</w:t>
      </w:r>
      <w:r>
        <w:rPr>
          <w:lang w:val="es-ES"/>
        </w:rPr>
        <w:t xml:space="preserve"> </w:t>
      </w:r>
      <w:r>
        <w:rPr>
          <w:lang w:val="es-ES"/>
        </w:rPr>
        <w:t xml:space="preserve">de control pesados y parte de los registros de las ejecuciones A100 permanecen fuera del</w:t>
      </w:r>
      <w:r>
        <w:rPr>
          <w:lang w:val="es-ES"/>
        </w:rPr>
        <w:t xml:space="preserve"> </w:t>
      </w:r>
      <w:r>
        <w:rPr>
          <w:lang w:val="es-ES"/>
        </w:rPr>
        <w:t xml:space="preserve">repositorio, por lo que su auditoría requiere recuperar esos artefactos externos. Las tres semillas</w:t>
      </w:r>
      <w:r>
        <w:rPr>
          <w:lang w:val="es-ES"/>
        </w:rPr>
        <w:t xml:space="preserve"> </w:t>
      </w:r>
      <w:r>
        <w:rPr>
          <w:lang w:val="es-ES"/>
        </w:rPr>
        <w:t xml:space="preserve">permiten describir la dispersión de los modelos MONAI, pero no sustituyen un contraste inferencial</w:t>
      </w:r>
      <w:r>
        <w:rPr>
          <w:lang w:val="es-ES"/>
        </w:rPr>
        <w:t xml:space="preserve"> </w:t>
      </w:r>
      <w:r>
        <w:rPr>
          <w:lang w:val="es-ES"/>
        </w:rPr>
        <w:t xml:space="preserve">con un número mayor de repeticiones.</w:t>
      </w:r>
    </w:p>
    <w:bookmarkEnd w:id="42"/>
    <w:bookmarkStart w:id="45" w:name="X2aa9dffcadbce6c277798436e573a9e5d7ae423"/>
    <w:p>
      <w:pPr>
        <w:pStyle w:val="Ttulo3"/>
      </w:pPr>
      <w:r>
        <w:t xml:space="preserve">4.4.4. Estudio de ablación de estrategias de fusión</w:t>
      </w:r>
    </w:p>
    <w:p>
      <w:pPr>
        <w:rPr>
          <w:lang w:val="es-ES"/>
        </w:rPr>
      </w:pPr>
      <w:r>
        <w:rPr>
          <w:lang w:val="es-ES"/>
        </w:rPr>
        <w:t xml:space="preserve">La ablación compara concatenación, ponderación global, compuerta por media y compuerta por media y</w:t>
      </w:r>
      <w:r>
        <w:rPr>
          <w:lang w:val="es-ES"/>
        </w:rPr>
        <w:t xml:space="preserve"> </w:t>
      </w:r>
      <w:r>
        <w:rPr>
          <w:lang w:val="es-ES"/>
        </w:rPr>
        <w:t xml:space="preserve">desviación típica sobre la misma Residual U-Net. Además de Dice y HD95, se conservaron los pesos de</w:t>
      </w:r>
      <w:r>
        <w:rPr>
          <w:lang w:val="es-ES"/>
        </w:rPr>
        <w:t xml:space="preserve"> </w:t>
      </w:r>
      <w:r>
        <w:rPr>
          <w:lang w:val="es-ES"/>
        </w:rPr>
        <w:t xml:space="preserve">la variante global.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scripts/diagnose_adaptive_gating.py</w:t>
      </w:r>
      <w:r>
        <w:rPr>
          <w:lang w:val="es-ES"/>
        </w:rPr>
        <w:t xml:space="preserve"> </w:t>
      </w:r>
      <w:r>
        <w:rPr>
          <w:lang w:val="es-ES"/>
        </w:rPr>
        <w:t xml:space="preserve">se utilizó en las exploraciones</w:t>
      </w:r>
      <w:r>
        <w:rPr>
          <w:lang w:val="es-ES"/>
        </w:rPr>
        <w:t xml:space="preserve"> </w:t>
      </w:r>
      <w:r>
        <w:rPr>
          <w:lang w:val="es-ES"/>
        </w:rPr>
        <w:t xml:space="preserve">preliminares para calcular pesos medios, desviación y entropía sobre 40 volúmenes completos y</w:t>
      </w:r>
      <w:r>
        <w:rPr>
          <w:lang w:val="es-ES"/>
        </w:rPr>
        <w:t xml:space="preserve"> </w:t>
      </w:r>
      <w:r>
        <w:rPr>
          <w:lang w:val="es-ES"/>
        </w:rPr>
        <w:t xml:space="preserve">recuperar la curva de validación. El repositorio no conserva una salida equivalente de los puntos de</w:t>
      </w:r>
      <w:r>
        <w:rPr>
          <w:lang w:val="es-ES"/>
        </w:rPr>
        <w:t xml:space="preserve"> </w:t>
      </w:r>
      <w:r>
        <w:rPr>
          <w:lang w:val="es-ES"/>
        </w:rPr>
        <w:t xml:space="preserve">control finales ni un registro de pesos por parche o ventana. Por tanto, ese diagnóstico documenta</w:t>
      </w:r>
      <w:r>
        <w:rPr>
          <w:lang w:val="es-ES"/>
        </w:rPr>
        <w:t xml:space="preserve"> </w:t>
      </w:r>
      <w:r>
        <w:rPr>
          <w:lang w:val="es-ES"/>
        </w:rPr>
        <w:t xml:space="preserve">la decisión de diseño, pero no caracteriza la operación de las compuertas finales ni demuestra la</w:t>
      </w:r>
      <w:r>
        <w:rPr>
          <w:lang w:val="es-ES"/>
        </w:rPr>
        <w:t xml:space="preserve"> </w:t>
      </w:r>
      <w:r>
        <w:rPr>
          <w:lang w:val="es-ES"/>
        </w:rPr>
        <w:t xml:space="preserve">causa del rendimiento. Los resultados se presentan en el Capítulo 5.</w:t>
      </w:r>
    </w:p>
    <w:bookmarkEnd w:id="43"/>
    <w:bookmarkStart w:id="46" w:name="nnu-net-como-referencia-externa"/>
    <w:p>
      <w:pPr>
        <w:pStyle w:val="Ttulo3"/>
      </w:pPr>
      <w:r>
        <w:t xml:space="preserve">4.4.5. nnU-Net como referencia externa</w:t>
      </w:r>
    </w:p>
    <w:p>
      <w:pPr>
        <w:rPr>
          <w:lang w:val="es-ES"/>
        </w:rPr>
      </w:pPr>
      <w:r>
        <w:rPr>
          <w:lang w:val="es-ES"/>
        </w:rPr>
        <w:t xml:space="preserve">nnU-Net se ejecutó fuera de la factoría MONAI. El script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scripts/nnunet/prepare_brats_gli_nnunet_full.py</w:t>
      </w:r>
      <w:r>
        <w:rPr>
          <w:lang w:val="es-ES"/>
        </w:rPr>
        <w:t xml:space="preserve"> </w:t>
      </w:r>
      <w:r>
        <w:rPr>
          <w:lang w:val="es-ES"/>
        </w:rPr>
        <w:t xml:space="preserve">convirtió las particiones al formato nativo de</w:t>
      </w:r>
      <w:r>
        <w:rPr>
          <w:lang w:val="es-ES"/>
        </w:rPr>
        <w:t xml:space="preserve"> </w:t>
      </w:r>
      <w:r>
        <w:rPr>
          <w:lang w:val="es-ES"/>
        </w:rPr>
        <w:t xml:space="preserve">nnU-Net v2 mediante un NIfTI por modalidad y estudio, con nombres de canal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_0000</w:t>
      </w:r>
      <w:r>
        <w:rPr>
          <w:lang w:val="es-ES"/>
        </w:rPr>
        <w:t xml:space="preserve"> </w:t>
      </w:r>
      <w:r>
        <w:rPr>
          <w:lang w:val="es-ES"/>
        </w:rPr>
        <w:t xml:space="preserve">a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_0003</w:t>
      </w:r>
      <w:r>
        <w:rPr>
          <w:lang w:val="es-ES"/>
        </w:rPr>
        <w:t xml:space="preserve">, y</w:t>
      </w:r>
      <w:r>
        <w:rPr>
          <w:lang w:val="es-ES"/>
        </w:rPr>
        <w:t xml:space="preserve"> </w:t>
      </w:r>
      <w:r>
        <w:rPr>
          <w:lang w:val="es-ES"/>
        </w:rPr>
        <w:t xml:space="preserve">conservó las etiquetas 0–4. En el entorno A100 se usó el conjunto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Dataset725_BraTSGLI2024</w:t>
      </w:r>
      <w:r>
        <w:rPr>
          <w:lang w:val="es-ES"/>
        </w:rPr>
        <w:t xml:space="preserve">, se</w:t>
      </w:r>
      <w:r>
        <w:rPr>
          <w:lang w:val="es-ES"/>
        </w:rPr>
        <w:t xml:space="preserve"> </w:t>
      </w:r>
      <w:r>
        <w:rPr>
          <w:lang w:val="es-ES"/>
        </w:rPr>
        <w:t xml:space="preserve">ejecutaron la planificación y el preprocesamiento propios de nnU-Net y se entrenó la configuración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3d_fullres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fold</w:t>
      </w:r>
      <w:r>
        <w:rPr>
          <w:lang w:val="es-ES"/>
        </w:rPr>
        <w:t xml:space="preserve"> </w:t>
      </w:r>
      <w:r>
        <w:rPr>
          <w:lang w:val="es-ES"/>
        </w:rPr>
        <w:t xml:space="preserve">0, con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nnUNetTrainer_250epochs</w:t>
      </w:r>
      <w:r>
        <w:rPr>
          <w:lang w:val="es-ES"/>
        </w:rPr>
        <w:t xml:space="preserve">.</w:t>
      </w:r>
    </w:p>
    <w:p>
      <w:pPr>
        <w:rPr>
          <w:lang w:val="es-ES"/>
        </w:rPr>
      </w:pPr>
      <w:r>
        <w:rPr>
          <w:lang w:val="es-ES"/>
        </w:rPr>
        <w:t xml:space="preserve">Según la bitácora y el registro conservado fuera del repositorio, el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fold</w:t>
      </w:r>
      <w:r>
        <w:rPr>
          <w:lang w:val="es-ES"/>
        </w:rPr>
        <w:t xml:space="preserve"> </w:t>
      </w:r>
      <w:r>
        <w:rPr>
          <w:lang w:val="es-ES"/>
        </w:rPr>
        <w:t xml:space="preserve">interno dividió los</w:t>
      </w:r>
      <w:r>
        <w:rPr>
          <w:lang w:val="es-ES"/>
        </w:rPr>
        <w:t xml:space="preserve"> </w:t>
      </w:r>
      <w:r>
        <w:rPr>
          <w:lang w:val="es-ES"/>
        </w:rPr>
        <w:t xml:space="preserve">1.135 estudios proporcionados a nnU-Net en 908 para ajuste y 227 para validación. El repositorio no</w:t>
      </w:r>
      <w:r>
        <w:rPr>
          <w:lang w:val="es-ES"/>
        </w:rPr>
        <w:t xml:space="preserve"> </w:t>
      </w:r>
      <w:r>
        <w:rPr>
          <w:lang w:val="es-ES"/>
        </w:rPr>
        <w:t xml:space="preserve">incluye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splits_final.json</w:t>
      </w:r>
      <w:r>
        <w:rPr>
          <w:lang w:val="es-ES"/>
        </w:rPr>
        <w:t xml:space="preserve">, por lo que no permite auditar qué estudios integraron cada parte del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fold</w:t>
      </w:r>
      <w:r>
        <w:rPr>
          <w:lang w:val="es-ES"/>
        </w:rPr>
        <w:t xml:space="preserve">. Tras seleccionar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checkpoint_best.pth</w:t>
      </w:r>
      <w:r>
        <w:rPr>
          <w:lang w:val="es-ES"/>
        </w:rPr>
        <w:t xml:space="preserve">, se regeneró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imagesTs</w:t>
      </w:r>
      <w:r>
        <w:rPr>
          <w:lang w:val="es-ES"/>
        </w:rPr>
        <w:t xml:space="preserve"> </w:t>
      </w:r>
      <w:r>
        <w:rPr>
          <w:lang w:val="es-ES"/>
        </w:rPr>
        <w:t xml:space="preserve">con los 243 estudios de la</w:t>
      </w:r>
      <w:r>
        <w:rPr>
          <w:lang w:val="es-ES"/>
        </w:rPr>
        <w:t xml:space="preserve"> </w:t>
      </w:r>
      <w:r>
        <w:rPr>
          <w:lang w:val="es-ES"/>
        </w:rPr>
        <w:t xml:space="preserve">partición test del TFM y se realizó la predicción con la CLI nativa. Solo se efectuó una ejecución,</w:t>
      </w:r>
      <w:r>
        <w:rPr>
          <w:lang w:val="es-ES"/>
        </w:rPr>
        <w:t xml:space="preserve"> </w:t>
      </w:r>
      <w:r>
        <w:rPr>
          <w:lang w:val="es-ES"/>
        </w:rPr>
        <w:t xml:space="preserve">sin conjunto de cinco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folds</w:t>
      </w:r>
      <w:r>
        <w:rPr>
          <w:lang w:val="es-ES"/>
        </w:rPr>
        <w:t xml:space="preserve"> </w:t>
      </w:r>
      <w:r>
        <w:rPr>
          <w:lang w:val="es-ES"/>
        </w:rPr>
        <w:t xml:space="preserve">ni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ensemble</w:t>
      </w:r>
      <w:r>
        <w:rPr>
          <w:lang w:val="es-ES"/>
        </w:rPr>
        <w:t xml:space="preserve">. Sus predicciones se evaluaron con el mismo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metrics.py</w:t>
      </w:r>
      <w:r>
        <w:rPr>
          <w:lang w:val="es-ES"/>
        </w:rPr>
        <w:t xml:space="preserve"> </w:t>
      </w:r>
      <w:r>
        <w:rPr>
          <w:lang w:val="es-ES"/>
        </w:rPr>
        <w:t xml:space="preserve">que los modelos MONAI para obtener Dice y HD95 comparables, pero su resultado se trata como</w:t>
      </w:r>
      <w:r>
        <w:rPr>
          <w:lang w:val="es-ES"/>
        </w:rPr>
        <w:t xml:space="preserve"> </w:t>
      </w:r>
      <w:r>
        <w:rPr>
          <w:lang w:val="es-ES"/>
        </w:rPr>
        <w:t xml:space="preserve">referencia contextual por las diferencias de datos efectivos de ajuste, preprocesamiento, pérdida,</w:t>
      </w:r>
      <w:r>
        <w:rPr>
          <w:lang w:val="es-ES"/>
        </w:rPr>
        <w:t xml:space="preserve"> </w:t>
      </w:r>
      <w:r>
        <w:rPr>
          <w:lang w:val="es-ES"/>
        </w:rPr>
        <w:t xml:space="preserve">optimizador y presupuesto.</w:t>
      </w:r>
    </w:p>
    <w:bookmarkEnd w:id="44"/>
    <w:bookmarkEnd w:id="45"/>
    <w:bookmarkStart w:id="47" w:name="Xca20db0b90b5be915372b9e72c569df8846225c"/>
    <w:p>
      <w:pPr>
        <w:pStyle w:val="Ttulo2"/>
      </w:pPr>
      <w:r>
        <w:t xml:space="preserve">4.5. Evaluación y análisis de resultados (Fase 5)</w:t>
      </w:r>
    </w:p>
    <w:bookmarkStart w:id="48" w:name="inferencia-y-exportación-de-predicciones"/>
    <w:p>
      <w:pPr>
        <w:pStyle w:val="Ttulo3"/>
      </w:pPr>
      <w:r>
        <w:t xml:space="preserve">4.5.1. Inferencia y exportación de predicciones</w:t>
      </w:r>
    </w:p>
    <w:p>
      <w:pPr>
        <w:rPr>
          <w:lang w:val="es-ES"/>
        </w:rPr>
      </w:pPr>
      <w:r>
        <w:rPr>
          <w:lang w:val="es-ES"/>
        </w:rPr>
        <w:t xml:space="preserve">Los modelos MONAI se infieren con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sliding_window_inference</w:t>
      </w:r>
      <w:r>
        <w:rPr>
          <w:lang w:val="es-ES"/>
        </w:rPr>
        <w:t xml:space="preserve"> </w:t>
      </w:r>
      <w:r>
        <w:rPr>
          <w:lang w:val="es-ES"/>
        </w:rPr>
        <w:t xml:space="preserve">sobre ventanas 128³. Las variantes</w:t>
      </w:r>
      <w:r>
        <w:rPr>
          <w:lang w:val="es-ES"/>
        </w:rPr>
        <w:t xml:space="preserve"> </w:t>
      </w:r>
      <w:r>
        <w:rPr>
          <w:lang w:val="es-ES"/>
        </w:rPr>
        <w:t xml:space="preserve">residuales ejecutadas en MPS usan solapamiento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0,25</w:t>
      </w:r>
      <w:r>
        <w:rPr>
          <w:lang w:val="es-ES"/>
        </w:rPr>
        <w:t xml:space="preserve"> </w:t>
      </w:r>
      <w:r>
        <w:rPr>
          <w:lang w:val="es-ES"/>
        </w:rPr>
        <w:t xml:space="preserve">y tamaño de lote de ventana 1. Attention</w:t>
      </w:r>
      <w:r>
        <w:rPr>
          <w:lang w:val="es-ES"/>
        </w:rPr>
        <w:t xml:space="preserve"> </w:t>
      </w:r>
      <w:r>
        <w:rPr>
          <w:lang w:val="es-ES"/>
        </w:rPr>
        <w:t xml:space="preserve">U-Net y Swin-UNETR, ejecutados en A100, usan solapamiento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0,50</w:t>
      </w:r>
      <w:r>
        <w:rPr>
          <w:lang w:val="es-ES"/>
        </w:rPr>
        <w:t xml:space="preserve"> </w:t>
      </w:r>
      <w:r>
        <w:rPr>
          <w:lang w:val="es-ES"/>
        </w:rPr>
        <w:t xml:space="preserve">y tamaño de lote de ventana 2. El</w:t>
      </w:r>
      <w:r>
        <w:rPr>
          <w:lang w:val="es-ES"/>
        </w:rPr>
        <w:t xml:space="preserve"> </w:t>
      </w:r>
      <w:r>
        <w:rPr>
          <w:lang w:val="es-ES"/>
        </w:rPr>
        <w:t xml:space="preserve">código no especifica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mode</w:t>
      </w:r>
      <w:r>
        <w:rPr>
          <w:lang w:val="es-ES"/>
        </w:rPr>
        <w:t xml:space="preserve">, por lo que MONAI emplea su mezcla constante predeterminada, no mezcla</w:t>
      </w:r>
      <w:r>
        <w:rPr>
          <w:lang w:val="es-ES"/>
        </w:rPr>
        <w:t xml:space="preserve"> </w:t>
      </w:r>
      <w:r>
        <w:rPr>
          <w:lang w:val="es-ES"/>
        </w:rPr>
        <w:t xml:space="preserve">gaussiana. nnU-Net utiliza su procedimiento de inferencia propio.</w:t>
      </w:r>
    </w:p>
    <w:p>
      <w:pPr>
        <w:rPr>
          <w:lang w:val="es-ES"/>
        </w:rPr>
      </w:pPr>
      <w:r>
        <w:rPr>
          <w:lang w:val="es-ES"/>
        </w:rPr>
        <w:t xml:space="preserve">El subcomando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predict</w:t>
      </w:r>
      <w:r>
        <w:rPr>
          <w:lang w:val="es-ES"/>
        </w:rPr>
        <w:t xml:space="preserve"> </w:t>
      </w:r>
      <w:r>
        <w:rPr>
          <w:lang w:val="es-ES"/>
        </w:rPr>
        <w:t xml:space="preserve">reconstruye el modelo MONAI desde su YAML, carga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best.pt</w:t>
      </w:r>
      <w:r>
        <w:rPr>
          <w:lang w:val="es-ES"/>
        </w:rPr>
        <w:t xml:space="preserve">, aplica sigmoide</w:t>
      </w:r>
      <w:r>
        <w:rPr>
          <w:lang w:val="es-ES"/>
        </w:rPr>
        <w:t xml:space="preserve"> </w:t>
      </w:r>
      <w:r>
        <w:rPr>
          <w:lang w:val="es-ES"/>
        </w:rPr>
        <w:t xml:space="preserve">y umbral 0,5, fuerza el anidamiento ET ⊂ TC ⊂ WT y guarda un NIfTI por estudio. El subcomando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evaluate</w:t>
      </w:r>
      <w:r>
        <w:rPr>
          <w:lang w:val="es-ES"/>
        </w:rPr>
        <w:t xml:space="preserve"> </w:t>
      </w:r>
      <w:r>
        <w:rPr>
          <w:lang w:val="es-ES"/>
        </w:rPr>
        <w:t xml:space="preserve">es posterior e independiente, ya que lee esos NIfTI y las máscaras de referencia y calcula</w:t>
      </w:r>
      <w:r>
        <w:rPr>
          <w:lang w:val="es-ES"/>
        </w:rPr>
        <w:t xml:space="preserve"> </w:t>
      </w:r>
      <w:r>
        <w:rPr>
          <w:lang w:val="es-ES"/>
        </w:rPr>
        <w:t xml:space="preserve">las métricas. Esta separación permite repetir el cálculo sin volver a ejecutar la red.</w:t>
      </w:r>
    </w:p>
    <w:bookmarkEnd w:id="46"/>
    <w:bookmarkStart w:id="49" w:name="métricas-de-evaluación"/>
    <w:p>
      <w:pPr>
        <w:pStyle w:val="Ttulo3"/>
      </w:pPr>
      <w:r>
        <w:t xml:space="preserve">4.5.2. Métricas de evaluación</w:t>
      </w:r>
    </w:p>
    <w:p>
      <w:pPr>
        <w:rPr>
          <w:lang w:val="es-ES"/>
        </w:rPr>
      </w:pPr>
      <w:r>
        <w:rPr>
          <w:lang w:val="es-ES"/>
        </w:rPr>
        <w:t xml:space="preserve">El rendimiento se cuantifica con Dice y HD95 por región mediante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tfm_brats/metrics.py</w:t>
      </w:r>
      <w:r>
        <w:rPr>
          <w:lang w:val="es-ES"/>
        </w:rPr>
        <w:t xml:space="preserve">:</w:t>
      </w:r>
    </w:p>
    <w:p>
      <w:pPr>
        <w:numPr>
          <w:ilvl w:val="0"/>
          <w:numId w:val="15"/>
        </w:numPr>
        <w:rPr>
          <w:lang w:val="es-ES"/>
        </w:rPr>
      </w:pPr>
      <w:r>
        <w:rPr>
          <w:b/>
          <w:bCs/>
          <w:lang w:val="es-ES"/>
        </w:rPr>
        <w:t xml:space="preserve">Dice</w:t>
      </w:r>
      <w:r>
        <w:rPr>
          <w:lang w:val="es-ES"/>
        </w:rPr>
        <w:t xml:space="preserve"> </w:t>
      </w:r>
      <w:r>
        <w:rPr>
          <w:lang w:val="es-ES"/>
        </w:rPr>
        <w:t xml:space="preserve">mide el solapamiento. Se asigna Dice = 1 cuando predicción y referencia están ambas</w:t>
      </w:r>
      <w:r>
        <w:rPr>
          <w:lang w:val="es-ES"/>
        </w:rPr>
        <w:t xml:space="preserve"> </w:t>
      </w:r>
      <w:r>
        <w:rPr>
          <w:lang w:val="es-ES"/>
        </w:rPr>
        <w:t xml:space="preserve">vacías, y Dice = 0 cuando solo una de ellas lo está.</w:t>
      </w:r>
    </w:p>
    <w:p>
      <w:pPr>
        <w:numPr>
          <w:ilvl w:val="0"/>
          <w:numId w:val="15"/>
        </w:numPr>
        <w:rPr>
          <w:lang w:val="es-ES"/>
        </w:rPr>
      </w:pPr>
      <w:r>
        <w:rPr>
          <w:b/>
          <w:bCs/>
          <w:lang w:val="es-ES"/>
        </w:rPr>
        <w:t xml:space="preserve">HD95</w:t>
      </w:r>
      <w:r>
        <w:rPr>
          <w:lang w:val="es-ES"/>
        </w:rPr>
        <w:t xml:space="preserve"> </w:t>
      </w:r>
      <w:r>
        <w:rPr>
          <w:lang w:val="es-ES"/>
        </w:rPr>
        <w:t xml:space="preserve">calcula el percentil 95 de las distancias simétricas entre superficies usando el espaciado</w:t>
      </w:r>
      <w:r>
        <w:rPr>
          <w:lang w:val="es-ES"/>
        </w:rPr>
        <w:t xml:space="preserve"> </w:t>
      </w:r>
      <w:r>
        <w:rPr>
          <w:lang w:val="es-ES"/>
        </w:rPr>
        <w:t xml:space="preserve">real del NIfTI. Si ambas máscaras están vacías se asigna HD95 = 0. Si exactamente una está vacía,</w:t>
      </w:r>
      <w:r>
        <w:rPr>
          <w:lang w:val="es-ES"/>
        </w:rPr>
        <w:t xml:space="preserve"> </w:t>
      </w:r>
      <w:r>
        <w:rPr>
          <w:lang w:val="es-ES"/>
        </w:rPr>
        <w:t xml:space="preserve">el resultado es infinito.</w:t>
      </w:r>
    </w:p>
    <w:p>
      <w:pPr>
        <w:rPr>
          <w:lang w:val="es-ES"/>
        </w:rPr>
      </w:pPr>
      <w:r>
        <w:rPr>
          <w:lang w:val="es-ES"/>
        </w:rPr>
        <w:t xml:space="preserve">Los resúmenes de HD95 conservan los ceros de los casos doblemente vacíos y excluyen los infinitos</w:t>
      </w:r>
      <w:r>
        <w:rPr>
          <w:lang w:val="es-ES"/>
        </w:rPr>
        <w:t xml:space="preserve"> </w:t>
      </w:r>
      <w:r>
        <w:rPr>
          <w:lang w:val="es-ES"/>
        </w:rPr>
        <w:t xml:space="preserve">del promedio. Por ello, el Capítulo 5 presenta cada media junto al número de estudios con valor</w:t>
      </w:r>
      <w:r>
        <w:rPr>
          <w:lang w:val="es-ES"/>
        </w:rPr>
        <w:t xml:space="preserve"> </w:t>
      </w:r>
      <w:r>
        <w:rPr>
          <w:lang w:val="es-ES"/>
        </w:rPr>
        <w:t xml:space="preserve">finito. Las métricas son internas y se calculan por región, por lo que no reproducen el protocolo</w:t>
      </w:r>
      <w:r>
        <w:rPr>
          <w:lang w:val="es-ES"/>
        </w:rPr>
        <w:t xml:space="preserve"> </w:t>
      </w:r>
      <w:r>
        <w:rPr>
          <w:lang w:val="es-ES"/>
        </w:rPr>
        <w:t xml:space="preserve">oculto ni las métricas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lesion-wise</w:t>
      </w:r>
      <w:r>
        <w:rPr>
          <w:lang w:val="es-ES"/>
        </w:rPr>
        <w:t xml:space="preserve"> </w:t>
      </w:r>
      <w:r>
        <w:rPr>
          <w:lang w:val="es-ES"/>
        </w:rPr>
        <w:t xml:space="preserve">del reto oficial BraTS-GLI 2024.</w:t>
      </w:r>
    </w:p>
    <w:bookmarkEnd w:id="47"/>
    <w:bookmarkStart w:id="50" w:name="análisis-de-sensibilidad-por-sujeto"/>
    <w:p>
      <w:pPr>
        <w:pStyle w:val="Ttulo3"/>
      </w:pPr>
      <w:r>
        <w:t xml:space="preserve">4.5.3. Análisis de sensibilidad por sujeto</w:t>
      </w:r>
    </w:p>
    <w:p>
      <w:pPr>
        <w:rPr>
          <w:lang w:val="es-ES"/>
        </w:rPr>
      </w:pPr>
      <w:r>
        <w:rPr>
          <w:lang w:val="es-ES"/>
        </w:rPr>
        <w:t xml:space="preserve">La revisión de identificadores de sujeto se realizó una vez concluidos los entrenamientos y</w:t>
      </w:r>
      <w:r>
        <w:rPr>
          <w:lang w:val="es-ES"/>
        </w:rPr>
        <w:t xml:space="preserve"> </w:t>
      </w:r>
      <w:r>
        <w:rPr>
          <w:lang w:val="es-ES"/>
        </w:rPr>
        <w:t xml:space="preserve">generadas las predicciones finales. Se definió entonces un subconjunto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post hoc</w:t>
      </w:r>
      <w:r>
        <w:rPr>
          <w:lang w:val="es-ES"/>
        </w:rPr>
        <w:t xml:space="preserve"> </w:t>
      </w:r>
      <w:r>
        <w:rPr>
          <w:lang w:val="es-ES"/>
        </w:rPr>
        <w:t xml:space="preserve">con los 38</w:t>
      </w:r>
      <w:r>
        <w:rPr>
          <w:lang w:val="es-ES"/>
        </w:rPr>
        <w:t xml:space="preserve"> </w:t>
      </w:r>
      <w:r>
        <w:rPr>
          <w:lang w:val="es-ES"/>
        </w:rPr>
        <w:t xml:space="preserve">estudios de test pertenecientes a 29 sujetos sin presencia en entrenamiento ni validación. No se</w:t>
      </w:r>
      <w:r>
        <w:rPr>
          <w:lang w:val="es-ES"/>
        </w:rPr>
        <w:t xml:space="preserve"> </w:t>
      </w:r>
      <w:r>
        <w:rPr>
          <w:lang w:val="es-ES"/>
        </w:rPr>
        <w:t xml:space="preserve">creó una nueva partición de entrenamiento: se reutilizaron las predicciones y se recalcularon los</w:t>
      </w:r>
      <w:r>
        <w:rPr>
          <w:lang w:val="es-ES"/>
        </w:rPr>
        <w:t xml:space="preserve"> </w:t>
      </w:r>
      <w:r>
        <w:rPr>
          <w:lang w:val="es-ES"/>
        </w:rPr>
        <w:t xml:space="preserve">agregados de las cuatro estrategias de fusión. El análisis permite observar si cambia la ordenación</w:t>
      </w:r>
      <w:r>
        <w:rPr>
          <w:lang w:val="es-ES"/>
        </w:rPr>
        <w:t xml:space="preserve"> </w:t>
      </w:r>
      <w:r>
        <w:rPr>
          <w:lang w:val="es-ES"/>
        </w:rPr>
        <w:t xml:space="preserve">descriptiva en ese subconjunto, pero no sustituye una partición por sujeto planificada antes de</w:t>
      </w:r>
      <w:r>
        <w:rPr>
          <w:lang w:val="es-ES"/>
        </w:rPr>
        <w:t xml:space="preserve"> </w:t>
      </w:r>
      <w:r>
        <w:rPr>
          <w:lang w:val="es-ES"/>
        </w:rPr>
        <w:t xml:space="preserve">entrenar.</w:t>
      </w:r>
    </w:p>
    <w:bookmarkEnd w:id="48"/>
    <w:bookmarkStart w:id="51" w:name="huella-computacional"/>
    <w:p>
      <w:pPr>
        <w:pStyle w:val="Ttulo3"/>
      </w:pPr>
      <w:r>
        <w:t xml:space="preserve">4.5.4. Huella computacional</w:t>
      </w:r>
    </w:p>
    <w:p>
      <w:pPr>
        <w:rPr>
          <w:lang w:val="es-ES"/>
        </w:rPr>
      </w:pPr>
      <w:r>
        <w:rPr>
          <w:lang w:val="es-ES"/>
        </w:rPr>
        <w:t xml:space="preserve">El número de parámetros se obtuvo de los modelos instanciados. En el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pipeline</w:t>
      </w:r>
      <w:r>
        <w:rPr>
          <w:lang w:val="es-ES"/>
        </w:rPr>
        <w:t xml:space="preserve"> </w:t>
      </w:r>
      <w:r>
        <w:rPr>
          <w:lang w:val="es-ES"/>
        </w:rPr>
        <w:t xml:space="preserve">MONAI, el tiempo de</w:t>
      </w:r>
      <w:r>
        <w:rPr>
          <w:lang w:val="es-ES"/>
        </w:rPr>
        <w:t xml:space="preserve"> </w:t>
      </w:r>
      <w:r>
        <w:rPr>
          <w:lang w:val="es-ES"/>
        </w:rPr>
        <w:t xml:space="preserve">pared se registra con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perf_counter</w:t>
      </w:r>
      <w:r>
        <w:rPr>
          <w:lang w:val="es-ES"/>
        </w:rPr>
        <w:t xml:space="preserve"> </w:t>
      </w:r>
      <w:r>
        <w:rPr>
          <w:lang w:val="es-ES"/>
        </w:rPr>
        <w:t xml:space="preserve">desde el inicio del entrenamiento hasta la última validación, y</w:t>
      </w:r>
      <w:r>
        <w:rPr>
          <w:lang w:val="es-ES"/>
        </w:rPr>
        <w:t xml:space="preserve"> </w:t>
      </w:r>
      <w:r>
        <w:rPr>
          <w:lang w:val="es-ES"/>
        </w:rPr>
        <w:t xml:space="preserve">en CUDA se consulta el máximo de memoria asignada por PyTorch. Esta medida no está disponible de</w:t>
      </w:r>
      <w:r>
        <w:rPr>
          <w:lang w:val="es-ES"/>
        </w:rPr>
        <w:t xml:space="preserve"> </w:t>
      </w:r>
      <w:r>
        <w:rPr>
          <w:lang w:val="es-ES"/>
        </w:rPr>
        <w:t xml:space="preserve">forma equivalente en MPS. Para nnU-Net, el tiempo se recuperó, según el registro conservado fuera</w:t>
      </w:r>
      <w:r>
        <w:rPr>
          <w:lang w:val="es-ES"/>
        </w:rPr>
        <w:t xml:space="preserve"> </w:t>
      </w:r>
      <w:r>
        <w:rPr>
          <w:lang w:val="es-ES"/>
        </w:rPr>
        <w:t xml:space="preserve">del repositorio, de las marcas comprendidas entre el inicio de la época 0 y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Training done</w:t>
      </w:r>
      <w:r>
        <w:rPr>
          <w:lang w:val="es-ES"/>
        </w:rPr>
        <w:t xml:space="preserve">. No</w:t>
      </w:r>
      <w:r>
        <w:rPr>
          <w:lang w:val="es-ES"/>
        </w:rPr>
        <w:t xml:space="preserve"> </w:t>
      </w:r>
      <w:r>
        <w:rPr>
          <w:lang w:val="es-ES"/>
        </w:rPr>
        <w:t xml:space="preserve">incluye planificación, preprocesamiento, validación final completa ni inferencia. Al no existir</w:t>
      </w:r>
      <w:r>
        <w:rPr>
          <w:lang w:val="es-ES"/>
        </w:rPr>
        <w:t xml:space="preserve"> </w:t>
      </w:r>
      <w:r>
        <w:rPr>
          <w:lang w:val="es-ES"/>
        </w:rPr>
        <w:t xml:space="preserve">tiempos de inferencia y memoria homogéneos para todos los modelos, el Capítulo 5 limita la</w:t>
      </w:r>
      <w:r>
        <w:rPr>
          <w:lang w:val="es-ES"/>
        </w:rPr>
        <w:t xml:space="preserve"> </w:t>
      </w:r>
      <w:r>
        <w:rPr>
          <w:lang w:val="es-ES"/>
        </w:rPr>
        <w:t xml:space="preserve">comparación computacional a los registros conservados.</w:t>
      </w:r>
    </w:p>
    <w:bookmarkEnd w:id="49"/>
    <w:bookmarkEnd w:id="50"/>
    <w:bookmarkStart w:id="52" w:name="restricciones-y-alcance-clínico"/>
    <w:p>
      <w:pPr>
        <w:pStyle w:val="Ttulo2"/>
      </w:pPr>
      <w:r>
        <w:t xml:space="preserve">4.6. Restricciones y alcance clínico</w:t>
      </w:r>
    </w:p>
    <w:p>
      <w:pPr>
        <w:rPr>
          <w:lang w:val="es-ES"/>
        </w:rPr>
      </w:pPr>
      <w:r>
        <w:rPr>
          <w:lang w:val="es-ES"/>
        </w:rPr>
        <w:t xml:space="preserve">El sistema segmenta ET, TC y WT en resonancias multimodales post-tratamiento de sujetos incluidos en</w:t>
      </w:r>
      <w:r>
        <w:rPr>
          <w:lang w:val="es-ES"/>
        </w:rPr>
        <w:t xml:space="preserve"> </w:t>
      </w:r>
      <w:r>
        <w:rPr>
          <w:lang w:val="es-ES"/>
        </w:rPr>
        <w:t xml:space="preserve">BraTS-GLI 2024. No se entrenó con cerebros sanos ni con otras patologías, por lo que no debe</w:t>
      </w:r>
      <w:r>
        <w:rPr>
          <w:lang w:val="es-ES"/>
        </w:rPr>
        <w:t xml:space="preserve"> </w:t>
      </w:r>
      <w:r>
        <w:rPr>
          <w:lang w:val="es-ES"/>
        </w:rPr>
        <w:t xml:space="preserve">interpretarse como un sistema de detección de tumor ni de diagnóstico diferencial. Tampoco se ha</w:t>
      </w:r>
      <w:r>
        <w:rPr>
          <w:lang w:val="es-ES"/>
        </w:rPr>
        <w:t xml:space="preserve"> </w:t>
      </w:r>
      <w:r>
        <w:rPr>
          <w:lang w:val="es-ES"/>
        </w:rPr>
        <w:t xml:space="preserve">evaluado en otras instituciones o protocolos de adquisición. A ello se añade que el reparto por</w:t>
      </w:r>
      <w:r>
        <w:rPr>
          <w:lang w:val="es-ES"/>
        </w:rPr>
        <w:t xml:space="preserve"> </w:t>
      </w:r>
      <w:r>
        <w:rPr>
          <w:lang w:val="es-ES"/>
        </w:rPr>
        <w:t xml:space="preserve">estudio no garantiza independencia por sujeto. En consecuencia, los resultados describen el</w:t>
      </w:r>
      <w:r>
        <w:rPr>
          <w:lang w:val="es-ES"/>
        </w:rPr>
        <w:t xml:space="preserve"> </w:t>
      </w:r>
      <w:r>
        <w:rPr>
          <w:lang w:val="es-ES"/>
        </w:rPr>
        <w:t xml:space="preserve">comportamiento experimental de los modelos dentro de este conjunto y no una validación clínica para</w:t>
      </w:r>
      <w:r>
        <w:rPr>
          <w:lang w:val="es-ES"/>
        </w:rPr>
        <w:t xml:space="preserve"> </w:t>
      </w:r>
      <w:r>
        <w:rPr>
          <w:lang w:val="es-ES"/>
        </w:rPr>
        <w:t xml:space="preserve">uso asistencial.</w:t>
      </w:r>
    </w:p>
    <w:bookmarkEnd w:id="51"/>
    <w:bookmarkEnd w:id="52"/>
    <w:bookmarkStart w:id="53" w:name="resultados"/>
    <w:p>
      <w:pPr>
        <w:pStyle w:val="Ttulo1"/>
        <w:pageBreakBefore/>
      </w:pPr>
      <w:r>
        <w:t xml:space="preserve">5. Resultados</w:t>
      </w:r>
    </w:p>
    <w:p>
      <w:pPr>
        <w:rPr>
          <w:lang w:val="es-ES"/>
        </w:rPr>
      </w:pPr>
      <w:r>
        <w:rPr>
          <w:lang w:val="es-ES"/>
        </w:rPr>
        <w:t xml:space="preserve">La pregunta principal se evaluó mediante doce entrenamientos residuales: cuatro estrategias de</w:t>
      </w:r>
      <w:r>
        <w:rPr>
          <w:lang w:val="es-ES"/>
        </w:rPr>
        <w:t xml:space="preserve"> </w:t>
      </w:r>
      <w:r>
        <w:rPr>
          <w:lang w:val="es-ES"/>
        </w:rPr>
        <w:t xml:space="preserve">fusión y tres semillas por estrategia. Attention U-Net, Swin-UNETR y nnU-Net aportan referencias</w:t>
      </w:r>
      <w:r>
        <w:rPr>
          <w:lang w:val="es-ES"/>
        </w:rPr>
        <w:t xml:space="preserve"> </w:t>
      </w:r>
      <w:r>
        <w:rPr>
          <w:lang w:val="es-ES"/>
        </w:rPr>
        <w:t xml:space="preserve">contextuales, mientras que los registros de coste y dos ejemplos visuales completan la descripción</w:t>
      </w:r>
      <w:r>
        <w:rPr>
          <w:lang w:val="es-ES"/>
        </w:rPr>
        <w:t xml:space="preserve"> </w:t>
      </w:r>
      <w:r>
        <w:rPr>
          <w:lang w:val="es-ES"/>
        </w:rPr>
        <w:t xml:space="preserve">de los resultados.</w:t>
      </w:r>
    </w:p>
    <w:bookmarkStart w:id="54" w:name="Xb98635da2c3fe931d9650eefb1c54e512211e28"/>
    <w:p>
      <w:pPr>
        <w:pStyle w:val="Ttulo2"/>
      </w:pPr>
      <w:r>
        <w:t xml:space="preserve">5.1. Alcance del análisis y protocolo de reporte</w:t>
      </w:r>
    </w:p>
    <w:p>
      <w:pPr>
        <w:rPr>
          <w:lang w:val="es-ES"/>
        </w:rPr>
      </w:pPr>
      <w:r>
        <w:rPr>
          <w:lang w:val="es-ES"/>
        </w:rPr>
        <w:t xml:space="preserve">Las métricas se calcularon sobre la partición denominada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test</w:t>
      </w:r>
      <w:r>
        <w:rPr>
          <w:lang w:val="es-ES"/>
        </w:rPr>
        <w:t xml:space="preserve">, formada por 243 estudios de imagen</w:t>
      </w:r>
      <w:r>
        <w:rPr>
          <w:lang w:val="es-ES"/>
        </w:rPr>
        <w:t xml:space="preserve"> </w:t>
      </w:r>
      <w:r>
        <w:rPr>
          <w:lang w:val="es-ES"/>
        </w:rPr>
        <w:t xml:space="preserve">cuyos identificadores completos no aparecen en las particiones de entrenamiento o validación. Las</w:t>
      </w:r>
      <w:r>
        <w:rPr>
          <w:lang w:val="es-ES"/>
        </w:rPr>
        <w:t xml:space="preserve"> </w:t>
      </w:r>
      <w:r>
        <w:rPr>
          <w:lang w:val="es-ES"/>
        </w:rPr>
        <w:t xml:space="preserve">configuraciones basadas en MONAI se entrenaron con las semillas 20260526, 20260527 y 20260528. Para</w:t>
      </w:r>
      <w:r>
        <w:rPr>
          <w:lang w:val="es-ES"/>
        </w:rPr>
        <w:t xml:space="preserve"> </w:t>
      </w:r>
      <w:r>
        <w:rPr>
          <w:lang w:val="es-ES"/>
        </w:rPr>
        <w:t xml:space="preserve">ellas se presenta la media y la desviación estándar poblacional de las tres ejecuciones. nnU-Net se</w:t>
      </w:r>
      <w:r>
        <w:rPr>
          <w:lang w:val="es-ES"/>
        </w:rPr>
        <w:t xml:space="preserve"> </w:t>
      </w:r>
      <w:r>
        <w:rPr>
          <w:lang w:val="es-ES"/>
        </w:rPr>
        <w:t xml:space="preserve">entrenó una sola vez con la configuración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3d_fullres</w:t>
      </w:r>
      <w:r>
        <w:rPr>
          <w:lang w:val="es-ES"/>
        </w:rPr>
        <w:t xml:space="preserve"> </w:t>
      </w:r>
      <w:r>
        <w:rPr>
          <w:lang w:val="es-ES"/>
        </w:rPr>
        <w:t xml:space="preserve">y el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fold</w:t>
      </w:r>
      <w:r>
        <w:rPr>
          <w:lang w:val="es-ES"/>
        </w:rPr>
        <w:t xml:space="preserve"> </w:t>
      </w:r>
      <w:r>
        <w:rPr>
          <w:lang w:val="es-ES"/>
        </w:rPr>
        <w:t xml:space="preserve">0, por lo que sus resultados no</w:t>
      </w:r>
      <w:r>
        <w:rPr>
          <w:lang w:val="es-ES"/>
        </w:rPr>
        <w:t xml:space="preserve"> </w:t>
      </w:r>
      <w:r>
        <w:rPr>
          <w:lang w:val="es-ES"/>
        </w:rPr>
        <w:t xml:space="preserve">incluyen una estimación de variabilidad entre repeticiones.</w:t>
      </w:r>
    </w:p>
    <w:p>
      <w:pPr>
        <w:rPr>
          <w:lang w:val="es-ES"/>
        </w:rPr>
      </w:pPr>
      <w:r>
        <w:rPr>
          <w:lang w:val="es-ES"/>
        </w:rPr>
        <w:t xml:space="preserve">La partición se generó a nivel de estudio de imagen, no mediante agrupación por sujeto. Debido al</w:t>
      </w:r>
      <w:r>
        <w:rPr>
          <w:lang w:val="es-ES"/>
        </w:rPr>
        <w:t xml:space="preserve"> </w:t>
      </w:r>
      <w:r>
        <w:rPr>
          <w:lang w:val="es-ES"/>
        </w:rPr>
        <w:t xml:space="preserve">carácter longitudinal del conjunto BraTS-GLI 2024, un mismo sujeto puede aportar más de un estudio y</w:t>
      </w:r>
      <w:r>
        <w:rPr>
          <w:lang w:val="es-ES"/>
        </w:rPr>
        <w:t xml:space="preserve"> </w:t>
      </w:r>
      <w:r>
        <w:rPr>
          <w:lang w:val="es-ES"/>
        </w:rPr>
        <w:t xml:space="preserve">aparecer en particiones diferentes. Una comprobación posterior identificó que 205 de los 243</w:t>
      </w:r>
      <w:r>
        <w:rPr>
          <w:lang w:val="es-ES"/>
        </w:rPr>
        <w:t xml:space="preserve"> </w:t>
      </w:r>
      <w:r>
        <w:rPr>
          <w:lang w:val="es-ES"/>
        </w:rPr>
        <w:t xml:space="preserve">estudios de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test</w:t>
      </w:r>
      <w:r>
        <w:rPr>
          <w:lang w:val="es-ES"/>
        </w:rPr>
        <w:t xml:space="preserve"> </w:t>
      </w:r>
      <w:r>
        <w:rPr>
          <w:lang w:val="es-ES"/>
        </w:rPr>
        <w:t xml:space="preserve">pertenecen a sujetos con algún otro estudio en entrenamiento o validación. Por</w:t>
      </w:r>
      <w:r>
        <w:rPr>
          <w:lang w:val="es-ES"/>
        </w:rPr>
        <w:t xml:space="preserve"> </w:t>
      </w:r>
      <w:r>
        <w:rPr>
          <w:lang w:val="es-ES"/>
        </w:rPr>
        <w:t xml:space="preserve">ello, las métricas se interpretan como una comparación experimental a nivel de estudio y no como</w:t>
      </w:r>
      <w:r>
        <w:rPr>
          <w:lang w:val="es-ES"/>
        </w:rPr>
        <w:t xml:space="preserve"> </w:t>
      </w:r>
      <w:r>
        <w:rPr>
          <w:lang w:val="es-ES"/>
        </w:rPr>
        <w:t xml:space="preserve">una estimación independiente de generalización a sujetos completamente nuevos. Este alcance no</w:t>
      </w:r>
      <w:r>
        <w:rPr>
          <w:lang w:val="es-ES"/>
        </w:rPr>
        <w:t xml:space="preserve"> </w:t>
      </w:r>
      <w:r>
        <w:rPr>
          <w:lang w:val="es-ES"/>
        </w:rPr>
        <w:t xml:space="preserve">impide comparar las estrategias de fusión bajo una partición común, pero limita la interpretación</w:t>
      </w:r>
      <w:r>
        <w:rPr>
          <w:lang w:val="es-ES"/>
        </w:rPr>
        <w:t xml:space="preserve"> </w:t>
      </w:r>
      <w:r>
        <w:rPr>
          <w:lang w:val="es-ES"/>
        </w:rPr>
        <w:t xml:space="preserve">absoluta de sus valores.</w:t>
      </w:r>
    </w:p>
    <w:p>
      <w:pPr>
        <w:rPr>
          <w:lang w:val="es-ES"/>
        </w:rPr>
      </w:pPr>
      <w:r>
        <w:rPr>
          <w:lang w:val="es-ES"/>
        </w:rPr>
        <w:t xml:space="preserve">La ablación de fusión constituye la comparación más controlada del trabajo: las cuatro estrategias</w:t>
      </w:r>
      <w:r>
        <w:rPr>
          <w:lang w:val="es-ES"/>
        </w:rPr>
        <w:t xml:space="preserve"> </w:t>
      </w:r>
      <w:r>
        <w:rPr>
          <w:lang w:val="es-ES"/>
        </w:rPr>
        <w:t xml:space="preserve">comparten la misma Residual U-Net, datos, hiperparámetros, presupuesto de 15.000 pasos y protocolo de</w:t>
      </w:r>
      <w:r>
        <w:rPr>
          <w:lang w:val="es-ES"/>
        </w:rPr>
        <w:t xml:space="preserve"> </w:t>
      </w:r>
      <w:r>
        <w:rPr>
          <w:lang w:val="es-ES"/>
        </w:rPr>
        <w:t xml:space="preserve">inferencia. Swin-UNETR y Attention U-Net comparten entre sí el protocolo ejecutado en A100. En</w:t>
      </w:r>
      <w:r>
        <w:rPr>
          <w:lang w:val="es-ES"/>
        </w:rPr>
        <w:t xml:space="preserve"> </w:t>
      </w:r>
      <w:r>
        <w:rPr>
          <w:lang w:val="es-ES"/>
        </w:rPr>
        <w:t xml:space="preserve">cambio, la comparación de estas arquitecturas con las variantes residuales debe considerarse</w:t>
      </w:r>
      <w:r>
        <w:rPr>
          <w:lang w:val="es-ES"/>
        </w:rPr>
        <w:t xml:space="preserve"> </w:t>
      </w:r>
      <w:r>
        <w:rPr>
          <w:lang w:val="es-ES"/>
        </w:rPr>
        <w:t xml:space="preserve">descriptiva, puesto que se utilizaron entornos de ejecución y valores de solapamiento de ventana</w:t>
      </w:r>
      <w:r>
        <w:rPr>
          <w:lang w:val="es-ES"/>
        </w:rPr>
        <w:t xml:space="preserve"> </w:t>
      </w:r>
      <w:r>
        <w:rPr>
          <w:lang w:val="es-ES"/>
        </w:rPr>
        <w:t xml:space="preserve">diferentes. nnU-Net empleó además su propio proceso de planificación, preprocesamiento y</w:t>
      </w:r>
      <w:r>
        <w:rPr>
          <w:lang w:val="es-ES"/>
        </w:rPr>
        <w:t xml:space="preserve"> </w:t>
      </w:r>
      <w:r>
        <w:rPr>
          <w:lang w:val="es-ES"/>
        </w:rPr>
        <w:t xml:space="preserve">entrenamiento.</w:t>
      </w:r>
    </w:p>
    <w:p>
      <w:pPr>
        <w:rPr>
          <w:lang w:val="es-ES"/>
        </w:rPr>
      </w:pPr>
      <w:r>
        <w:rPr>
          <w:lang w:val="es-ES"/>
        </w:rPr>
        <w:t xml:space="preserve">Las métricas utilizadas son Dice y HD95 para ET, TC y WT: en Dice es preferible un valor alto y en</w:t>
      </w:r>
      <w:r>
        <w:rPr>
          <w:lang w:val="es-ES"/>
        </w:rPr>
        <w:t xml:space="preserve"> </w:t>
      </w:r>
      <w:r>
        <w:rPr>
          <w:lang w:val="es-ES"/>
        </w:rPr>
        <w:t xml:space="preserve">HD95, uno bajo. Como se detalló en el Apartado 4.5.2, HD95 vale cero cuando predicción y referencia</w:t>
      </w:r>
      <w:r>
        <w:rPr>
          <w:lang w:val="es-ES"/>
        </w:rPr>
        <w:t xml:space="preserve"> </w:t>
      </w:r>
      <w:r>
        <w:rPr>
          <w:lang w:val="es-ES"/>
        </w:rPr>
        <w:t xml:space="preserve">están vacías e infinito cuando solo una de ellas lo está; los infinitos se excluyen del promedio y</w:t>
      </w:r>
      <w:r>
        <w:rPr>
          <w:lang w:val="es-ES"/>
        </w:rPr>
        <w:t xml:space="preserve"> </w:t>
      </w:r>
      <w:r>
        <w:rPr>
          <w:lang w:val="es-ES"/>
        </w:rPr>
        <w:t xml:space="preserve">los ceros se conservan. Por ello, cada media de HD95 se acompaña del número de estudios con valor</w:t>
      </w:r>
      <w:r>
        <w:rPr>
          <w:lang w:val="es-ES"/>
        </w:rPr>
        <w:t xml:space="preserve"> </w:t>
      </w:r>
      <w:r>
        <w:rPr>
          <w:lang w:val="es-ES"/>
        </w:rPr>
        <w:t xml:space="preserve">finito.</w:t>
      </w:r>
    </w:p>
    <w:p>
      <w:pPr>
        <w:rPr>
          <w:lang w:val="es-ES"/>
        </w:rPr>
      </w:pPr>
      <w:r>
        <w:rPr>
          <w:lang w:val="es-ES"/>
        </w:rPr>
        <w:t xml:space="preserve">Los resultados se analizan descriptivamente. No se realizaron contrastes de hipótesis ni se</w:t>
      </w:r>
      <w:r>
        <w:rPr>
          <w:lang w:val="es-ES"/>
        </w:rPr>
        <w:t xml:space="preserve"> </w:t>
      </w:r>
      <w:r>
        <w:rPr>
          <w:lang w:val="es-ES"/>
        </w:rPr>
        <w:t xml:space="preserve">definieron márgenes de equivalencia. Asimismo, el presupuesto de 15.000 pasos se fijó a partir de la</w:t>
      </w:r>
      <w:r>
        <w:rPr>
          <w:lang w:val="es-ES"/>
        </w:rPr>
        <w:t xml:space="preserve"> </w:t>
      </w:r>
      <w:r>
        <w:rPr>
          <w:lang w:val="es-ES"/>
        </w:rPr>
        <w:t xml:space="preserve">sonda descrita en el Capítulo 4, pero no se utiliza para afirmar que todas las arquitecturas</w:t>
      </w:r>
      <w:r>
        <w:rPr>
          <w:lang w:val="es-ES"/>
        </w:rPr>
        <w:t xml:space="preserve"> </w:t>
      </w:r>
      <w:r>
        <w:rPr>
          <w:lang w:val="es-ES"/>
        </w:rPr>
        <w:t xml:space="preserve">alcanzaran individualmente la convergencia ni para demostrar ausencia de sobreajuste.</w:t>
      </w:r>
    </w:p>
    <w:bookmarkEnd w:id="53"/>
    <w:bookmarkStart w:id="55" w:name="X4fc37aec60336809c8ece967bb130544a2eb126"/>
    <w:p>
      <w:pPr>
        <w:pStyle w:val="Ttulo2"/>
      </w:pPr>
      <w:r>
        <w:t xml:space="preserve">5.2. Estudio de ablación de las estrategias de fusión</w:t>
      </w:r>
    </w:p>
    <w:p>
      <w:pPr>
        <w:rPr>
          <w:lang w:val="es-ES"/>
        </w:rPr>
      </w:pPr>
      <w:r>
        <w:rPr>
          <w:lang w:val="es-ES"/>
        </w:rPr>
        <w:t xml:space="preserve">La comparación principal incluye cuatro configuraciones construidas sobre la misma Residual U-Net</w:t>
      </w:r>
      <w:r>
        <w:rPr>
          <w:lang w:val="es-ES"/>
        </w:rPr>
        <w:t xml:space="preserve"> </w:t>
      </w:r>
      <w:r>
        <w:rPr>
          <w:lang w:val="es-ES"/>
        </w:rPr>
        <w:t xml:space="preserve">3D: concatenación directa, ponderación global aprendida e independiente de la entrada, compuerta</w:t>
      </w:r>
      <w:r>
        <w:rPr>
          <w:lang w:val="es-ES"/>
        </w:rPr>
        <w:t xml:space="preserve"> </w:t>
      </w:r>
      <w:r>
        <w:rPr>
          <w:lang w:val="es-ES"/>
        </w:rPr>
        <w:t xml:space="preserve">adaptativa basada en la media y compuerta adaptativa basada en la media y la desviación típica. La</w:t>
      </w:r>
      <w:r>
        <w:rPr>
          <w:lang w:val="es-ES"/>
        </w:rPr>
        <w:t xml:space="preserve"> </w:t>
      </w:r>
      <w:r>
        <w:rPr>
          <w:lang w:val="es-ES"/>
        </w:rPr>
        <w:t xml:space="preserve">Tabla 12 presenta el Dice medio obtenido por cada semilla.</w:t>
      </w:r>
    </w:p>
    <w:tbl>
      <w:tblPr>
        <w:tblStyle w:val="Tablaconcuadrcula"/>
        <w:tblW w:type="dxa" w:w="8504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BFBFBF"/>
          <w:left w:val="single" w:sz="5" w:space="0" w:color="BFBFBF"/>
          <w:bottom w:val="single" w:sz="5" w:space="0" w:color="BFBFBF"/>
          <w:right w:val="single" w:sz="5" w:space="0" w:color="BFBFBF"/>
          <w:insideH w:val="single" w:sz="5" w:space="0" w:color="BFBFBF"/>
          <w:insideV w:val="single" w:sz="5" w:space="0" w:color="BFBFBF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6"/>
              </w:rPr>
              <w:t xml:space="preserve">Estrategia de fusión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6"/>
              </w:rPr>
              <w:t xml:space="preserve">Semilla 26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6"/>
              </w:rPr>
              <w:t xml:space="preserve">Semilla 27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6"/>
              </w:rPr>
              <w:t xml:space="preserve">Semilla 28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6"/>
              </w:rPr>
              <w:t xml:space="preserve">Media ± desv.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Concatenación (</w:t>
            </w:r>
            <w:r>
              <w:rPr>
                <w:rStyle w:val="VerbatimChar"/>
                <w:rFonts w:ascii="Arial" w:hAnsi="Arial" w:cs="Arial" w:eastAsia="Arial"/>
                <w:color w:val="000000"/>
                <w:sz w:val="16"/>
              </w:rPr>
              <w:t xml:space="preserve">concat</w:t>
            </w:r>
            <w:r>
              <w:rPr>
                <w:rFonts w:ascii="Arial" w:hAnsi="Arial" w:cs="Arial" w:eastAsia="Arial"/>
                <w:color w:val="000000"/>
                <w:sz w:val="16"/>
              </w:rPr>
              <w:t xml:space="preserve">)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0,698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0,711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0,708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0,706 ± 0,005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Ponderación global (</w:t>
            </w:r>
            <w:r>
              <w:rPr>
                <w:rStyle w:val="VerbatimChar"/>
                <w:rFonts w:ascii="Arial" w:hAnsi="Arial" w:cs="Arial" w:eastAsia="Arial"/>
                <w:color w:val="000000"/>
                <w:sz w:val="16"/>
              </w:rPr>
              <w:t xml:space="preserve">global_weighted</w:t>
            </w:r>
            <w:r>
              <w:rPr>
                <w:rFonts w:ascii="Arial" w:hAnsi="Arial" w:cs="Arial" w:eastAsia="Arial"/>
                <w:color w:val="000000"/>
                <w:sz w:val="16"/>
              </w:rPr>
              <w:t xml:space="preserve">)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0,697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0,713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0,707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0,706 ± 0,006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Compuerta adaptativa (</w:t>
            </w:r>
            <w:r>
              <w:rPr>
                <w:rStyle w:val="VerbatimChar"/>
                <w:rFonts w:ascii="Arial" w:hAnsi="Arial" w:cs="Arial" w:eastAsia="Arial"/>
                <w:color w:val="000000"/>
                <w:sz w:val="16"/>
              </w:rPr>
              <w:t xml:space="preserve">adaptive_gating</w:t>
            </w:r>
            <w:r>
              <w:rPr>
                <w:rFonts w:ascii="Arial" w:hAnsi="Arial" w:cs="Arial" w:eastAsia="Arial"/>
                <w:color w:val="000000"/>
                <w:sz w:val="16"/>
              </w:rPr>
              <w:t xml:space="preserve">)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0,702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0,710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color w:val="000000"/>
                <w:sz w:val="16"/>
              </w:rPr>
              <w:t xml:space="preserve">0,347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0,586 ± 0,169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Compuerta adaptativa (media+desv.)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0,711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color w:val="000000"/>
                <w:sz w:val="16"/>
              </w:rPr>
              <w:t xml:space="preserve">0,349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0,714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6"/>
              </w:rPr>
              <w:t xml:space="preserve">0,592 ± 0,171</w:t>
            </w:r>
          </w:p>
        </w:tc>
      </w:tr>
    </w:tbl>
    <w:p>
      <w:pPr>
        <w:pStyle w:val="Descripcin"/>
        <w:keepLines/>
        <w:rPr>
          <w:lang w:val="es-ES"/>
        </w:rPr>
      </w:pPr>
      <w:r>
        <w:rPr>
          <w:b/>
          <w:lang w:val="es-ES"/>
        </w:rPr>
        <w:t xml:space="preserve">Tabla </w:t>
      </w:r>
      <w:r>
        <w:rPr>
          <w:lang w:val="es-ES"/>
        </w:rPr>
        <w:fldChar w:fldCharType="begin" w:dirty="true"/>
      </w:r>
      <w:r>
        <w:rPr>
          <w:lang w:val="es-ES"/>
        </w:rPr>
        <w:instrText xml:space="preserve"> SEQ Tabla \* ARABIC </w:instrText>
      </w:r>
      <w:r>
        <w:rPr>
          <w:lang w:val="es-ES"/>
        </w:rPr>
        <w:fldChar w:fldCharType="separate"/>
      </w:r>
      <w:r>
        <w:rPr>
          <w:b/>
          <w:lang w:val="es-ES"/>
        </w:rPr>
        <w:t>12</w:t>
      </w:r>
      <w:r>
        <w:rPr>
          <w:lang w:val="es-ES"/>
        </w:rPr>
        <w:fldChar w:fldCharType="end"/>
      </w:r>
      <w:r>
        <w:rPr>
          <w:b/>
          <w:lang w:val="es-ES"/>
        </w:rPr>
        <w:t xml:space="preserve">. </w:t>
      </w:r>
      <w:r>
        <w:rPr>
          <w:lang w:val="es-ES"/>
        </w:rPr>
        <w:t>Dice medio por semilla para las estrategias de fusión evaluadas sobre la misma Residual U-Net 3D. La última columna muestra la media y la desviación estándar poblacional de las tres ejecuciones.</w:t>
      </w:r>
    </w:p>
    <w:p>
      <w:pPr>
        <w:rPr>
          <w:lang w:val="es-ES"/>
        </w:rPr>
      </w:pPr>
      <w:r>
        <w:rPr>
          <w:lang w:val="es-ES"/>
        </w:rPr>
        <w:t xml:space="preserve">La concatenación y la ponderación global producen agregados prácticamente coincidentes. La</w:t>
      </w:r>
      <w:r>
        <w:rPr>
          <w:lang w:val="es-ES"/>
        </w:rPr>
        <w:t xml:space="preserve"> </w:t>
      </w:r>
      <w:r>
        <w:rPr>
          <w:lang w:val="es-ES"/>
        </w:rPr>
        <w:t xml:space="preserve">diferencia media entre ambas es inferior a 0,001 y cambia de signo entre semillas, por lo que no se</w:t>
      </w:r>
      <w:r>
        <w:rPr>
          <w:lang w:val="es-ES"/>
        </w:rPr>
        <w:t xml:space="preserve"> </w:t>
      </w:r>
      <w:r>
        <w:rPr>
          <w:lang w:val="es-ES"/>
        </w:rPr>
        <w:t xml:space="preserve">observa una mejora consistente asociada a la ponderación independiente de la entrada. Los pesos</w:t>
      </w:r>
      <w:r>
        <w:rPr>
          <w:lang w:val="es-ES"/>
        </w:rPr>
        <w:t xml:space="preserve"> </w:t>
      </w:r>
      <w:r>
        <w:rPr>
          <w:lang w:val="es-ES"/>
        </w:rPr>
        <w:t xml:space="preserve">aprendidos por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global_weighted</w:t>
      </w:r>
      <w:r>
        <w:rPr>
          <w:lang w:val="es-ES"/>
        </w:rPr>
        <w:t xml:space="preserve"> </w:t>
      </w:r>
      <w:r>
        <w:rPr>
          <w:lang w:val="es-ES"/>
        </w:rPr>
        <w:t xml:space="preserve">permanecieron, además, próximos a la distribución uniforme: entre 0,244 y 0,254</w:t>
      </w:r>
      <w:r>
        <w:rPr>
          <w:lang w:val="es-ES"/>
        </w:rPr>
        <w:t xml:space="preserve"> </w:t>
      </w:r>
      <w:r>
        <w:rPr>
          <w:lang w:val="es-ES"/>
        </w:rPr>
        <w:t xml:space="preserve">para las cuatro modalidades y las tres semillas. En este experimento, el bloque no desarrolló una</w:t>
      </w:r>
      <w:r>
        <w:rPr>
          <w:lang w:val="es-ES"/>
        </w:rPr>
        <w:t xml:space="preserve"> </w:t>
      </w:r>
      <w:r>
        <w:rPr>
          <w:lang w:val="es-ES"/>
        </w:rPr>
        <w:t xml:space="preserve">preferencia marcada por ninguna modalidad.</w:t>
      </w:r>
    </w:p>
    <w:p>
      <w:pPr>
        <w:rPr>
          <w:lang w:val="es-ES"/>
        </w:rPr>
      </w:pPr>
      <w:r>
        <w:rPr>
          <w:lang w:val="es-ES"/>
        </w:rPr>
        <w:t xml:space="preserve">Las variantes adaptativas presentan un comportamiento diferente. Dos ejecuciones de cada variante</w:t>
      </w:r>
      <w:r>
        <w:rPr>
          <w:lang w:val="es-ES"/>
        </w:rPr>
        <w:t xml:space="preserve"> </w:t>
      </w:r>
      <w:r>
        <w:rPr>
          <w:lang w:val="es-ES"/>
        </w:rPr>
        <w:t xml:space="preserve">alcanzan valores próximos a los de concatenación y ponderación global, entre 0,702 y 0,714. Sin</w:t>
      </w:r>
      <w:r>
        <w:rPr>
          <w:lang w:val="es-ES"/>
        </w:rPr>
        <w:t xml:space="preserve"> </w:t>
      </w:r>
      <w:r>
        <w:rPr>
          <w:lang w:val="es-ES"/>
        </w:rPr>
        <w:t xml:space="preserve">embargo,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adaptive_gating</w:t>
      </w:r>
      <w:r>
        <w:rPr>
          <w:lang w:val="es-ES"/>
        </w:rPr>
        <w:t xml:space="preserve"> </w:t>
      </w:r>
      <w:r>
        <w:rPr>
          <w:lang w:val="es-ES"/>
        </w:rPr>
        <w:t xml:space="preserve">obtiene 0,347 con la semilla 20260528 y la variante basada en la media y</w:t>
      </w:r>
      <w:r>
        <w:rPr>
          <w:lang w:val="es-ES"/>
        </w:rPr>
        <w:t xml:space="preserve"> </w:t>
      </w:r>
      <w:r>
        <w:rPr>
          <w:lang w:val="es-ES"/>
        </w:rPr>
        <w:t xml:space="preserve">la desviación típica obtiene 0,349 con la semilla 20260527. En adelante se describen como</w:t>
      </w:r>
      <w:r>
        <w:rPr>
          <w:lang w:val="es-ES"/>
        </w:rPr>
        <w:t xml:space="preserve"> </w:t>
      </w:r>
      <w:r>
        <w:rPr>
          <w:lang w:val="es-ES"/>
        </w:rPr>
        <w:t xml:space="preserve">ejecuciones de bajo rendimiento porque se separan claramente de las otras repeticiones de su</w:t>
      </w:r>
      <w:r>
        <w:rPr>
          <w:lang w:val="es-ES"/>
        </w:rPr>
        <w:t xml:space="preserve"> </w:t>
      </w:r>
      <w:r>
        <w:rPr>
          <w:lang w:val="es-ES"/>
        </w:rPr>
        <w:t xml:space="preserve">configuración. Su presencia reduce el promedio y eleva la dispersión de las variantes adaptativas.</w:t>
      </w:r>
    </w:p>
    <w:p>
      <w:pPr>
        <w:rPr>
          <w:lang w:val="es-ES"/>
        </w:rPr>
      </w:pPr>
      <w:r>
        <w:rPr>
          <w:lang w:val="es-ES"/>
        </w:rPr>
        <w:t xml:space="preserve">Los registros de entrenamiento permiten acotar la anomalía, aunque no explicarla. En el subconjunto</w:t>
      </w:r>
      <w:r>
        <w:rPr>
          <w:lang w:val="es-ES"/>
        </w:rPr>
        <w:t xml:space="preserve"> </w:t>
      </w:r>
      <w:r>
        <w:rPr>
          <w:lang w:val="es-ES"/>
        </w:rPr>
        <w:t xml:space="preserve">fijo de validación, las ejecuciones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outputs/train/final_adaptive_gating_seed20260528/train_log.csv</w:t>
      </w:r>
      <w:r>
        <w:rPr>
          <w:lang w:val="es-ES"/>
        </w:rPr>
        <w:t xml:space="preserve"> </w:t>
      </w:r>
      <w:r>
        <w:rPr>
          <w:lang w:val="es-ES"/>
        </w:rPr>
        <w:t xml:space="preserve">y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outputs/train/final_adaptive_gating_meanstd_seed20260527/train_log.csv</w:t>
      </w:r>
      <w:r>
        <w:rPr>
          <w:lang w:val="es-ES"/>
        </w:rPr>
        <w:t xml:space="preserve"> </w:t>
      </w:r>
      <w:r>
        <w:rPr>
          <w:lang w:val="es-ES"/>
        </w:rPr>
        <w:t xml:space="preserve">presentaron un Dice bajo</w:t>
      </w:r>
      <w:r>
        <w:rPr>
          <w:lang w:val="es-ES"/>
        </w:rPr>
        <w:t xml:space="preserve"> </w:t>
      </w:r>
      <w:r>
        <w:rPr>
          <w:lang w:val="es-ES"/>
        </w:rPr>
        <w:t xml:space="preserve">desde la primera comprobación y nunca se aproximaron a las otras repeticiones: sus máximos fueron</w:t>
      </w:r>
      <w:r>
        <w:rPr>
          <w:lang w:val="es-ES"/>
        </w:rPr>
        <w:t xml:space="preserve"> </w:t>
      </w:r>
      <w:r>
        <w:rPr>
          <w:lang w:val="es-ES"/>
        </w:rPr>
        <w:t xml:space="preserve">0,339 y 0,321, frente al intervalo 0,673–0,690 de las cuatro ejecuciones restantes. Sus valores</w:t>
      </w:r>
      <w:r>
        <w:rPr>
          <w:lang w:val="es-ES"/>
        </w:rPr>
        <w:t xml:space="preserve"> </w:t>
      </w:r>
      <w:r>
        <w:rPr>
          <w:lang w:val="es-ES"/>
        </w:rPr>
        <w:t xml:space="preserve">finales fueron 0,307 y 0,321. Por tanto, el resultado no se reduce a un deterioro tardío ni a la</w:t>
      </w:r>
      <w:r>
        <w:rPr>
          <w:lang w:val="es-ES"/>
        </w:rPr>
        <w:t xml:space="preserve"> </w:t>
      </w:r>
      <w:r>
        <w:rPr>
          <w:lang w:val="es-ES"/>
        </w:rPr>
        <w:t xml:space="preserve">selección de un único punto de control. Estos registros estaban disponibles en el entorno de</w:t>
      </w:r>
      <w:r>
        <w:rPr>
          <w:lang w:val="es-ES"/>
        </w:rPr>
        <w:t xml:space="preserve"> </w:t>
      </w:r>
      <w:r>
        <w:rPr>
          <w:lang w:val="es-ES"/>
        </w:rPr>
        <w:t xml:space="preserve">trabajo, pero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outputs/train/</w:t>
      </w:r>
      <w:r>
        <w:rPr>
          <w:lang w:val="es-ES"/>
        </w:rPr>
        <w:t xml:space="preserve"> </w:t>
      </w:r>
      <w:r>
        <w:rPr>
          <w:lang w:val="es-ES"/>
        </w:rPr>
        <w:t xml:space="preserve">no está versionado; una auditoría desde un clon limpio requiere</w:t>
      </w:r>
      <w:r>
        <w:rPr>
          <w:lang w:val="es-ES"/>
        </w:rPr>
        <w:t xml:space="preserve"> </w:t>
      </w:r>
      <w:r>
        <w:rPr>
          <w:lang w:val="es-ES"/>
        </w:rPr>
        <w:t xml:space="preserve">recuperarlos de los artefactos externos.</w:t>
      </w:r>
    </w:p>
    <w:p>
      <w:pPr>
        <w:rPr>
          <w:lang w:val="es-ES"/>
        </w:rPr>
      </w:pPr>
      <w:r>
        <w:rPr>
          <w:lang w:val="es-ES"/>
        </w:rPr>
        <w:t xml:space="preserve">La observación de una ejecución de bajo rendimiento entre tres repeticiones no permite estimar una</w:t>
      </w:r>
      <w:r>
        <w:rPr>
          <w:lang w:val="es-ES"/>
        </w:rPr>
        <w:t xml:space="preserve"> </w:t>
      </w:r>
      <w:r>
        <w:rPr>
          <w:lang w:val="es-ES"/>
        </w:rPr>
        <w:t xml:space="preserve">probabilidad general de fallo ni determinar su causa. Sí muestra que las variantes adaptativas</w:t>
      </w:r>
      <w:r>
        <w:rPr>
          <w:lang w:val="es-ES"/>
        </w:rPr>
        <w:t xml:space="preserve"> </w:t>
      </w:r>
      <w:r>
        <w:rPr>
          <w:lang w:val="es-ES"/>
        </w:rPr>
        <w:t xml:space="preserve">presentaron mayor variabilidad entre las semillas ejecutadas que la concatenación y la ponderación</w:t>
      </w:r>
      <w:r>
        <w:rPr>
          <w:lang w:val="es-ES"/>
        </w:rPr>
        <w:t xml:space="preserve"> </w:t>
      </w:r>
      <w:r>
        <w:rPr>
          <w:lang w:val="es-ES"/>
        </w:rPr>
        <w:t xml:space="preserve">global dentro del presupuesto evaluado.</w:t>
      </w:r>
    </w:p>
    <w:p>
      <w:pPr>
        <w:rPr>
          <w:lang w:val="es-ES"/>
        </w:rPr>
      </w:pPr>
      <w:r>
        <w:rPr>
          <w:lang w:val="es-ES"/>
        </w:rPr>
        <w:t xml:space="preserve">El artefacto versionado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outputs/evaluation/adaptive_gating_explore_diagnosis.txt</w:t>
      </w:r>
      <w:r>
        <w:rPr>
          <w:lang w:val="es-ES"/>
        </w:rPr>
        <w:t xml:space="preserve"> </w:t>
      </w:r>
      <w:r>
        <w:rPr>
          <w:lang w:val="es-ES"/>
        </w:rPr>
        <w:t xml:space="preserve">aporta un</w:t>
      </w:r>
      <w:r>
        <w:rPr>
          <w:lang w:val="es-ES"/>
        </w:rPr>
        <w:t xml:space="preserve"> </w:t>
      </w:r>
      <w:r>
        <w:rPr>
          <w:lang w:val="es-ES"/>
        </w:rPr>
        <w:t xml:space="preserve">diagnóstico exploratorio, no una medición de los puntos de control finales. En cuatro ejecuciones</w:t>
      </w:r>
      <w:r>
        <w:rPr>
          <w:lang w:val="es-ES"/>
        </w:rPr>
        <w:t xml:space="preserve"> </w:t>
      </w:r>
      <w:r>
        <w:rPr>
          <w:lang w:val="es-ES"/>
        </w:rPr>
        <w:t xml:space="preserve">preliminares de 5.000 pasos,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scripts/diagnose_adaptive_gating.py</w:t>
      </w:r>
      <w:r>
        <w:rPr>
          <w:lang w:val="es-ES"/>
        </w:rPr>
        <w:t xml:space="preserve"> </w:t>
      </w:r>
      <w:r>
        <w:rPr>
          <w:lang w:val="es-ES"/>
        </w:rPr>
        <w:t xml:space="preserve">aplicó la compuerta una vez a cada</w:t>
      </w:r>
      <w:r>
        <w:rPr>
          <w:lang w:val="es-ES"/>
        </w:rPr>
        <w:t xml:space="preserve"> </w:t>
      </w:r>
      <w:r>
        <w:rPr>
          <w:lang w:val="es-ES"/>
        </w:rPr>
        <w:t xml:space="preserve">uno de 40 volúmenes completos normalizados. Las desviaciones por modalidad se redondearon a 0,000 en</w:t>
      </w:r>
      <w:r>
        <w:rPr>
          <w:lang w:val="es-ES"/>
        </w:rPr>
        <w:t xml:space="preserve"> </w:t>
      </w:r>
      <w:r>
        <w:rPr>
          <w:lang w:val="es-ES"/>
        </w:rPr>
        <w:t xml:space="preserve">la variante basada en la media y a 0,000–0,001 en las variantes basadas en la media y la desviación</w:t>
      </w:r>
      <w:r>
        <w:rPr>
          <w:lang w:val="es-ES"/>
        </w:rPr>
        <w:t xml:space="preserve"> </w:t>
      </w:r>
      <w:r>
        <w:rPr>
          <w:lang w:val="es-ES"/>
        </w:rPr>
        <w:t xml:space="preserve">típica. Las entropías medias fueron 1,355–1,381, próximas al máximo de ln(4) = 1,386, y ningún peso</w:t>
      </w:r>
      <w:r>
        <w:rPr>
          <w:lang w:val="es-ES"/>
        </w:rPr>
        <w:t xml:space="preserve"> </w:t>
      </w:r>
      <w:r>
        <w:rPr>
          <w:lang w:val="es-ES"/>
        </w:rPr>
        <w:t xml:space="preserve">medio superó 0,331.</w:t>
      </w:r>
    </w:p>
    <w:p>
      <w:pPr>
        <w:rPr>
          <w:lang w:val="es-ES"/>
        </w:rPr>
      </w:pPr>
      <w:r>
        <w:rPr>
          <w:lang w:val="es-ES"/>
        </w:rPr>
        <w:t xml:space="preserve">En esas exploraciones no se observó una concentración extrema en una única modalidad. Sin embargo,</w:t>
      </w:r>
      <w:r>
        <w:rPr>
          <w:lang w:val="es-ES"/>
        </w:rPr>
        <w:t xml:space="preserve"> </w:t>
      </w:r>
      <w:r>
        <w:rPr>
          <w:lang w:val="es-ES"/>
        </w:rPr>
        <w:t xml:space="preserve">el modelo recibe parches durante el entrenamiento y ventanas deslizantes durante la inferencia, y</w:t>
      </w:r>
      <w:r>
        <w:rPr>
          <w:lang w:val="es-ES"/>
        </w:rPr>
        <w:t xml:space="preserve"> </w:t>
      </w:r>
      <w:r>
        <w:rPr>
          <w:lang w:val="es-ES"/>
        </w:rPr>
        <w:t xml:space="preserve">calcula los pesos sobre cada tensor recibido. El diagnóstico no caracteriza esa variación operativa</w:t>
      </w:r>
      <w:r>
        <w:rPr>
          <w:lang w:val="es-ES"/>
        </w:rPr>
        <w:t xml:space="preserve"> </w:t>
      </w:r>
      <w:r>
        <w:rPr>
          <w:lang w:val="es-ES"/>
        </w:rPr>
        <w:t xml:space="preserve">ni permite extrapolar su resultado a los puntos de control finales o relacionarlo causalmente con</w:t>
      </w:r>
      <w:r>
        <w:rPr>
          <w:lang w:val="es-ES"/>
        </w:rPr>
        <w:t xml:space="preserve"> </w:t>
      </w:r>
      <w:r>
        <w:rPr>
          <w:lang w:val="es-ES"/>
        </w:rPr>
        <w:t xml:space="preserve">las ejecuciones débiles. Repetirlo requiere además los datos y los puntos de control no versionados;</w:t>
      </w:r>
      <w:r>
        <w:rPr>
          <w:lang w:val="es-ES"/>
        </w:rPr>
        <w:t xml:space="preserve"> </w:t>
      </w:r>
      <w:r>
        <w:rPr>
          <w:lang w:val="es-ES"/>
        </w:rPr>
        <w:t xml:space="preserve">para resolver esta limitación habría que registrar los pesos durante el entrenamiento y la</w:t>
      </w:r>
      <w:r>
        <w:rPr>
          <w:lang w:val="es-ES"/>
        </w:rPr>
        <w:t xml:space="preserve"> </w:t>
      </w:r>
      <w:r>
        <w:rPr>
          <w:lang w:val="es-ES"/>
        </w:rPr>
        <w:t xml:space="preserve">inferencia y conservar un resumen reproducible.</w:t>
      </w:r>
    </w:p>
    <w:p>
      <w:pPr>
        <w:rPr>
          <w:lang w:val="es-ES"/>
        </w:rPr>
      </w:pPr>
      <w:r>
        <w:rPr>
          <w:lang w:val="es-ES"/>
        </w:rPr>
        <w:t xml:space="preserve">Como comprobación de sensibilidad, se repitió el agregado sobre los 38 estudios correspondientes a</w:t>
      </w:r>
      <w:r>
        <w:rPr>
          <w:lang w:val="es-ES"/>
        </w:rPr>
        <w:t xml:space="preserve"> </w:t>
      </w:r>
      <w:r>
        <w:rPr>
          <w:lang w:val="es-ES"/>
        </w:rPr>
        <w:t xml:space="preserve">29 sujetos que no aparecen ni en entrenamiento ni en validación. En este subconjunto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post hoc</w:t>
      </w:r>
      <w:r>
        <w:rPr>
          <w:lang w:val="es-ES"/>
        </w:rPr>
        <w:t xml:space="preserve">, la</w:t>
      </w:r>
      <w:r>
        <w:rPr>
          <w:lang w:val="es-ES"/>
        </w:rPr>
        <w:t xml:space="preserve"> </w:t>
      </w:r>
      <w:r>
        <w:rPr>
          <w:lang w:val="es-ES"/>
        </w:rPr>
        <w:t xml:space="preserve">concatenación obtuvo 0,751 ± 0,003; la ponderación global, 0,750 ± 0,006; la compuerta adaptativa,</w:t>
      </w:r>
      <w:r>
        <w:rPr>
          <w:lang w:val="es-ES"/>
        </w:rPr>
        <w:t xml:space="preserve"> </w:t>
      </w:r>
      <w:r>
        <w:rPr>
          <w:lang w:val="es-ES"/>
        </w:rPr>
        <w:t xml:space="preserve">0,617 ± 0,192; y la variante basada en la media y la desviación típica, 0,620 ± 0,194. La ordenación</w:t>
      </w:r>
      <w:r>
        <w:rPr>
          <w:lang w:val="es-ES"/>
        </w:rPr>
        <w:t xml:space="preserve"> </w:t>
      </w:r>
      <w:r>
        <w:rPr>
          <w:lang w:val="es-ES"/>
        </w:rPr>
        <w:t xml:space="preserve">descriptiva no cambia en este subconjunto, aunque su carácter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post hoc</w:t>
      </w:r>
      <w:r>
        <w:rPr>
          <w:lang w:val="es-ES"/>
        </w:rPr>
        <w:t xml:space="preserve"> </w:t>
      </w:r>
      <w:r>
        <w:rPr>
          <w:lang w:val="es-ES"/>
        </w:rPr>
        <w:t xml:space="preserve">y su reducido tamaño</w:t>
      </w:r>
      <w:r>
        <w:rPr>
          <w:lang w:val="es-ES"/>
        </w:rPr>
        <w:t xml:space="preserve"> </w:t>
      </w:r>
      <w:r>
        <w:rPr>
          <w:lang w:val="es-ES"/>
        </w:rPr>
        <w:t xml:space="preserve">impiden tratarlo como una estimación independiente de generalización.</w:t>
      </w:r>
    </w:p>
    <w:p>
      <w:pPr>
        <w:rPr>
          <w:lang w:val="es-ES"/>
        </w:rPr>
      </w:pPr>
      <w:r>
        <w:rPr>
          <w:lang w:val="es-ES"/>
        </w:rPr>
        <w:t xml:space="preserve">En conjunto, los experimentos no aportan evidencia de que las estrategias adaptativas evaluadas</w:t>
      </w:r>
      <w:r>
        <w:rPr>
          <w:lang w:val="es-ES"/>
        </w:rPr>
        <w:t xml:space="preserve"> </w:t>
      </w:r>
      <w:r>
        <w:rPr>
          <w:lang w:val="es-ES"/>
        </w:rPr>
        <w:t xml:space="preserve">mejoren de forma consistente la concatenación directa. Dentro de este montaje, la concatenación fue</w:t>
      </w:r>
      <w:r>
        <w:rPr>
          <w:lang w:val="es-ES"/>
        </w:rPr>
        <w:t xml:space="preserve"> </w:t>
      </w:r>
      <w:r>
        <w:rPr>
          <w:lang w:val="es-ES"/>
        </w:rPr>
        <w:t xml:space="preserve">la alternativa más parsimoniosa y, junto con la ponderación global, la que presentó menor</w:t>
      </w:r>
      <w:r>
        <w:rPr>
          <w:lang w:val="es-ES"/>
        </w:rPr>
        <w:t xml:space="preserve"> </w:t>
      </w:r>
      <w:r>
        <w:rPr>
          <w:lang w:val="es-ES"/>
        </w:rPr>
        <w:t xml:space="preserve">variabilidad entre semillas.</w:t>
      </w:r>
    </w:p>
    <w:bookmarkEnd w:id="54"/>
    <w:bookmarkStart w:id="56" w:name="comparación-descriptiva-de-arquitecturas"/>
    <w:p>
      <w:pPr>
        <w:pStyle w:val="Ttulo2"/>
      </w:pPr>
      <w:r>
        <w:t xml:space="preserve">5.3. Comparación descriptiva de arquitecturas</w:t>
      </w:r>
    </w:p>
    <w:p>
      <w:pPr>
        <w:rPr>
          <w:lang w:val="es-ES"/>
        </w:rPr>
      </w:pPr>
      <w:r>
        <w:rPr>
          <w:lang w:val="es-ES"/>
        </w:rPr>
        <w:t xml:space="preserve">La Tabla 13 amplía el análisis con Attention U-Net, Swin-UNETR y nnU-Net y presenta el Dice por</w:t>
      </w:r>
      <w:r>
        <w:rPr>
          <w:lang w:val="es-ES"/>
        </w:rPr>
        <w:t xml:space="preserve"> </w:t>
      </w:r>
      <w:r>
        <w:rPr>
          <w:lang w:val="es-ES"/>
        </w:rPr>
        <w:t xml:space="preserve">región y la media de ET, TC y WT. Los valores de las configuraciones MONAI corresponden a tres</w:t>
      </w:r>
      <w:r>
        <w:rPr>
          <w:lang w:val="es-ES"/>
        </w:rPr>
        <w:t xml:space="preserve"> </w:t>
      </w:r>
      <w:r>
        <w:rPr>
          <w:lang w:val="es-ES"/>
        </w:rPr>
        <w:t xml:space="preserve">semillas; nnU-Net procede de una única ejecución de referencia.</w:t>
      </w:r>
    </w:p>
    <w:tbl>
      <w:tblPr>
        <w:tblStyle w:val="Tablaconcuadrcula"/>
        <w:tblW w:type="dxa" w:w="8504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BFBFBF"/>
          <w:left w:val="single" w:sz="5" w:space="0" w:color="BFBFBF"/>
          <w:bottom w:val="single" w:sz="5" w:space="0" w:color="BFBFBF"/>
          <w:right w:val="single" w:sz="5" w:space="0" w:color="BFBFBF"/>
          <w:insideH w:val="single" w:sz="5" w:space="0" w:color="BFBFBF"/>
          <w:insideV w:val="single" w:sz="5" w:space="0" w:color="BFBFBF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  <w:cantSplit/>
        </w:trPr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4"/>
              </w:rPr>
              <w:t xml:space="preserve">Modelo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4"/>
              </w:rPr>
              <w:t xml:space="preserve">n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4"/>
              </w:rPr>
              <w:t xml:space="preserve">Dice medio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4"/>
              </w:rPr>
              <w:t xml:space="preserve">ET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4"/>
              </w:rPr>
              <w:t xml:space="preserve">TC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4"/>
              </w:rPr>
              <w:t xml:space="preserve">WT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nnU-Net</w:t>
            </w:r>
            <w:r>
              <w:rPr>
                <w:rFonts w:ascii="Arial" w:hAnsi="Arial" w:cs="Arial" w:eastAsia="Arial"/>
                <w:color w:val="000000"/>
                <w:sz w:val="14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4"/>
              </w:rPr>
              <w:t xml:space="preserve">3d_fullres</w:t>
            </w:r>
            <w:r>
              <w:rPr>
                <w:rFonts w:ascii="Arial" w:hAnsi="Arial" w:cs="Arial" w:eastAsia="Arial"/>
                <w:color w:val="000000"/>
                <w:sz w:val="14"/>
              </w:rPr>
              <w:t xml:space="preserve">, fold 0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1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0,829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0,713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0,864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0,911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Swin-UNETR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3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0,752 ± 0,017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0,624 ± 0,011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0,774 ± 0,020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0,857 ± 0,019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Attention U-Net 3D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3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0,735 ± 0,006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0,572 ± 0,013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0,770 ± 0,003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0,861 ± 0,002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Residual U-Net + concatenación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3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0,706 ± 0,005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0,548 ± 0,009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0,729 ± 0,010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0,841 ± 0,004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Residual U-Net + ponderación global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3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0,706 ± 0,006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0,550 ± 0,013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0,727 ± 0,009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0,840 ± 0,004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Residual U-Net + compuerta adaptativa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3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0,586 ± 0,169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0,404 ± 0,200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0,585 ± 0,205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0,770 ± 0,102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Residual U-Net + compuerta media+desv.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3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0,592 ± 0,171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0,419 ± 0,211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0,591 ± 0,209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0,765 ± 0,095</w:t>
            </w:r>
          </w:p>
        </w:tc>
      </w:tr>
    </w:tbl>
    <w:p>
      <w:pPr>
        <w:pStyle w:val="Descripcin"/>
        <w:keepLines/>
        <w:rPr>
          <w:lang w:val="es-ES"/>
        </w:rPr>
      </w:pPr>
      <w:r>
        <w:rPr>
          <w:b/>
          <w:lang w:val="es-ES"/>
        </w:rPr>
        <w:t xml:space="preserve">Tabla </w:t>
      </w:r>
      <w:r>
        <w:rPr>
          <w:lang w:val="es-ES"/>
        </w:rPr>
        <w:fldChar w:fldCharType="begin" w:dirty="true"/>
      </w:r>
      <w:r>
        <w:rPr>
          <w:lang w:val="es-ES"/>
        </w:rPr>
        <w:instrText xml:space="preserve"> SEQ Tabla \* ARABIC </w:instrText>
      </w:r>
      <w:r>
        <w:rPr>
          <w:lang w:val="es-ES"/>
        </w:rPr>
        <w:fldChar w:fldCharType="separate"/>
      </w:r>
      <w:r>
        <w:rPr>
          <w:b/>
          <w:lang w:val="es-ES"/>
        </w:rPr>
        <w:t>13</w:t>
      </w:r>
      <w:r>
        <w:rPr>
          <w:lang w:val="es-ES"/>
        </w:rPr>
        <w:fldChar w:fldCharType="end"/>
      </w:r>
      <w:r>
        <w:rPr>
          <w:b/>
          <w:lang w:val="es-ES"/>
        </w:rPr>
        <w:t xml:space="preserve">. </w:t>
      </w:r>
      <w:r>
        <w:rPr>
          <w:lang w:val="es-ES"/>
        </w:rPr>
        <w:t>Coeficiente Dice en la partición de evaluación. Para las configuraciones con tres semillas se presenta media ± desviación estándar poblacional.</w:t>
      </w:r>
    </w:p>
    <w:p>
      <w:pPr>
        <w:rPr>
          <w:lang w:val="es-ES"/>
        </w:rPr>
      </w:pPr>
      <w:r>
        <w:rPr>
          <w:lang w:val="es-ES"/>
        </w:rPr>
        <w:t xml:space="preserve">nnU-Net alcanza el mayor Dice medio observado, con 0,829. Este resultado se utiliza como referencia</w:t>
      </w:r>
      <w:r>
        <w:rPr>
          <w:lang w:val="es-ES"/>
        </w:rPr>
        <w:t xml:space="preserve"> </w:t>
      </w:r>
      <w:r>
        <w:rPr>
          <w:lang w:val="es-ES"/>
        </w:rPr>
        <w:t xml:space="preserve">contextual, no como una ablación controlada de arquitectura. nnU-Net empleó su propio</w:t>
      </w:r>
      <w:r>
        <w:rPr>
          <w:lang w:val="es-ES"/>
        </w:rPr>
        <w:t xml:space="preserve"> </w:t>
      </w:r>
      <w:r>
        <w:rPr>
          <w:lang w:val="es-ES"/>
        </w:rPr>
        <w:t xml:space="preserve">preprocesamiento, aumento de datos, función de pérdida, optimizador y planificación, además de un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checkpoint</w:t>
      </w:r>
      <w:r>
        <w:rPr>
          <w:lang w:val="es-ES"/>
        </w:rPr>
        <w:t xml:space="preserve"> </w:t>
      </w:r>
      <w:r>
        <w:rPr>
          <w:lang w:val="es-ES"/>
        </w:rPr>
        <w:t xml:space="preserve">seleccionado mediante su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fold</w:t>
      </w:r>
      <w:r>
        <w:rPr>
          <w:lang w:val="es-ES"/>
        </w:rPr>
        <w:t xml:space="preserve"> </w:t>
      </w:r>
      <w:r>
        <w:rPr>
          <w:lang w:val="es-ES"/>
        </w:rPr>
        <w:t xml:space="preserve">interno. Solo se ejecutó una vez, por lo que</w:t>
      </w:r>
      <w:r>
        <w:rPr>
          <w:lang w:val="es-ES"/>
        </w:rPr>
        <w:t xml:space="preserve"> </w:t>
      </w:r>
      <w:r>
        <w:rPr>
          <w:lang w:val="es-ES"/>
        </w:rPr>
        <w:t xml:space="preserve">tampoco es posible estimar su variabilidad entre semillas.</w:t>
      </w:r>
    </w:p>
    <w:p>
      <w:pPr>
        <w:rPr>
          <w:lang w:val="es-ES"/>
        </w:rPr>
      </w:pPr>
      <w:r>
        <w:rPr>
          <w:lang w:val="es-ES"/>
        </w:rPr>
        <w:t xml:space="preserve">La diferencia respecto a las configuraciones MONAI indica que el margen observado no se agota en</w:t>
      </w:r>
      <w:r>
        <w:rPr>
          <w:lang w:val="es-ES"/>
        </w:rPr>
        <w:t xml:space="preserve"> </w:t>
      </w:r>
      <w:r>
        <w:rPr>
          <w:lang w:val="es-ES"/>
        </w:rPr>
        <w:t xml:space="preserve">añadir una regla ligera de fusión temprana. Sin embargo, este diseño no permite decidir qué parte</w:t>
      </w:r>
      <w:r>
        <w:rPr>
          <w:lang w:val="es-ES"/>
        </w:rPr>
        <w:t xml:space="preserve"> </w:t>
      </w:r>
      <w:r>
        <w:rPr>
          <w:lang w:val="es-ES"/>
        </w:rPr>
        <w:t xml:space="preserve">del proceso auto-configurado de nnU-Net explica esa diferencia ni separar su contribución de la del</w:t>
      </w:r>
      <w:r>
        <w:rPr>
          <w:lang w:val="es-ES"/>
        </w:rPr>
        <w:t xml:space="preserve"> </w:t>
      </w:r>
      <w:r>
        <w:rPr>
          <w:lang w:val="es-ES"/>
        </w:rPr>
        <w:t xml:space="preserve">presupuesto y la selección del punto de control.</w:t>
      </w:r>
    </w:p>
    <w:p>
      <w:pPr>
        <w:rPr>
          <w:lang w:val="es-ES"/>
        </w:rPr>
      </w:pPr>
      <w:r>
        <w:rPr>
          <w:lang w:val="es-ES"/>
        </w:rPr>
        <w:t xml:space="preserve">Swin-UNETR alcanza el mayor Dice medio entre las configuraciones MONAI, con 0,752 ± 0,017, seguido</w:t>
      </w:r>
      <w:r>
        <w:rPr>
          <w:lang w:val="es-ES"/>
        </w:rPr>
        <w:t xml:space="preserve"> </w:t>
      </w:r>
      <w:r>
        <w:rPr>
          <w:lang w:val="es-ES"/>
        </w:rPr>
        <w:t xml:space="preserve">de Attention U-Net con 0,735 ± 0,006. Ambos modelos compartieron el protocolo A100, lo que permite</w:t>
      </w:r>
      <w:r>
        <w:rPr>
          <w:lang w:val="es-ES"/>
        </w:rPr>
        <w:t xml:space="preserve"> </w:t>
      </w:r>
      <w:r>
        <w:rPr>
          <w:lang w:val="es-ES"/>
        </w:rPr>
        <w:t xml:space="preserve">una comparación descriptiva más directa. Swin-UNETR obtuvo una media superior en dos semillas,</w:t>
      </w:r>
      <w:r>
        <w:rPr>
          <w:lang w:val="es-ES"/>
        </w:rPr>
        <w:t xml:space="preserve"> </w:t>
      </w:r>
      <w:r>
        <w:rPr>
          <w:lang w:val="es-ES"/>
        </w:rPr>
        <w:t xml:space="preserve">mientras que Attention U-Net alcanzó el mejor resultado en la semilla 20260528. Attention U-Net</w:t>
      </w:r>
      <w:r>
        <w:rPr>
          <w:lang w:val="es-ES"/>
        </w:rPr>
        <w:t xml:space="preserve"> </w:t>
      </w:r>
      <w:r>
        <w:rPr>
          <w:lang w:val="es-ES"/>
        </w:rPr>
        <w:t xml:space="preserve">presentó además una dispersión menor entre repeticiones. Con tres semillas puede describirse esta</w:t>
      </w:r>
      <w:r>
        <w:rPr>
          <w:lang w:val="es-ES"/>
        </w:rPr>
        <w:t xml:space="preserve"> </w:t>
      </w:r>
      <w:r>
        <w:rPr>
          <w:lang w:val="es-ES"/>
        </w:rPr>
        <w:t xml:space="preserve">ordenación, pero no establecer una superioridad estadística.</w:t>
      </w:r>
    </w:p>
    <w:p>
      <w:pPr>
        <w:rPr>
          <w:lang w:val="es-ES"/>
        </w:rPr>
      </w:pPr>
      <w:r>
        <w:rPr>
          <w:lang w:val="es-ES"/>
        </w:rPr>
        <w:t xml:space="preserve">La principal diferencia regional entre ambos modelos aparece en el Dice agregado de ET: 0,624 para</w:t>
      </w:r>
      <w:r>
        <w:rPr>
          <w:lang w:val="es-ES"/>
        </w:rPr>
        <w:t xml:space="preserve"> </w:t>
      </w:r>
      <w:r>
        <w:rPr>
          <w:lang w:val="es-ES"/>
        </w:rPr>
        <w:t xml:space="preserve">Swin-UNETR y 0,572 para Attention U-Net. ET está presente en 182 de los 243 estudios y ausente en</w:t>
      </w:r>
      <w:r>
        <w:rPr>
          <w:lang w:val="es-ES"/>
        </w:rPr>
        <w:t xml:space="preserve"> </w:t>
      </w:r>
      <w:r>
        <w:rPr>
          <w:lang w:val="es-ES"/>
        </w:rPr>
        <w:t xml:space="preserve">los 61 restantes. Como la evaluación asigna Dice = 1 cuando predicción y referencia están vacías,</w:t>
      </w:r>
      <w:r>
        <w:rPr>
          <w:lang w:val="es-ES"/>
        </w:rPr>
        <w:t xml:space="preserve"> </w:t>
      </w:r>
      <w:r>
        <w:rPr>
          <w:lang w:val="es-ES"/>
        </w:rPr>
        <w:t xml:space="preserve">este agregado combina la delineación en estudios con ET y la detección de su ausencia. Los</w:t>
      </w:r>
      <w:r>
        <w:rPr>
          <w:lang w:val="es-ES"/>
        </w:rPr>
        <w:t xml:space="preserve"> </w:t>
      </w:r>
      <w:r>
        <w:rPr>
          <w:lang w:val="es-ES"/>
        </w:rPr>
        <w:t xml:space="preserve">artefactos versionados no incluyen los seis CSV por estudio de estas dos arquitecturas y, por tanto,</w:t>
      </w:r>
      <w:r>
        <w:rPr>
          <w:lang w:val="es-ES"/>
        </w:rPr>
        <w:t xml:space="preserve"> </w:t>
      </w:r>
      <w:r>
        <w:rPr>
          <w:lang w:val="es-ES"/>
        </w:rPr>
        <w:t xml:space="preserve">no permiten descomponer aquí ambas contribuciones.</w:t>
      </w:r>
    </w:p>
    <w:p>
      <w:pPr>
        <w:rPr>
          <w:lang w:val="es-ES"/>
        </w:rPr>
      </w:pPr>
      <w:r>
        <w:rPr>
          <w:lang w:val="es-ES"/>
        </w:rPr>
        <w:t xml:space="preserve">La comparación global con las Residual U-Net debe mantenerse en el plano contextual. Aunque los</w:t>
      </w:r>
      <w:r>
        <w:rPr>
          <w:lang w:val="es-ES"/>
        </w:rPr>
        <w:t xml:space="preserve"> </w:t>
      </w:r>
      <w:r>
        <w:rPr>
          <w:lang w:val="es-ES"/>
        </w:rPr>
        <w:t xml:space="preserve">modelos MONAI compartieron el mismo presupuesto de entrenamiento, las configuraciones ejecutadas</w:t>
      </w:r>
      <w:r>
        <w:rPr>
          <w:lang w:val="es-ES"/>
        </w:rPr>
        <w:t xml:space="preserve"> </w:t>
      </w:r>
      <w:r>
        <w:rPr>
          <w:lang w:val="es-ES"/>
        </w:rPr>
        <w:t xml:space="preserve">localmente utilizaron un solapamiento de ventana de 0,25 y las ejecutadas en A100 utilizaron 0,50.</w:t>
      </w:r>
      <w:r>
        <w:rPr>
          <w:lang w:val="es-ES"/>
        </w:rPr>
        <w:t xml:space="preserve"> </w:t>
      </w:r>
      <w:r>
        <w:rPr>
          <w:lang w:val="es-ES"/>
        </w:rPr>
        <w:t xml:space="preserve">La tabla permite describir los resultados obtenidos por cada configuración, pero no atribuir toda</w:t>
      </w:r>
      <w:r>
        <w:rPr>
          <w:lang w:val="es-ES"/>
        </w:rPr>
        <w:t xml:space="preserve"> </w:t>
      </w:r>
      <w:r>
        <w:rPr>
          <w:lang w:val="es-ES"/>
        </w:rPr>
        <w:t xml:space="preserve">la diferencia observada exclusivamente a la arquitectura.</w:t>
      </w:r>
    </w:p>
    <w:p>
      <w:pPr>
        <w:rPr>
          <w:lang w:val="es-ES"/>
        </w:rPr>
      </w:pPr>
      <w:r>
        <w:rPr>
          <w:lang w:val="es-ES"/>
        </w:rPr>
        <w:t xml:space="preserve">La Tabla 14 muestra HD95. Para las configuraciones con tres semillas, cada celda contiene la media</w:t>
      </w:r>
      <w:r>
        <w:rPr>
          <w:lang w:val="es-ES"/>
        </w:rPr>
        <w:t xml:space="preserve"> </w:t>
      </w:r>
      <w:r>
        <w:rPr>
          <w:lang w:val="es-ES"/>
        </w:rPr>
        <w:t xml:space="preserve">y la desviación estándar de los tres promedios por ejecución. Entre corchetes se indica el intervalo</w:t>
      </w:r>
      <w:r>
        <w:rPr>
          <w:lang w:val="es-ES"/>
        </w:rPr>
        <w:t xml:space="preserve"> </w:t>
      </w:r>
      <w:r>
        <w:rPr>
          <w:lang w:val="es-ES"/>
        </w:rPr>
        <w:t xml:space="preserve">del número de estudios con HD95 finito. En nnU-Net se presenta el denominador de su única ejecución.</w:t>
      </w:r>
    </w:p>
    <w:tbl>
      <w:tblPr>
        <w:tblStyle w:val="Tablaconcuadrcula"/>
        <w:tblW w:type="dxa" w:w="8504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BFBFBF"/>
          <w:left w:val="single" w:sz="5" w:space="0" w:color="BFBFBF"/>
          <w:bottom w:val="single" w:sz="5" w:space="0" w:color="BFBFBF"/>
          <w:right w:val="single" w:sz="5" w:space="0" w:color="BFBFBF"/>
          <w:insideH w:val="single" w:sz="5" w:space="0" w:color="BFBFBF"/>
          <w:insideV w:val="single" w:sz="5" w:space="0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Modelo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HD95 ET [n finitos]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HD95 TC [n finitos]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HD95 WT [n finitos]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nnU-Net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3d_fullres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, fold 0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2,95 [207]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3,27 [238]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3,33 [242]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Swin-UNETR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5,76 ± 0,34 [197–201]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7,26 ± 1,14 [236–238]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7,60 ± 1,00 [242–243]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Attention U-Net 3D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8,31 ± 0,45 [186–191]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8,93 ± 0,70 [236–237]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7,88 ± 0,52 [243]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Residual U-Net + concatenación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8,75 ± 1,05 [192–194]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11,00 ± 1,37 [237–239]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10,28 ± 0,58 [243]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Residual U-Net + ponderación global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8,90 ± 0,80 [193–194]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11,30 ± 0,86 [236–238]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10,66 ± 0,16 [243]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Residual U-Net + compuerta adaptativa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23,83 ± 20,03 [182–195]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24,52 ± 18,25 [237–238]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17,17 ± 9,46 [243]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Residual U-Net + compuerta media+desv.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22,85 ± 20,98 [182–195]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23,62 ± 19,52 [237–239]</w:t>
            </w:r>
          </w:p>
        </w:tc>
        <w:tc>
          <w:tcPr>
            <w:tcW w:type="dxa" w:w="212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17,78 ± 10,77 [243]</w:t>
            </w:r>
          </w:p>
        </w:tc>
      </w:tr>
    </w:tbl>
    <w:p>
      <w:pPr>
        <w:pStyle w:val="Descripcin"/>
        <w:keepLines/>
        <w:rPr>
          <w:lang w:val="es-ES"/>
        </w:rPr>
      </w:pPr>
      <w:r>
        <w:rPr>
          <w:b/>
          <w:lang w:val="es-ES"/>
        </w:rPr>
        <w:t xml:space="preserve">Tabla </w:t>
      </w:r>
      <w:r>
        <w:rPr>
          <w:lang w:val="es-ES"/>
        </w:rPr>
        <w:fldChar w:fldCharType="begin" w:dirty="true"/>
      </w:r>
      <w:r>
        <w:rPr>
          <w:lang w:val="es-ES"/>
        </w:rPr>
        <w:instrText xml:space="preserve"> SEQ Tabla \* ARABIC </w:instrText>
      </w:r>
      <w:r>
        <w:rPr>
          <w:lang w:val="es-ES"/>
        </w:rPr>
        <w:fldChar w:fldCharType="separate"/>
      </w:r>
      <w:r>
        <w:rPr>
          <w:b/>
          <w:lang w:val="es-ES"/>
        </w:rPr>
        <w:t>14</w:t>
      </w:r>
      <w:r>
        <w:rPr>
          <w:lang w:val="es-ES"/>
        </w:rPr>
        <w:fldChar w:fldCharType="end"/>
      </w:r>
      <w:r>
        <w:rPr>
          <w:b/>
          <w:lang w:val="es-ES"/>
        </w:rPr>
        <w:t xml:space="preserve">. </w:t>
      </w:r>
      <w:r>
        <w:rPr>
          <w:lang w:val="es-ES"/>
        </w:rPr>
        <w:t>HD95 en milímetros y número de estudios con valor finito. Un valor menor indica menor discrepancia de superficie entre los casos incluidos en el promedio.</w:t>
      </w:r>
    </w:p>
    <w:p>
      <w:pPr>
        <w:rPr>
          <w:lang w:val="es-ES"/>
        </w:rPr>
      </w:pPr>
      <w:r>
        <w:rPr>
          <w:lang w:val="es-ES"/>
        </w:rPr>
        <w:t xml:space="preserve">La ordenación descriptiva de HD95 es compatible, en términos generales, con la observada en Dice.</w:t>
      </w:r>
      <w:r>
        <w:rPr>
          <w:lang w:val="es-ES"/>
        </w:rPr>
        <w:t xml:space="preserve"> </w:t>
      </w:r>
      <w:r>
        <w:rPr>
          <w:lang w:val="es-ES"/>
        </w:rPr>
        <w:t xml:space="preserve">nnU-Net presenta los valores más bajos y Swin-UNETR los menores entre las configuraciones MONAI.</w:t>
      </w:r>
      <w:r>
        <w:rPr>
          <w:lang w:val="es-ES"/>
        </w:rPr>
        <w:t xml:space="preserve"> </w:t>
      </w:r>
      <w:r>
        <w:rPr>
          <w:lang w:val="es-ES"/>
        </w:rPr>
        <w:t xml:space="preserve">Las variantes adaptativas muestran medias y desviaciones mayores debido principalmente a sus</w:t>
      </w:r>
      <w:r>
        <w:rPr>
          <w:lang w:val="es-ES"/>
        </w:rPr>
        <w:t xml:space="preserve"> </w:t>
      </w:r>
      <w:r>
        <w:rPr>
          <w:lang w:val="es-ES"/>
        </w:rPr>
        <w:t xml:space="preserve">ejecuciones de bajo rendimiento.</w:t>
      </w:r>
    </w:p>
    <w:p>
      <w:pPr>
        <w:rPr>
          <w:lang w:val="es-ES"/>
        </w:rPr>
      </w:pPr>
      <w:r>
        <w:rPr>
          <w:lang w:val="es-ES"/>
        </w:rPr>
        <w:t xml:space="preserve">Como los infinitos se excluyen, una media menor puede reflejar tanto superficies más próximas como</w:t>
      </w:r>
      <w:r>
        <w:rPr>
          <w:lang w:val="es-ES"/>
        </w:rPr>
        <w:t xml:space="preserve"> </w:t>
      </w:r>
      <w:r>
        <w:rPr>
          <w:lang w:val="es-ES"/>
        </w:rPr>
        <w:t xml:space="preserve">un conjunto distinto de casos finitos; por eso la Tabla 14 reporta también su número.</w:t>
      </w:r>
    </w:p>
    <w:bookmarkEnd w:id="55"/>
    <w:bookmarkStart w:id="57" w:name="huella-computacional-1"/>
    <w:p>
      <w:pPr>
        <w:pStyle w:val="Ttulo2"/>
      </w:pPr>
      <w:r>
        <w:t xml:space="preserve">5.4. Huella computacional</w:t>
      </w:r>
    </w:p>
    <w:p>
      <w:pPr>
        <w:rPr>
          <w:lang w:val="es-ES"/>
        </w:rPr>
      </w:pPr>
      <w:r>
        <w:rPr>
          <w:lang w:val="es-ES"/>
        </w:rPr>
        <w:t xml:space="preserve">La Tabla 15 resume el número exacto de parámetros y los tiempos de entrenamiento conservados en los</w:t>
      </w:r>
      <w:r>
        <w:rPr>
          <w:lang w:val="es-ES"/>
        </w:rPr>
        <w:t xml:space="preserve"> </w:t>
      </w:r>
      <w:r>
        <w:rPr>
          <w:lang w:val="es-ES"/>
        </w:rPr>
        <w:t xml:space="preserve">registros finales. En las configuraciones MONAI, los tiempos representan duración de pared hasta la</w:t>
      </w:r>
      <w:r>
        <w:rPr>
          <w:lang w:val="es-ES"/>
        </w:rPr>
        <w:t xml:space="preserve"> </w:t>
      </w:r>
      <w:r>
        <w:rPr>
          <w:lang w:val="es-ES"/>
        </w:rPr>
        <w:t xml:space="preserve">última validación. Debido a las diferencias entre MPS, CUDA y el protocolo propio de nnU-Net, no se</w:t>
      </w:r>
      <w:r>
        <w:rPr>
          <w:lang w:val="es-ES"/>
        </w:rPr>
        <w:t xml:space="preserve"> </w:t>
      </w:r>
      <w:r>
        <w:rPr>
          <w:lang w:val="es-ES"/>
        </w:rPr>
        <w:t xml:space="preserve">emplean para establecer una ordenación general de eficiencia entre arquitecturas.</w:t>
      </w:r>
    </w:p>
    <w:tbl>
      <w:tblPr>
        <w:tblStyle w:val="Tablaconcuadrcula"/>
        <w:tblW w:type="dxa" w:w="8504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BFBFBF"/>
          <w:left w:val="single" w:sz="5" w:space="0" w:color="BFBFBF"/>
          <w:bottom w:val="single" w:sz="5" w:space="0" w:color="BFBFBF"/>
          <w:right w:val="single" w:sz="5" w:space="0" w:color="BFBFBF"/>
          <w:insideH w:val="single" w:sz="5" w:space="0" w:color="BFBFBF"/>
          <w:insideV w:val="single" w:sz="5" w:space="0" w:color="BFBFBF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  <w:cantSplit/>
        </w:trPr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4"/>
              </w:rPr>
              <w:t xml:space="preserve">Modelo o configuración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4"/>
              </w:rPr>
              <w:t xml:space="preserve">Parámetros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4"/>
              </w:rPr>
              <w:t xml:space="preserve">Incremento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4"/>
              </w:rPr>
              <w:t xml:space="preserve">Entorno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4"/>
              </w:rPr>
              <w:t xml:space="preserve">Tiempo por ejecución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4"/>
              </w:rPr>
              <w:t xml:space="preserve">Memoria máxima registrada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Residual U-Net + concatenación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1.190.358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—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M4 Pro (MPS)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4,99–5,00 h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No registrada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Residual U-Net + ponderación global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1.190.362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+4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M4 Pro (MPS)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5,65–5,81 h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No registrada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Residual U-Net + compuerta adaptativa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1.190.434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+76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M4 Pro (MPS)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5,67–6,02 h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No registrada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Residual U-Net + compuerta media+desv.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1.190.466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+108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M4 Pro (MPS)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5,79–5,88 h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No registrada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Attention U-Net 3D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5.910.443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—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A100 (CUDA)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2,14 h*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6,52 GiB*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Swin-UNETR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62.191.941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—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A100 (CUDA)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No registrado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No registrada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nnU-Net</w:t>
            </w:r>
            <w:r>
              <w:rPr>
                <w:rFonts w:ascii="Arial" w:hAnsi="Arial" w:cs="Arial" w:eastAsia="Arial"/>
                <w:color w:val="000000"/>
                <w:sz w:val="14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4"/>
              </w:rPr>
              <w:t xml:space="preserve">3d_fullres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Auto-configurado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—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A100 (CUDA)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4,77 h**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4"/>
              </w:rPr>
              <w:t xml:space="preserve">No registrada</w:t>
            </w:r>
          </w:p>
        </w:tc>
      </w:tr>
    </w:tbl>
    <w:p>
      <w:pPr>
        <w:pStyle w:val="Descripcin"/>
        <w:keepLines/>
        <w:rPr>
          <w:lang w:val="es-ES"/>
        </w:rPr>
      </w:pPr>
      <w:r>
        <w:rPr>
          <w:b/>
          <w:lang w:val="es-ES"/>
        </w:rPr>
        <w:t xml:space="preserve">Tabla </w:t>
      </w:r>
      <w:r>
        <w:rPr>
          <w:lang w:val="es-ES"/>
        </w:rPr>
        <w:fldChar w:fldCharType="begin" w:dirty="true"/>
      </w:r>
      <w:r>
        <w:rPr>
          <w:lang w:val="es-ES"/>
        </w:rPr>
        <w:instrText xml:space="preserve"> SEQ Tabla \* ARABIC </w:instrText>
      </w:r>
      <w:r>
        <w:rPr>
          <w:lang w:val="es-ES"/>
        </w:rPr>
        <w:fldChar w:fldCharType="separate"/>
      </w:r>
      <w:r>
        <w:rPr>
          <w:b/>
          <w:lang w:val="es-ES"/>
        </w:rPr>
        <w:t>15</w:t>
      </w:r>
      <w:r>
        <w:rPr>
          <w:lang w:val="es-ES"/>
        </w:rPr>
        <w:fldChar w:fldCharType="end"/>
      </w:r>
      <w:r>
        <w:rPr>
          <w:b/>
          <w:lang w:val="es-ES"/>
        </w:rPr>
        <w:t xml:space="preserve">. </w:t>
      </w:r>
      <w:r>
        <w:rPr>
          <w:lang w:val="es-ES"/>
        </w:rPr>
        <w:t>Parámetros, entorno y coste registrado. «No registrado» indica que el artefacto necesario no se conservó o que el mecanismo de registro no era compatible con el entorno.</w:t>
      </w:r>
    </w:p>
    <w:p>
      <w:pPr>
        <w:rPr>
          <w:lang w:val="es-ES"/>
        </w:rPr>
      </w:pPr>
      <w:r>
        <w:rPr>
          <w:lang w:val="es-ES"/>
        </w:rPr>
        <w:t xml:space="preserve">* El tiempo y la memoria de Attention U-Net corresponden únicamente a la semilla 20260528, cuyo</w:t>
      </w:r>
      <w:r>
        <w:rPr>
          <w:lang w:val="es-ES"/>
        </w:rPr>
        <w:t xml:space="preserve"> </w:t>
      </w:r>
      <w:r>
        <w:rPr>
          <w:lang w:val="es-ES"/>
        </w:rPr>
        <w:t xml:space="preserve">registro fue el único conservado de las ejecuciones A100.</w:t>
      </w:r>
    </w:p>
    <w:p>
      <w:pPr>
        <w:rPr>
          <w:lang w:val="es-ES"/>
        </w:rPr>
      </w:pPr>
      <w:r>
        <w:rPr>
          <w:lang w:val="es-ES"/>
        </w:rPr>
        <w:t xml:space="preserve">** El tiempo de nnU-Net se calculó desde el inicio de la época 0 hasta el mensaje de finalización</w:t>
      </w:r>
      <w:r>
        <w:rPr>
          <w:lang w:val="es-ES"/>
        </w:rPr>
        <w:t xml:space="preserve"> </w:t>
      </w:r>
      <w:r>
        <w:rPr>
          <w:lang w:val="es-ES"/>
        </w:rPr>
        <w:t xml:space="preserve">del entrenamiento. Incluye las validaciones internas de las 250 épocas, pero no la planificación, el</w:t>
      </w:r>
      <w:r>
        <w:rPr>
          <w:lang w:val="es-ES"/>
        </w:rPr>
        <w:t xml:space="preserve"> </w:t>
      </w:r>
      <w:r>
        <w:rPr>
          <w:lang w:val="es-ES"/>
        </w:rPr>
        <w:t xml:space="preserve">preprocesamiento, la validación final completa del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fold</w:t>
      </w:r>
      <w:r>
        <w:rPr>
          <w:lang w:val="es-ES"/>
        </w:rPr>
        <w:t xml:space="preserve"> </w:t>
      </w:r>
      <w:r>
        <w:rPr>
          <w:lang w:val="es-ES"/>
        </w:rPr>
        <w:t xml:space="preserve">ni la inferencia sobre el conjunto de test.</w:t>
      </w:r>
    </w:p>
    <w:p>
      <w:pPr>
        <w:rPr>
          <w:lang w:val="es-ES"/>
        </w:rPr>
      </w:pPr>
      <w:r>
        <w:rPr>
          <w:lang w:val="es-ES"/>
        </w:rPr>
        <w:t xml:space="preserve">Los mecanismos de fusión añaden pocos parámetros respecto a la red base: cuatro para la ponderación</w:t>
      </w:r>
      <w:r>
        <w:rPr>
          <w:lang w:val="es-ES"/>
        </w:rPr>
        <w:t xml:space="preserve"> </w:t>
      </w:r>
      <w:r>
        <w:rPr>
          <w:lang w:val="es-ES"/>
        </w:rPr>
        <w:t xml:space="preserve">global, 76 para la compuerta basada en la media y 108 para la variante basada en la media y la</w:t>
      </w:r>
      <w:r>
        <w:rPr>
          <w:lang w:val="es-ES"/>
        </w:rPr>
        <w:t xml:space="preserve"> </w:t>
      </w:r>
      <w:r>
        <w:rPr>
          <w:lang w:val="es-ES"/>
        </w:rPr>
        <w:t xml:space="preserve">desviación típica. Este incremento es pequeño en relación con los aproximadamente 1,19 millones de</w:t>
      </w:r>
      <w:r>
        <w:rPr>
          <w:lang w:val="es-ES"/>
        </w:rPr>
        <w:t xml:space="preserve"> </w:t>
      </w:r>
      <w:r>
        <w:rPr>
          <w:lang w:val="es-ES"/>
        </w:rPr>
        <w:t xml:space="preserve">parámetros de la Residual U-Net.</w:t>
      </w:r>
    </w:p>
    <w:p>
      <w:pPr>
        <w:rPr>
          <w:lang w:val="es-ES"/>
        </w:rPr>
      </w:pPr>
      <w:r>
        <w:rPr>
          <w:lang w:val="es-ES"/>
        </w:rPr>
        <w:t xml:space="preserve">En el entorno MPS, la concatenación requirió 4,99–5,00 horas por ejecución y las variantes</w:t>
      </w:r>
      <w:r>
        <w:rPr>
          <w:lang w:val="es-ES"/>
        </w:rPr>
        <w:t xml:space="preserve"> </w:t>
      </w:r>
      <w:r>
        <w:rPr>
          <w:lang w:val="es-ES"/>
        </w:rPr>
        <w:t xml:space="preserve">ponderadas, 5,65–6,02 horas: un incremento observado de aproximadamente el 13–21 %. Se trata de</w:t>
      </w:r>
      <w:r>
        <w:rPr>
          <w:lang w:val="es-ES"/>
        </w:rPr>
        <w:t xml:space="preserve"> </w:t>
      </w:r>
      <w:r>
        <w:rPr>
          <w:lang w:val="es-ES"/>
        </w:rPr>
        <w:t xml:space="preserve">tiempos de pared, no de un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benchmark</w:t>
      </w:r>
      <w:r>
        <w:rPr>
          <w:lang w:val="es-ES"/>
        </w:rPr>
        <w:t xml:space="preserve"> </w:t>
      </w:r>
      <w:r>
        <w:rPr>
          <w:lang w:val="es-ES"/>
        </w:rPr>
        <w:t xml:space="preserve">aislado; pueden incorporar variaciones de carga,</w:t>
      </w:r>
      <w:r>
        <w:rPr>
          <w:lang w:val="es-ES"/>
        </w:rPr>
        <w:t xml:space="preserve"> </w:t>
      </w:r>
      <w:r>
        <w:rPr>
          <w:lang w:val="es-ES"/>
        </w:rPr>
        <w:t xml:space="preserve">entrada/salida y validación y, por ello, no permiten asignar ese incremento al bloque de fusión.</w:t>
      </w:r>
    </w:p>
    <w:p>
      <w:pPr>
        <w:rPr>
          <w:lang w:val="es-ES"/>
        </w:rPr>
      </w:pPr>
      <w:r>
        <w:rPr>
          <w:lang w:val="es-ES"/>
        </w:rPr>
        <w:t xml:space="preserve">Swin-UNETR contiene aproximadamente 52 veces más parámetros que la Residual U-Net y fue entrenado</w:t>
      </w:r>
      <w:r>
        <w:rPr>
          <w:lang w:val="es-ES"/>
        </w:rPr>
        <w:t xml:space="preserve"> </w:t>
      </w:r>
      <w:r>
        <w:rPr>
          <w:lang w:val="es-ES"/>
        </w:rPr>
        <w:t xml:space="preserve">en A100. Sus registros finales de tiempo y memoria no se conservaron por separado para las tres</w:t>
      </w:r>
      <w:r>
        <w:rPr>
          <w:lang w:val="es-ES"/>
        </w:rPr>
        <w:t xml:space="preserve"> </w:t>
      </w:r>
      <w:r>
        <w:rPr>
          <w:lang w:val="es-ES"/>
        </w:rPr>
        <w:t xml:space="preserve">semillas, por lo que no se incluyen estimaciones indirectas. En nnU-Net pudo recuperarse una duración</w:t>
      </w:r>
      <w:r>
        <w:rPr>
          <w:lang w:val="es-ES"/>
        </w:rPr>
        <w:t xml:space="preserve"> </w:t>
      </w:r>
      <w:r>
        <w:rPr>
          <w:lang w:val="es-ES"/>
        </w:rPr>
        <w:t xml:space="preserve">de 4,77 horas a partir del registro del entrenamiento, pero no una medida de memoria máxima. Tampoco</w:t>
      </w:r>
      <w:r>
        <w:rPr>
          <w:lang w:val="es-ES"/>
        </w:rPr>
        <w:t xml:space="preserve"> </w:t>
      </w:r>
      <w:r>
        <w:rPr>
          <w:lang w:val="es-ES"/>
        </w:rPr>
        <w:t xml:space="preserve">se registró de forma homogénea el tiempo de inferencia. En consecuencia, el análisis computacional</w:t>
      </w:r>
      <w:r>
        <w:rPr>
          <w:lang w:val="es-ES"/>
        </w:rPr>
        <w:t xml:space="preserve"> </w:t>
      </w:r>
      <w:r>
        <w:rPr>
          <w:lang w:val="es-ES"/>
        </w:rPr>
        <w:t xml:space="preserve">demuestra que las fusiones son ligeras en número de parámetros y documenta los tiempos disponibles,</w:t>
      </w:r>
      <w:r>
        <w:rPr>
          <w:lang w:val="es-ES"/>
        </w:rPr>
        <w:t xml:space="preserve"> </w:t>
      </w:r>
      <w:r>
        <w:rPr>
          <w:lang w:val="es-ES"/>
        </w:rPr>
        <w:t xml:space="preserve">pero no permite comparar de forma completa la eficiencia de todas las arquitecturas.</w:t>
      </w:r>
    </w:p>
    <w:bookmarkEnd w:id="56"/>
    <w:bookmarkStart w:id="58" w:name="análisis-cualitativo"/>
    <w:p>
      <w:pPr>
        <w:pStyle w:val="Ttulo2"/>
      </w:pPr>
      <w:r>
        <w:t xml:space="preserve">5.5. Análisis cualitativo</w:t>
      </w:r>
    </w:p>
    <w:p>
      <w:pPr>
        <w:rPr>
          <w:lang w:val="es-ES"/>
        </w:rPr>
      </w:pPr>
      <w:r>
        <w:rPr>
          <w:lang w:val="es-ES"/>
        </w:rPr>
        <w:t xml:space="preserve">Las métricas agregadas se complementaron mediante la inspección del estudio</w:t>
      </w:r>
      <w:r>
        <w:rPr>
          <w:lang w:val="es-ES"/>
        </w:rPr>
        <w:t xml:space="preserve"> </w:t>
      </w:r>
      <w:r>
        <w:rPr>
          <w:lang w:val="es-ES"/>
        </w:rPr>
        <w:t xml:space="preserve">BraTS-GLI-02273-100. El script eligió entre estudios con Dice de concatenación igual o superior a</w:t>
      </w:r>
      <w:r>
        <w:rPr>
          <w:lang w:val="es-ES"/>
        </w:rPr>
        <w:t xml:space="preserve"> </w:t>
      </w:r>
      <w:r>
        <w:rPr>
          <w:lang w:val="es-ES"/>
        </w:rPr>
        <w:t xml:space="preserve">0,6 en las tres regiones, ET no trivial y al menos 3.000 vóxeles de ET, priorizando el mayor volumen</w:t>
      </w:r>
      <w:r>
        <w:rPr>
          <w:lang w:val="es-ES"/>
        </w:rPr>
        <w:t xml:space="preserve"> </w:t>
      </w:r>
      <w:r>
        <w:rPr>
          <w:lang w:val="es-ES"/>
        </w:rPr>
        <w:t xml:space="preserve">de esa región. Después se comprobó que el sujeto no aparecía en entrenamiento ni validación y que</w:t>
      </w:r>
      <w:r>
        <w:rPr>
          <w:lang w:val="es-ES"/>
        </w:rPr>
        <w:t xml:space="preserve"> </w:t>
      </w:r>
      <w:r>
        <w:rPr>
          <w:lang w:val="es-ES"/>
        </w:rPr>
        <w:t xml:space="preserve">las tres regiones eran visibles en el corte mostrado. Al no ser un muestreo aleatorio y favorecer a</w:t>
      </w:r>
      <w:r>
        <w:rPr>
          <w:lang w:val="es-ES"/>
        </w:rPr>
        <w:t xml:space="preserve"> </w:t>
      </w:r>
      <w:r>
        <w:rPr>
          <w:lang w:val="es-ES"/>
        </w:rPr>
        <w:t xml:space="preserve">la concatenación, el caso se trata como una ilustración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post hoc</w:t>
      </w:r>
      <w:r>
        <w:rPr>
          <w:lang w:val="es-ES"/>
        </w:rPr>
        <w:t xml:space="preserve">, no como una muestra</w:t>
      </w:r>
      <w:r>
        <w:rPr>
          <w:lang w:val="es-ES"/>
        </w:rPr>
        <w:t xml:space="preserve"> </w:t>
      </w:r>
      <w:r>
        <w:rPr>
          <w:lang w:val="es-ES"/>
        </w:rPr>
        <w:t xml:space="preserve">representativa de la distribución.</w:t>
      </w:r>
    </w:p>
    <w:p>
      <w:pPr>
        <w:rPr>
          <w:lang w:val="es-ES"/>
        </w:rPr>
      </w:pPr>
      <w:r>
        <w:rPr>
          <w:lang w:val="es-ES"/>
        </w:rPr>
        <w:t xml:space="preserve">La Figura 3 muestra el corte axial de mayor extensión de WT. Las cuatro configuraciones reproducen</w:t>
      </w:r>
      <w:r>
        <w:rPr>
          <w:lang w:val="es-ES"/>
        </w:rPr>
        <w:t xml:space="preserve"> </w:t>
      </w:r>
      <w:r>
        <w:rPr>
          <w:lang w:val="es-ES"/>
        </w:rPr>
        <w:t xml:space="preserve">la extensión principal de la lesión, aunque presentan diferencias locales en los límites y en la</w:t>
      </w:r>
      <w:r>
        <w:rPr>
          <w:lang w:val="es-ES"/>
        </w:rPr>
        <w:t xml:space="preserve"> </w:t>
      </w:r>
      <w:r>
        <w:rPr>
          <w:lang w:val="es-ES"/>
        </w:rPr>
        <w:t xml:space="preserve">distribución interna de ET y TC. Estas observaciones se restringen al ejemplo mostrado y se utilizan</w:t>
      </w:r>
      <w:r>
        <w:rPr>
          <w:lang w:val="es-ES"/>
        </w:rPr>
        <w:t xml:space="preserve"> </w:t>
      </w:r>
      <w:r>
        <w:rPr>
          <w:lang w:val="es-ES"/>
        </w:rPr>
        <w:t xml:space="preserve">únicamente como complemento visual de las métricas agregadas.</w:t>
      </w:r>
    </w:p>
    <w:p>
      <w:pPr>
        <w:keepNext/>
        <w:spacing w:before="120" w:after="0"/>
        <w:jc w:val="center"/>
        <w:rPr>
          <w:lang w:val="es-ES"/>
        </w:rPr>
      </w:pPr>
      <w:r>
        <w:rPr>
          <w:lang w:val="es-ES"/>
        </w:rPr>
        <w:drawing>
          <wp:inline>
            <wp:extent cx="5400000" cy="1255135"/>
            <wp:effectExtent b="0" l="0" r="0" t="0"/>
            <wp:docPr descr="Comparación cualitativa de arquitecturas: referencia, nnU-Net, Swin-UNETR, Attention U-Net y Residual U-Net con concatenación." title="Comparación cualitativa de arquitecturas: referencia, nnU-Net, Swin-UNETR, Attention U-Net y Residual U-Net con concatenación." id="4" name="Picture"/>
            <a:graphic>
              <a:graphicData uri="http://schemas.openxmlformats.org/drawingml/2006/picture">
                <pic:pic>
                  <pic:nvPicPr>
                    <pic:cNvPr descr="figuras/fig_comparacion_arquitecturas.png" id="4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255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Descripcin"/>
        <w:keepLines/>
        <w:rPr>
          <w:lang w:val="es-ES"/>
        </w:rPr>
      </w:pPr>
      <w:r>
        <w:rPr>
          <w:b/>
          <w:lang w:val="es-ES"/>
        </w:rPr>
        <w:t xml:space="preserve">Figura </w:t>
      </w:r>
      <w:r>
        <w:rPr>
          <w:lang w:val="es-ES"/>
        </w:rPr>
        <w:fldChar w:fldCharType="begin" w:dirty="true"/>
      </w:r>
      <w:r>
        <w:rPr>
          <w:lang w:val="es-ES"/>
        </w:rPr>
        <w:instrText xml:space="preserve"> SEQ Figura \* ARABIC </w:instrText>
      </w:r>
      <w:r>
        <w:rPr>
          <w:lang w:val="es-ES"/>
        </w:rPr>
        <w:fldChar w:fldCharType="separate"/>
      </w:r>
      <w:r>
        <w:rPr>
          <w:b/>
          <w:lang w:val="es-ES"/>
        </w:rPr>
        <w:t>3</w:t>
      </w:r>
      <w:r>
        <w:rPr>
          <w:lang w:val="es-ES"/>
        </w:rPr>
        <w:fldChar w:fldCharType="end"/>
      </w:r>
      <w:r>
        <w:rPr>
          <w:b/>
          <w:lang w:val="es-ES"/>
        </w:rPr>
        <w:t xml:space="preserve">. </w:t>
      </w:r>
      <w:r>
        <w:rPr>
          <w:lang w:val="es-ES"/>
        </w:rPr>
        <w:t>Comparación cualitativa sobre el estudio BraTS-GLI-02273-100, en el corte axial de mayor extensión de WT. De izquierda a derecha: referencia manual, nnU-Net, Swin-UNETR, Attention U-Net y Residual U-Net con concatenación. Las configuraciones MONAI mostradas corresponden a la semilla 20260526.</w:t>
      </w:r>
    </w:p>
    <w:p>
      <w:pPr>
        <w:rPr>
          <w:lang w:val="es-ES"/>
        </w:rPr>
      </w:pPr>
      <w:r>
        <w:rPr>
          <w:lang w:val="es-ES"/>
        </w:rPr>
        <w:t xml:space="preserve">La Figura 4 compara, para el mismo estudio y corte, la concatenación de la semilla 20260526 con la</w:t>
      </w:r>
      <w:r>
        <w:rPr>
          <w:lang w:val="es-ES"/>
        </w:rPr>
        <w:t xml:space="preserve"> </w:t>
      </w:r>
      <w:r>
        <w:rPr>
          <w:lang w:val="es-ES"/>
        </w:rPr>
        <w:t xml:space="preserve">compuerta adaptativa de la semilla 20260528, correspondiente a la ejecución de bajo rendimiento</w:t>
      </w:r>
      <w:r>
        <w:rPr>
          <w:lang w:val="es-ES"/>
        </w:rPr>
        <w:t xml:space="preserve"> </w:t>
      </w:r>
      <w:r>
        <w:rPr>
          <w:lang w:val="es-ES"/>
        </w:rPr>
        <w:t xml:space="preserve">identificada en la Tabla 12. En este ejemplo, la segunda predicción sobreestima ET y representa con</w:t>
      </w:r>
      <w:r>
        <w:rPr>
          <w:lang w:val="es-ES"/>
        </w:rPr>
        <w:t xml:space="preserve"> </w:t>
      </w:r>
      <w:r>
        <w:rPr>
          <w:lang w:val="es-ES"/>
        </w:rPr>
        <w:t xml:space="preserve">menor precisión la distribución interna de las regiones. La figura ilustra el tipo de error</w:t>
      </w:r>
      <w:r>
        <w:rPr>
          <w:lang w:val="es-ES"/>
        </w:rPr>
        <w:t xml:space="preserve"> </w:t>
      </w:r>
      <w:r>
        <w:rPr>
          <w:lang w:val="es-ES"/>
        </w:rPr>
        <w:t xml:space="preserve">producido por esa ejecución concreta, sin utilizarse como evidencia independiente del comportamiento</w:t>
      </w:r>
      <w:r>
        <w:rPr>
          <w:lang w:val="es-ES"/>
        </w:rPr>
        <w:t xml:space="preserve"> </w:t>
      </w:r>
      <w:r>
        <w:rPr>
          <w:lang w:val="es-ES"/>
        </w:rPr>
        <w:t xml:space="preserve">general de la estrategia.</w:t>
      </w:r>
    </w:p>
    <w:p>
      <w:pPr>
        <w:keepNext/>
        <w:spacing w:before="120" w:after="0"/>
        <w:jc w:val="center"/>
        <w:rPr>
          <w:lang w:val="es-ES"/>
        </w:rPr>
      </w:pPr>
      <w:r>
        <w:rPr>
          <w:lang w:val="es-ES"/>
        </w:rPr>
        <w:drawing>
          <wp:inline>
            <wp:extent cx="5400000" cy="2024999"/>
            <wp:effectExtent b="0" l="0" r="0" t="0"/>
            <wp:docPr descr="Comparación entre la concatenación y una ejecución de bajo rendimiento de la compuerta adaptativa." title="Comparación entre la concatenación y una ejecución de bajo rendimiento de la compuerta adaptativa." id="5" name="Picture"/>
            <a:graphic>
              <a:graphicData uri="http://schemas.openxmlformats.org/drawingml/2006/picture">
                <pic:pic>
                  <pic:nvPicPr>
                    <pic:cNvPr descr="figuras/fig_colapso_adaptive_gating.png" id="5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024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Descripcin"/>
        <w:keepLines/>
        <w:rPr>
          <w:lang w:val="es-ES"/>
        </w:rPr>
      </w:pPr>
      <w:r>
        <w:rPr>
          <w:b/>
          <w:lang w:val="es-ES"/>
        </w:rPr>
        <w:t xml:space="preserve">Figura </w:t>
      </w:r>
      <w:r>
        <w:rPr>
          <w:lang w:val="es-ES"/>
        </w:rPr>
        <w:fldChar w:fldCharType="begin" w:dirty="true"/>
      </w:r>
      <w:r>
        <w:rPr>
          <w:lang w:val="es-ES"/>
        </w:rPr>
        <w:instrText xml:space="preserve"> SEQ Figura \* ARABIC </w:instrText>
      </w:r>
      <w:r>
        <w:rPr>
          <w:lang w:val="es-ES"/>
        </w:rPr>
        <w:fldChar w:fldCharType="separate"/>
      </w:r>
      <w:r>
        <w:rPr>
          <w:b/>
          <w:lang w:val="es-ES"/>
        </w:rPr>
        <w:t>4</w:t>
      </w:r>
      <w:r>
        <w:rPr>
          <w:lang w:val="es-ES"/>
        </w:rPr>
        <w:fldChar w:fldCharType="end"/>
      </w:r>
      <w:r>
        <w:rPr>
          <w:b/>
          <w:lang w:val="es-ES"/>
        </w:rPr>
        <w:t xml:space="preserve">. </w:t>
      </w:r>
      <w:r>
        <w:rPr>
          <w:lang w:val="es-ES"/>
        </w:rPr>
        <w:t>Ejemplo cualitativo de una ejecución de bajo rendimiento de adaptive_gating. De izquierda a derecha: referencia manual, concatenación (semilla 20260526) y compuerta adaptativa (semilla 20260528).</w:t>
      </w:r>
    </w:p>
    <w:bookmarkEnd w:id="57"/>
    <w:bookmarkStart w:id="59" w:name="síntesis-de-los-resultados"/>
    <w:p>
      <w:pPr>
        <w:pStyle w:val="Ttulo2"/>
      </w:pPr>
      <w:r>
        <w:t xml:space="preserve">5.6. Síntesis de los resultados</w:t>
      </w:r>
    </w:p>
    <w:p>
      <w:pPr>
        <w:rPr>
          <w:lang w:val="es-ES"/>
        </w:rPr>
      </w:pPr>
      <w:r>
        <w:rPr>
          <w:lang w:val="es-ES"/>
        </w:rPr>
        <w:t xml:space="preserve">Con la red base y el protocolo fijados, ninguna estrategia de ponderación mejoró de forma</w:t>
      </w:r>
      <w:r>
        <w:rPr>
          <w:lang w:val="es-ES"/>
        </w:rPr>
        <w:t xml:space="preserve"> </w:t>
      </w:r>
      <w:r>
        <w:rPr>
          <w:lang w:val="es-ES"/>
        </w:rPr>
        <w:t xml:space="preserve">consistente la concatenación directa. La ponderación global produjo resultados equivalentes y las</w:t>
      </w:r>
      <w:r>
        <w:rPr>
          <w:lang w:val="es-ES"/>
        </w:rPr>
        <w:t xml:space="preserve"> </w:t>
      </w:r>
      <w:r>
        <w:rPr>
          <w:lang w:val="es-ES"/>
        </w:rPr>
        <w:t xml:space="preserve">variantes adaptativas presentaron una ejecución débil cada una, asociada a una dispersión mayor. El</w:t>
      </w:r>
      <w:r>
        <w:rPr>
          <w:lang w:val="es-ES"/>
        </w:rPr>
        <w:t xml:space="preserve"> </w:t>
      </w:r>
      <w:r>
        <w:rPr>
          <w:lang w:val="es-ES"/>
        </w:rPr>
        <w:t xml:space="preserve">diagnóstico exploratorio sobre volúmenes completos halló poca variación entre estudios, pero no</w:t>
      </w:r>
      <w:r>
        <w:rPr>
          <w:lang w:val="es-ES"/>
        </w:rPr>
        <w:t xml:space="preserve"> </w:t>
      </w:r>
      <w:r>
        <w:rPr>
          <w:lang w:val="es-ES"/>
        </w:rPr>
        <w:t xml:space="preserve">correspondió a los puntos de control finales ni midió los pesos calculados sobre los parches y</w:t>
      </w:r>
      <w:r>
        <w:rPr>
          <w:lang w:val="es-ES"/>
        </w:rPr>
        <w:t xml:space="preserve"> </w:t>
      </w:r>
      <w:r>
        <w:rPr>
          <w:lang w:val="es-ES"/>
        </w:rPr>
        <w:t xml:space="preserve">ventanas que utiliza el modelo.</w:t>
      </w:r>
    </w:p>
    <w:p>
      <w:pPr>
        <w:rPr>
          <w:lang w:val="es-ES"/>
        </w:rPr>
      </w:pPr>
      <w:r>
        <w:rPr>
          <w:lang w:val="es-ES"/>
        </w:rPr>
        <w:t xml:space="preserve">Esta respuesta se limita a tres semillas, 15.000 pasos y una partición por estudio. Las referencias</w:t>
      </w:r>
      <w:r>
        <w:rPr>
          <w:lang w:val="es-ES"/>
        </w:rPr>
        <w:t xml:space="preserve"> </w:t>
      </w:r>
      <w:r>
        <w:rPr>
          <w:lang w:val="es-ES"/>
        </w:rPr>
        <w:t xml:space="preserve">arquitectónicas y los tiempos disponibles sitúan los resultados, pero no permiten atribuir</w:t>
      </w:r>
      <w:r>
        <w:rPr>
          <w:lang w:val="es-ES"/>
        </w:rPr>
        <w:t xml:space="preserve"> </w:t>
      </w:r>
      <w:r>
        <w:rPr>
          <w:lang w:val="es-ES"/>
        </w:rPr>
        <w:t xml:space="preserve">diferencias a un único componente ni establecer una comparación completa de eficiencia.</w:t>
      </w:r>
    </w:p>
    <w:bookmarkEnd w:id="58"/>
    <w:bookmarkEnd w:id="59"/>
    <w:bookmarkStart w:id="60" w:name="conclusiones"/>
    <w:p>
      <w:pPr>
        <w:pStyle w:val="Ttulo1"/>
        <w:pageBreakBefore/>
      </w:pPr>
      <w:r>
        <w:t xml:space="preserve">6. Conclusiones</w:t>
      </w:r>
    </w:p>
    <w:bookmarkStart w:id="61" w:name="respuesta-a-la-pregunta-de-investigación"/>
    <w:p>
      <w:pPr>
        <w:pStyle w:val="Ttulo2"/>
      </w:pPr>
      <w:r>
        <w:t xml:space="preserve">6.1. Respuesta a la pregunta de investigación</w:t>
      </w:r>
    </w:p>
    <w:p>
      <w:pPr>
        <w:rPr>
          <w:lang w:val="es-ES"/>
        </w:rPr>
      </w:pPr>
      <w:r>
        <w:rPr>
          <w:lang w:val="es-ES"/>
        </w:rPr>
        <w:t xml:space="preserve">Bajo el protocolo evaluado, las compuertas ligeras no mejoraron de forma consistente la</w:t>
      </w:r>
      <w:r>
        <w:rPr>
          <w:lang w:val="es-ES"/>
        </w:rPr>
        <w:t xml:space="preserve"> </w:t>
      </w:r>
      <w:r>
        <w:rPr>
          <w:lang w:val="es-ES"/>
        </w:rPr>
        <w:t xml:space="preserve">concatenación: dos de las tres ejecuciones de cada variante fueron comparables al control, pero una</w:t>
      </w:r>
      <w:r>
        <w:rPr>
          <w:lang w:val="es-ES"/>
        </w:rPr>
        <w:t xml:space="preserve"> </w:t>
      </w:r>
      <w:r>
        <w:rPr>
          <w:lang w:val="es-ES"/>
        </w:rPr>
        <w:t xml:space="preserve">ejecución de cada una presentó un rendimiento muy inferior. La ponderación global aprendida e</w:t>
      </w:r>
      <w:r>
        <w:rPr>
          <w:lang w:val="es-ES"/>
        </w:rPr>
        <w:t xml:space="preserve"> </w:t>
      </w:r>
      <w:r>
        <w:rPr>
          <w:lang w:val="es-ES"/>
        </w:rPr>
        <w:t xml:space="preserve">independiente de la entrada tampoco mostró una ventaja sistemática; su Dice medio (0,706 ± 0,006)</w:t>
      </w:r>
      <w:r>
        <w:rPr>
          <w:lang w:val="es-ES"/>
        </w:rPr>
        <w:t xml:space="preserve"> </w:t>
      </w:r>
      <w:r>
        <w:rPr>
          <w:lang w:val="es-ES"/>
        </w:rPr>
        <w:t xml:space="preserve">fue prácticamente igual al de la concatenación (0,706 ± 0,005).</w:t>
      </w:r>
    </w:p>
    <w:p>
      <w:pPr>
        <w:rPr>
          <w:lang w:val="es-ES"/>
        </w:rPr>
      </w:pPr>
      <w:r>
        <w:rPr>
          <w:lang w:val="es-ES"/>
        </w:rPr>
        <w:t xml:space="preserve">Los registros de validación muestran que las dos ejecuciones débiles permanecieron alejadas de las</w:t>
      </w:r>
      <w:r>
        <w:rPr>
          <w:lang w:val="es-ES"/>
        </w:rPr>
        <w:t xml:space="preserve"> </w:t>
      </w:r>
      <w:r>
        <w:rPr>
          <w:lang w:val="es-ES"/>
        </w:rPr>
        <w:t xml:space="preserve">demás durante el entrenamiento, no solo al final. En un diagnóstico exploratorio de ejecuciones</w:t>
      </w:r>
      <w:r>
        <w:rPr>
          <w:lang w:val="es-ES"/>
        </w:rPr>
        <w:t xml:space="preserve"> </w:t>
      </w:r>
      <w:r>
        <w:rPr>
          <w:lang w:val="es-ES"/>
        </w:rPr>
        <w:t xml:space="preserve">preliminares, las compuertas aplicadas a 40 volúmenes completos produjeron pesos con muy poca</w:t>
      </w:r>
      <w:r>
        <w:rPr>
          <w:lang w:val="es-ES"/>
        </w:rPr>
        <w:t xml:space="preserve"> </w:t>
      </w:r>
      <w:r>
        <w:rPr>
          <w:lang w:val="es-ES"/>
        </w:rPr>
        <w:t xml:space="preserve">variación entre estudios y entropía elevada, sin concentración extrema en una modalidad. Como el</w:t>
      </w:r>
      <w:r>
        <w:rPr>
          <w:lang w:val="es-ES"/>
        </w:rPr>
        <w:t xml:space="preserve"> </w:t>
      </w:r>
      <w:r>
        <w:rPr>
          <w:lang w:val="es-ES"/>
        </w:rPr>
        <w:t xml:space="preserve">modelo calcula los pesos sobre parches durante el entrenamiento y sobre ventanas durante la</w:t>
      </w:r>
      <w:r>
        <w:rPr>
          <w:lang w:val="es-ES"/>
        </w:rPr>
        <w:t xml:space="preserve"> </w:t>
      </w:r>
      <w:r>
        <w:rPr>
          <w:lang w:val="es-ES"/>
        </w:rPr>
        <w:t xml:space="preserve">inferencia, el diagnóstico no caracteriza su variación operativa, no se extiende a los puntos de</w:t>
      </w:r>
      <w:r>
        <w:rPr>
          <w:lang w:val="es-ES"/>
        </w:rPr>
        <w:t xml:space="preserve"> </w:t>
      </w:r>
      <w:r>
        <w:rPr>
          <w:lang w:val="es-ES"/>
        </w:rPr>
        <w:t xml:space="preserve">control finales ni permite identificar la causa de las ejecuciones débiles.</w:t>
      </w:r>
    </w:p>
    <w:p>
      <w:pPr>
        <w:rPr>
          <w:lang w:val="es-ES"/>
        </w:rPr>
      </w:pPr>
      <w:r>
        <w:rPr>
          <w:lang w:val="es-ES"/>
        </w:rPr>
        <w:t xml:space="preserve">Los mecanismos añadieron entre 4 y 108 parámetros. En MPS, sus tiempos de pared fueron</w:t>
      </w:r>
      <w:r>
        <w:rPr>
          <w:lang w:val="es-ES"/>
        </w:rPr>
        <w:t xml:space="preserve"> </w:t>
      </w:r>
      <w:r>
        <w:rPr>
          <w:lang w:val="es-ES"/>
        </w:rPr>
        <w:t xml:space="preserve">aproximadamente un 13–21 % superiores a los de concatenación, pero el registro no separa el coste</w:t>
      </w:r>
      <w:r>
        <w:rPr>
          <w:lang w:val="es-ES"/>
        </w:rPr>
        <w:t xml:space="preserve"> </w:t>
      </w:r>
      <w:r>
        <w:rPr>
          <w:lang w:val="es-ES"/>
        </w:rPr>
        <w:t xml:space="preserve">del bloque de las variaciones de carga, entrada/salida y validación. Tampoco se conservaron medidas</w:t>
      </w:r>
      <w:r>
        <w:rPr>
          <w:lang w:val="es-ES"/>
        </w:rPr>
        <w:t xml:space="preserve"> </w:t>
      </w:r>
      <w:r>
        <w:rPr>
          <w:lang w:val="es-ES"/>
        </w:rPr>
        <w:t xml:space="preserve">homogéneas de memoria y tiempo de inferencia para todas las configuraciones. Por ello, la ligereza</w:t>
      </w:r>
      <w:r>
        <w:rPr>
          <w:lang w:val="es-ES"/>
        </w:rPr>
        <w:t xml:space="preserve"> </w:t>
      </w:r>
      <w:r>
        <w:rPr>
          <w:lang w:val="es-ES"/>
        </w:rPr>
        <w:t xml:space="preserve">paramétrica sí quedó cuantificada, mientras que la eficiencia computacional completa no.</w:t>
      </w:r>
    </w:p>
    <w:p>
      <w:pPr>
        <w:rPr>
          <w:lang w:val="es-ES"/>
        </w:rPr>
      </w:pPr>
      <w:r>
        <w:rPr>
          <w:lang w:val="es-ES"/>
        </w:rPr>
        <w:t xml:space="preserve">La respuesta es negativa dentro de las configuraciones, las tres semillas, el presupuesto de</w:t>
      </w:r>
      <w:r>
        <w:rPr>
          <w:lang w:val="es-ES"/>
        </w:rPr>
        <w:t xml:space="preserve"> </w:t>
      </w:r>
      <w:r>
        <w:rPr>
          <w:lang w:val="es-ES"/>
        </w:rPr>
        <w:t xml:space="preserve">15.000 pasos y la partición por estudio utilizados. No se extiende a mecanismos espaciales, fusiones</w:t>
      </w:r>
      <w:r>
        <w:rPr>
          <w:lang w:val="es-ES"/>
        </w:rPr>
        <w:t xml:space="preserve"> </w:t>
      </w:r>
      <w:r>
        <w:rPr>
          <w:lang w:val="es-ES"/>
        </w:rPr>
        <w:t xml:space="preserve">intermedias ni otras señales de condicionamiento, y tampoco establece una tasa general de fallo de</w:t>
      </w:r>
      <w:r>
        <w:rPr>
          <w:lang w:val="es-ES"/>
        </w:rPr>
        <w:t xml:space="preserve"> </w:t>
      </w:r>
      <w:r>
        <w:rPr>
          <w:lang w:val="es-ES"/>
        </w:rPr>
        <w:t xml:space="preserve">las compuertas.</w:t>
      </w:r>
    </w:p>
    <w:bookmarkEnd w:id="60"/>
    <w:bookmarkStart w:id="62" w:name="grado-de-cumplimiento-de-los-objetivos"/>
    <w:p>
      <w:pPr>
        <w:pStyle w:val="Ttulo2"/>
      </w:pPr>
      <w:r>
        <w:t xml:space="preserve">6.2. Grado de cumplimiento de los objetivos</w:t>
      </w:r>
    </w:p>
    <w:p>
      <w:pPr>
        <w:rPr>
          <w:lang w:val="es-ES"/>
        </w:rPr>
      </w:pPr>
      <w:r>
        <w:rPr>
          <w:lang w:val="es-ES"/>
        </w:rPr>
        <w:t xml:space="preserve">El objetivo principal consistía en diseñar, implementar y evaluar un sistema reproducible que</w:t>
      </w:r>
      <w:r>
        <w:rPr>
          <w:lang w:val="es-ES"/>
        </w:rPr>
        <w:t xml:space="preserve"> </w:t>
      </w:r>
      <w:r>
        <w:rPr>
          <w:lang w:val="es-ES"/>
        </w:rPr>
        <w:t xml:space="preserve">permitiera determinar si la ponderación adaptativa mejoraba la concatenación, considerando el</w:t>
      </w:r>
      <w:r>
        <w:rPr>
          <w:lang w:val="es-ES"/>
        </w:rPr>
        <w:t xml:space="preserve"> </w:t>
      </w:r>
      <w:r>
        <w:rPr>
          <w:lang w:val="es-ES"/>
        </w:rPr>
        <w:t xml:space="preserve">rendimiento de segmentación y el coste computacional. Este objetivo se alcanzó en su finalidad</w:t>
      </w:r>
      <w:r>
        <w:rPr>
          <w:lang w:val="es-ES"/>
        </w:rPr>
        <w:t xml:space="preserve"> </w:t>
      </w:r>
      <w:r>
        <w:rPr>
          <w:lang w:val="es-ES"/>
        </w:rPr>
        <w:t xml:space="preserve">experimental; la dimensión computacional quedó parcialmente caracterizada. La correspondencia entre</w:t>
      </w:r>
      <w:r>
        <w:rPr>
          <w:lang w:val="es-ES"/>
        </w:rPr>
        <w:t xml:space="preserve"> </w:t>
      </w:r>
      <w:r>
        <w:rPr>
          <w:lang w:val="es-ES"/>
        </w:rPr>
        <w:t xml:space="preserve">cada objetivo, su evidencia y su límite es la siguiente:</w:t>
      </w:r>
    </w:p>
    <w:p>
      <w:pPr>
        <w:numPr>
          <w:ilvl w:val="0"/>
          <w:numId w:val="16"/>
        </w:numPr>
        <w:rPr>
          <w:lang w:val="es-ES"/>
        </w:rPr>
      </w:pPr>
      <w:r>
        <w:rPr>
          <w:b/>
          <w:bCs/>
          <w:lang w:val="es-ES"/>
        </w:rPr>
        <w:t xml:space="preserve">Flujo MONAI.</w:t>
      </w:r>
      <w:r>
        <w:rPr>
          <w:lang w:val="es-ES"/>
        </w:rPr>
        <w:t xml:space="preserve"> </w:t>
      </w:r>
      <w:r>
        <w:rPr>
          <w:lang w:val="es-ES"/>
        </w:rPr>
        <w:t xml:space="preserve">Los módulos de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tfm_brats/</w:t>
      </w:r>
      <w:r>
        <w:rPr>
          <w:lang w:val="es-ES"/>
        </w:rPr>
        <w:t xml:space="preserve">, las configuraciones YAML y las particiones</w:t>
      </w:r>
      <w:r>
        <w:rPr>
          <w:lang w:val="es-ES"/>
        </w:rPr>
        <w:t xml:space="preserve"> </w:t>
      </w:r>
      <w:r>
        <w:rPr>
          <w:lang w:val="es-ES"/>
        </w:rPr>
        <w:t xml:space="preserve">versionadas documentan su implementación. Las dependencias del protocolo no quedaron congeladas</w:t>
      </w:r>
      <w:r>
        <w:rPr>
          <w:lang w:val="es-ES"/>
        </w:rPr>
        <w:t xml:space="preserve"> </w:t>
      </w:r>
      <w:r>
        <w:rPr>
          <w:lang w:val="es-ES"/>
        </w:rPr>
        <w:t xml:space="preserve">con versiones exactas.</w:t>
      </w:r>
    </w:p>
    <w:p>
      <w:pPr>
        <w:numPr>
          <w:ilvl w:val="0"/>
          <w:numId w:val="16"/>
        </w:numPr>
        <w:rPr>
          <w:lang w:val="es-ES"/>
        </w:rPr>
      </w:pPr>
      <w:r>
        <w:rPr>
          <w:b/>
          <w:bCs/>
          <w:lang w:val="es-ES"/>
        </w:rPr>
        <w:t xml:space="preserve">Referencia residual.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configs/model/residual_unet_3d.yaml</w:t>
      </w:r>
      <w:r>
        <w:rPr>
          <w:lang w:val="es-ES"/>
        </w:rPr>
        <w:t xml:space="preserve"> </w:t>
      </w:r>
      <w:r>
        <w:rPr>
          <w:lang w:val="es-ES"/>
        </w:rPr>
        <w:t xml:space="preserve">y tres ejecuciones finales</w:t>
      </w:r>
      <w:r>
        <w:rPr>
          <w:lang w:val="es-ES"/>
        </w:rPr>
        <w:t xml:space="preserve"> </w:t>
      </w:r>
      <w:r>
        <w:rPr>
          <w:lang w:val="es-ES"/>
        </w:rPr>
        <w:t xml:space="preserve">documentan el modelo común. La selección del punto de control utilizó ocho lotes de validación.</w:t>
      </w:r>
    </w:p>
    <w:p>
      <w:pPr>
        <w:numPr>
          <w:ilvl w:val="0"/>
          <w:numId w:val="16"/>
        </w:numPr>
        <w:rPr>
          <w:lang w:val="es-ES"/>
        </w:rPr>
      </w:pPr>
      <w:r>
        <w:rPr>
          <w:b/>
          <w:bCs/>
          <w:lang w:val="es-ES"/>
        </w:rPr>
        <w:t xml:space="preserve">Fusión adaptativa.</w:t>
      </w:r>
      <w:r>
        <w:rPr>
          <w:lang w:val="es-ES"/>
        </w:rPr>
        <w:t xml:space="preserve"> </w:t>
      </w:r>
      <w:r>
        <w:rPr>
          <w:lang w:val="es-ES"/>
        </w:rPr>
        <w:t xml:space="preserve">Las configuraciones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configs/model/residual_unet_3d_adaptive_gating.yaml</w:t>
      </w:r>
      <w:r>
        <w:rPr>
          <w:lang w:val="es-ES"/>
        </w:rPr>
        <w:t xml:space="preserve"> </w:t>
      </w:r>
      <w:r>
        <w:rPr>
          <w:lang w:val="es-ES"/>
        </w:rPr>
        <w:t xml:space="preserve">y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configs/model/residual_unet_3d_adaptive_gating_meanstd.yaml</w:t>
      </w:r>
      <w:r>
        <w:rPr>
          <w:lang w:val="es-ES"/>
        </w:rPr>
        <w:t xml:space="preserve"> </w:t>
      </w:r>
      <w:r>
        <w:rPr>
          <w:lang w:val="es-ES"/>
        </w:rPr>
        <w:t xml:space="preserve">documentan las dos compuertas. Solo</w:t>
      </w:r>
      <w:r>
        <w:rPr>
          <w:lang w:val="es-ES"/>
        </w:rPr>
        <w:t xml:space="preserve"> </w:t>
      </w:r>
      <w:r>
        <w:rPr>
          <w:lang w:val="es-ES"/>
        </w:rPr>
        <w:t xml:space="preserve">se estudiaron pesos globales antes del codificador.</w:t>
      </w:r>
    </w:p>
    <w:p>
      <w:pPr>
        <w:numPr>
          <w:ilvl w:val="0"/>
          <w:numId w:val="16"/>
        </w:numPr>
        <w:rPr>
          <w:lang w:val="es-ES"/>
        </w:rPr>
      </w:pPr>
      <w:r>
        <w:rPr>
          <w:b/>
          <w:bCs/>
          <w:lang w:val="es-ES"/>
        </w:rPr>
        <w:t xml:space="preserve">Ablación de fusión.</w:t>
      </w:r>
      <w:r>
        <w:rPr>
          <w:lang w:val="es-ES"/>
        </w:rPr>
        <w:t xml:space="preserve"> </w:t>
      </w:r>
      <w:r>
        <w:rPr>
          <w:lang w:val="es-ES"/>
        </w:rPr>
        <w:t xml:space="preserve">Doce entrenamientos, la Tabla 12 y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outputs/evaluation/final_all_test.csv</w:t>
      </w:r>
      <w:r>
        <w:rPr>
          <w:lang w:val="es-ES"/>
        </w:rPr>
        <w:t xml:space="preserve"> </w:t>
      </w:r>
      <w:r>
        <w:rPr>
          <w:lang w:val="es-ES"/>
        </w:rPr>
        <w:t xml:space="preserve">registran la comparación. Tres semillas no permiten una</w:t>
      </w:r>
      <w:r>
        <w:rPr>
          <w:lang w:val="es-ES"/>
        </w:rPr>
        <w:t xml:space="preserve"> </w:t>
      </w:r>
      <w:r>
        <w:rPr>
          <w:lang w:val="es-ES"/>
        </w:rPr>
        <w:t xml:space="preserve">inferencia estadística sólida.</w:t>
      </w:r>
    </w:p>
    <w:p>
      <w:pPr>
        <w:numPr>
          <w:ilvl w:val="0"/>
          <w:numId w:val="16"/>
        </w:numPr>
        <w:rPr>
          <w:lang w:val="es-ES"/>
        </w:rPr>
      </w:pPr>
      <w:r>
        <w:rPr>
          <w:b/>
          <w:bCs/>
          <w:lang w:val="es-ES"/>
        </w:rPr>
        <w:t xml:space="preserve">Segmentación y coste.</w:t>
      </w:r>
      <w:r>
        <w:rPr>
          <w:lang w:val="es-ES"/>
        </w:rPr>
        <w:t xml:space="preserve"> </w:t>
      </w:r>
      <w:r>
        <w:rPr>
          <w:lang w:val="es-ES"/>
        </w:rPr>
        <w:t xml:space="preserve">Las Tablas 13–14 recogen Dice y HD95, y la Tabla 15, parámetros y</w:t>
      </w:r>
      <w:r>
        <w:rPr>
          <w:lang w:val="es-ES"/>
        </w:rPr>
        <w:t xml:space="preserve"> </w:t>
      </w:r>
      <w:r>
        <w:rPr>
          <w:lang w:val="es-ES"/>
        </w:rPr>
        <w:t xml:space="preserve">tiempos. Faltan memoria y tiempo de inferencia homogéneos.</w:t>
      </w:r>
    </w:p>
    <w:p>
      <w:pPr>
        <w:numPr>
          <w:ilvl w:val="0"/>
          <w:numId w:val="16"/>
        </w:numPr>
        <w:rPr>
          <w:lang w:val="es-ES"/>
        </w:rPr>
      </w:pPr>
      <w:r>
        <w:rPr>
          <w:b/>
          <w:bCs/>
          <w:lang w:val="es-ES"/>
        </w:rPr>
        <w:t xml:space="preserve">Contextualización.</w:t>
      </w:r>
      <w:r>
        <w:rPr>
          <w:lang w:val="es-ES"/>
        </w:rPr>
        <w:t xml:space="preserve"> </w:t>
      </w:r>
      <w:r>
        <w:rPr>
          <w:lang w:val="es-ES"/>
        </w:rPr>
        <w:t xml:space="preserve">La Tabla 13 incluye Attention U-Net, Swin-UNETR y nnU-Net. Las diferencias</w:t>
      </w:r>
      <w:r>
        <w:rPr>
          <w:lang w:val="es-ES"/>
        </w:rPr>
        <w:t xml:space="preserve"> </w:t>
      </w:r>
      <w:r>
        <w:rPr>
          <w:lang w:val="es-ES"/>
        </w:rPr>
        <w:t xml:space="preserve">de protocolo impiden tratar esa ordenación como una ablación arquitectónica.</w:t>
      </w:r>
    </w:p>
    <w:p>
      <w:pPr>
        <w:rPr>
          <w:lang w:val="es-ES"/>
        </w:rPr>
      </w:pPr>
      <w:r>
        <w:rPr>
          <w:lang w:val="es-ES"/>
        </w:rPr>
        <w:t xml:space="preserve">El resultado negativo de las compuertas no altera el cumplimiento experimental: el objetivo era</w:t>
      </w:r>
      <w:r>
        <w:rPr>
          <w:lang w:val="es-ES"/>
        </w:rPr>
        <w:t xml:space="preserve"> </w:t>
      </w:r>
      <w:r>
        <w:rPr>
          <w:lang w:val="es-ES"/>
        </w:rPr>
        <w:t xml:space="preserve">comprobar la hipótesis, no presuponer su confirmación. Tampoco se comparan estas cifras directamente</w:t>
      </w:r>
      <w:r>
        <w:rPr>
          <w:lang w:val="es-ES"/>
        </w:rPr>
        <w:t xml:space="preserve"> </w:t>
      </w:r>
      <w:r>
        <w:rPr>
          <w:lang w:val="es-ES"/>
        </w:rPr>
        <w:t xml:space="preserve">con la evaluación oficial de BraTS-GLI 2024, que utiliza datos ocultos y métricas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lesion-wise</w:t>
      </w:r>
      <w:r>
        <w:rPr>
          <w:lang w:val="es-ES"/>
        </w:rPr>
        <w:t xml:space="preserve"> </w:t>
      </w:r>
      <w:r>
        <w:rPr>
          <w:lang w:val="es-ES"/>
        </w:rPr>
        <w:t xml:space="preserve">distintas de las convenciones internas del trabajo.</w:t>
      </w:r>
    </w:p>
    <w:bookmarkEnd w:id="61"/>
    <w:bookmarkStart w:id="63" w:name="interpretación-de-la-contribución"/>
    <w:p>
      <w:pPr>
        <w:pStyle w:val="Ttulo2"/>
      </w:pPr>
      <w:r>
        <w:t xml:space="preserve">6.3. Interpretación de la contribución</w:t>
      </w:r>
    </w:p>
    <w:p>
      <w:pPr>
        <w:rPr>
          <w:lang w:val="es-ES"/>
        </w:rPr>
      </w:pPr>
      <w:r>
        <w:rPr>
          <w:lang w:val="es-ES"/>
        </w:rPr>
        <w:t xml:space="preserve">El trabajo aporta una ablación de cuatro reglas tempranas de fusión sobre una Residual U-Net común,</w:t>
      </w:r>
      <w:r>
        <w:rPr>
          <w:lang w:val="es-ES"/>
        </w:rPr>
        <w:t xml:space="preserve"> </w:t>
      </w:r>
      <w:r>
        <w:rPr>
          <w:lang w:val="es-ES"/>
        </w:rPr>
        <w:t xml:space="preserve">con tres semillas por regla, y un diagnóstico exploratorio de las compuertas preliminares sobre 40</w:t>
      </w:r>
      <w:r>
        <w:rPr>
          <w:lang w:val="es-ES"/>
        </w:rPr>
        <w:t xml:space="preserve"> </w:t>
      </w:r>
      <w:r>
        <w:rPr>
          <w:lang w:val="es-ES"/>
        </w:rPr>
        <w:t xml:space="preserve">estudios de validación. Las configuraciones, el evaluador común y las métricas agregadas permiten</w:t>
      </w:r>
      <w:r>
        <w:rPr>
          <w:lang w:val="es-ES"/>
        </w:rPr>
        <w:t xml:space="preserve"> </w:t>
      </w:r>
      <w:r>
        <w:rPr>
          <w:lang w:val="es-ES"/>
        </w:rPr>
        <w:t xml:space="preserve">rastrear la comparación hasta las Tablas 12–15. El script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scripts/diagnose_adaptive_gating.py</w:t>
      </w:r>
      <w:r>
        <w:rPr>
          <w:lang w:val="es-ES"/>
        </w:rPr>
        <w:t xml:space="preserve"> </w:t>
      </w:r>
      <w:r>
        <w:rPr>
          <w:lang w:val="es-ES"/>
        </w:rPr>
        <w:t xml:space="preserve">permite repetir el procedimiento si se recuperan los datos y los puntos de control externos.</w:t>
      </w:r>
    </w:p>
    <w:p>
      <w:pPr>
        <w:rPr>
          <w:lang w:val="es-ES"/>
        </w:rPr>
      </w:pPr>
      <w:r>
        <w:rPr>
          <w:lang w:val="es-ES"/>
        </w:rPr>
        <w:t xml:space="preserve">El diseño redujo las diferencias deliberadas de la ablación al bloque de fusión, de modo que sus</w:t>
      </w:r>
      <w:r>
        <w:rPr>
          <w:lang w:val="es-ES"/>
        </w:rPr>
        <w:t xml:space="preserve"> </w:t>
      </w:r>
      <w:r>
        <w:rPr>
          <w:lang w:val="es-ES"/>
        </w:rPr>
        <w:t xml:space="preserve">resultados pueden interpretarse dentro de la variabilidad observada entre semillas. No garantiza un</w:t>
      </w:r>
      <w:r>
        <w:rPr>
          <w:lang w:val="es-ES"/>
        </w:rPr>
        <w:t xml:space="preserve"> </w:t>
      </w:r>
      <w:r>
        <w:rPr>
          <w:lang w:val="es-ES"/>
        </w:rPr>
        <w:t xml:space="preserve">aislamiento causal perfecto: la optimización es estocástica y la selección del punto de control se</w:t>
      </w:r>
      <w:r>
        <w:rPr>
          <w:lang w:val="es-ES"/>
        </w:rPr>
        <w:t xml:space="preserve"> </w:t>
      </w:r>
      <w:r>
        <w:rPr>
          <w:lang w:val="es-ES"/>
        </w:rPr>
        <w:t xml:space="preserve">apoyó en un subconjunto de validación.</w:t>
      </w:r>
    </w:p>
    <w:p>
      <w:pPr>
        <w:rPr>
          <w:lang w:val="es-ES"/>
        </w:rPr>
      </w:pPr>
      <w:r>
        <w:rPr>
          <w:lang w:val="es-ES"/>
        </w:rPr>
        <w:t xml:space="preserve">El resultado negativo también es informativo. La ponderación global permaneció próxima a una</w:t>
      </w:r>
      <w:r>
        <w:rPr>
          <w:lang w:val="es-ES"/>
        </w:rPr>
        <w:t xml:space="preserve"> </w:t>
      </w:r>
      <w:r>
        <w:rPr>
          <w:lang w:val="es-ES"/>
        </w:rPr>
        <w:t xml:space="preserve">distribución uniforme. En los 40 volúmenes completos del diagnóstico preliminar, las compuertas</w:t>
      </w:r>
      <w:r>
        <w:rPr>
          <w:lang w:val="es-ES"/>
        </w:rPr>
        <w:t xml:space="preserve"> </w:t>
      </w:r>
      <w:r>
        <w:rPr>
          <w:lang w:val="es-ES"/>
        </w:rPr>
        <w:t xml:space="preserve">también mostraron poca variación entre estudios, aunque esa prueba no registró los pesos sobre los</w:t>
      </w:r>
      <w:r>
        <w:rPr>
          <w:lang w:val="es-ES"/>
        </w:rPr>
        <w:t xml:space="preserve"> </w:t>
      </w:r>
      <w:r>
        <w:rPr>
          <w:lang w:val="es-ES"/>
        </w:rPr>
        <w:t xml:space="preserve">parches y ventanas empleados por el modelo final. En términos prácticos, la evidencia no justifica</w:t>
      </w:r>
      <w:r>
        <w:rPr>
          <w:lang w:val="es-ES"/>
        </w:rPr>
        <w:t xml:space="preserve"> </w:t>
      </w:r>
      <w:r>
        <w:rPr>
          <w:lang w:val="es-ES"/>
        </w:rPr>
        <w:t xml:space="preserve">añadir estas compuertas a la Residual U-Net bajo el protocolo evaluado; la concatenación no añadió</w:t>
      </w:r>
      <w:r>
        <w:rPr>
          <w:lang w:val="es-ES"/>
        </w:rPr>
        <w:t xml:space="preserve"> </w:t>
      </w:r>
      <w:r>
        <w:rPr>
          <w:lang w:val="es-ES"/>
        </w:rPr>
        <w:t xml:space="preserve">parámetros a la red base y, junto con la ponderación global, mostró la menor variabilidad.</w:t>
      </w:r>
    </w:p>
    <w:p>
      <w:pPr>
        <w:rPr>
          <w:lang w:val="es-ES"/>
        </w:rPr>
      </w:pPr>
      <w:r>
        <w:rPr>
          <w:lang w:val="es-ES"/>
        </w:rPr>
        <w:t xml:space="preserve">Attention U-Net, Swin-UNETR y nnU-Net sitúan numéricamente la ablación, pero no forman parte de esta</w:t>
      </w:r>
      <w:r>
        <w:rPr>
          <w:lang w:val="es-ES"/>
        </w:rPr>
        <w:t xml:space="preserve"> </w:t>
      </w:r>
      <w:r>
        <w:rPr>
          <w:lang w:val="es-ES"/>
        </w:rPr>
        <w:t xml:space="preserve">ablación controlada porque difieren en entorno o protocolo. La infraestructura desarrollada</w:t>
      </w:r>
      <w:r>
        <w:rPr>
          <w:lang w:val="es-ES"/>
        </w:rPr>
        <w:t xml:space="preserve"> </w:t>
      </w:r>
      <w:r>
        <w:rPr>
          <w:lang w:val="es-ES"/>
        </w:rPr>
        <w:t xml:space="preserve">conserva configuraciones, particiones y resultados ligeros y permite extender el mismo esquema</w:t>
      </w:r>
      <w:r>
        <w:rPr>
          <w:lang w:val="es-ES"/>
        </w:rPr>
        <w:t xml:space="preserve"> </w:t>
      </w:r>
      <w:r>
        <w:rPr>
          <w:lang w:val="es-ES"/>
        </w:rPr>
        <w:t xml:space="preserve">experimental a otras reglas de fusión.</w:t>
      </w:r>
    </w:p>
    <w:bookmarkEnd w:id="62"/>
    <w:bookmarkStart w:id="64" w:name="limitaciones"/>
    <w:p>
      <w:pPr>
        <w:pStyle w:val="Ttulo2"/>
      </w:pPr>
      <w:r>
        <w:t xml:space="preserve">6.4. Limitaciones</w:t>
      </w:r>
    </w:p>
    <w:p>
      <w:pPr>
        <w:rPr>
          <w:lang w:val="es-ES"/>
        </w:rPr>
      </w:pPr>
      <w:r>
        <w:rPr>
          <w:lang w:val="es-ES"/>
        </w:rPr>
        <w:t xml:space="preserve">La limitación de mayor impacto afecta a la generalización por sujeto; las restantes acotan la</w:t>
      </w:r>
      <w:r>
        <w:rPr>
          <w:lang w:val="es-ES"/>
        </w:rPr>
        <w:t xml:space="preserve"> </w:t>
      </w:r>
      <w:r>
        <w:rPr>
          <w:lang w:val="es-ES"/>
        </w:rPr>
        <w:t xml:space="preserve">precisión estadística, la comparabilidad y el alcance técnico:</w:t>
      </w:r>
    </w:p>
    <w:p>
      <w:pPr>
        <w:numPr>
          <w:ilvl w:val="0"/>
          <w:numId w:val="17"/>
        </w:numPr>
        <w:rPr>
          <w:lang w:val="es-ES"/>
        </w:rPr>
      </w:pPr>
      <w:r>
        <w:rPr>
          <w:b/>
          <w:bCs/>
          <w:lang w:val="es-ES"/>
        </w:rPr>
        <w:t xml:space="preserve">Principal limitación: partición por estudio.</w:t>
      </w:r>
      <w:r>
        <w:rPr>
          <w:lang w:val="es-ES"/>
        </w:rPr>
        <w:t xml:space="preserve"> </w:t>
      </w:r>
      <w:r>
        <w:rPr>
          <w:lang w:val="es-ES"/>
        </w:rPr>
        <w:t xml:space="preserve">La partición no se agrupó por sujeto. Aunque los</w:t>
      </w:r>
      <w:r>
        <w:rPr>
          <w:lang w:val="es-ES"/>
        </w:rPr>
        <w:t xml:space="preserve"> </w:t>
      </w:r>
      <w:r>
        <w:rPr>
          <w:lang w:val="es-ES"/>
        </w:rPr>
        <w:t xml:space="preserve">identificadores completos de los estudios de test no aparecen en entrenamiento o validación, 205</w:t>
      </w:r>
      <w:r>
        <w:rPr>
          <w:lang w:val="es-ES"/>
        </w:rPr>
        <w:t xml:space="preserve"> </w:t>
      </w:r>
      <w:r>
        <w:rPr>
          <w:lang w:val="es-ES"/>
        </w:rPr>
        <w:t xml:space="preserve">de los 243 pertenecen a sujetos con otro estudio en alguna de esas particiones. La comparación</w:t>
      </w:r>
      <w:r>
        <w:rPr>
          <w:lang w:val="es-ES"/>
        </w:rPr>
        <w:t xml:space="preserve"> </w:t>
      </w:r>
      <w:r>
        <w:rPr>
          <w:lang w:val="es-ES"/>
        </w:rPr>
        <w:t xml:space="preserve">interna conserva valor porque todas las estrategias comparten el reparto, pero las métricas no</w:t>
      </w:r>
      <w:r>
        <w:rPr>
          <w:lang w:val="es-ES"/>
        </w:rPr>
        <w:t xml:space="preserve"> </w:t>
      </w:r>
      <w:r>
        <w:rPr>
          <w:lang w:val="es-ES"/>
        </w:rPr>
        <w:t xml:space="preserve">constituyen una estimación independiente de generalización a pacientes completamente nuevos.</w:t>
      </w:r>
    </w:p>
    <w:p>
      <w:pPr>
        <w:numPr>
          <w:ilvl w:val="0"/>
          <w:numId w:val="17"/>
        </w:numPr>
        <w:rPr>
          <w:lang w:val="es-ES"/>
        </w:rPr>
      </w:pPr>
      <w:r>
        <w:rPr>
          <w:b/>
          <w:bCs/>
          <w:lang w:val="es-ES"/>
        </w:rPr>
        <w:t xml:space="preserve">Validez externa: dominio único.</w:t>
      </w:r>
      <w:r>
        <w:rPr>
          <w:lang w:val="es-ES"/>
        </w:rPr>
        <w:t xml:space="preserve"> </w:t>
      </w:r>
      <w:r>
        <w:rPr>
          <w:lang w:val="es-ES"/>
        </w:rPr>
        <w:t xml:space="preserve">Solo se utilizaron imágenes post-tratamiento de BraTS-GLI 2024</w:t>
      </w:r>
      <w:r>
        <w:rPr>
          <w:lang w:val="es-ES"/>
        </w:rPr>
        <w:t xml:space="preserve"> </w:t>
      </w:r>
      <w:r>
        <w:rPr>
          <w:lang w:val="es-ES"/>
        </w:rPr>
        <w:t xml:space="preserve">con las cuatro modalidades disponibles. No se midió la generalización a otras instituciones,</w:t>
      </w:r>
      <w:r>
        <w:rPr>
          <w:lang w:val="es-ES"/>
        </w:rPr>
        <w:t xml:space="preserve"> </w:t>
      </w:r>
      <w:r>
        <w:rPr>
          <w:lang w:val="es-ES"/>
        </w:rPr>
        <w:t xml:space="preserve">protocolos de adquisición o dominios clínicos.</w:t>
      </w:r>
    </w:p>
    <w:p>
      <w:pPr>
        <w:numPr>
          <w:ilvl w:val="0"/>
          <w:numId w:val="17"/>
        </w:numPr>
        <w:rPr>
          <w:lang w:val="es-ES"/>
        </w:rPr>
      </w:pPr>
      <w:r>
        <w:rPr>
          <w:b/>
          <w:bCs/>
          <w:lang w:val="es-ES"/>
        </w:rPr>
        <w:t xml:space="preserve">Precisión estadística.</w:t>
      </w:r>
      <w:r>
        <w:rPr>
          <w:lang w:val="es-ES"/>
        </w:rPr>
        <w:t xml:space="preserve"> </w:t>
      </w:r>
      <w:r>
        <w:rPr>
          <w:lang w:val="es-ES"/>
        </w:rPr>
        <w:t xml:space="preserve">Las configuraciones MONAI se evaluaron con tres semillas. Este número</w:t>
      </w:r>
      <w:r>
        <w:rPr>
          <w:lang w:val="es-ES"/>
        </w:rPr>
        <w:t xml:space="preserve"> </w:t>
      </w:r>
      <w:r>
        <w:rPr>
          <w:lang w:val="es-ES"/>
        </w:rPr>
        <w:t xml:space="preserve">describe la variabilidad observada, pero no permite estimaciones precisas ni contrastes</w:t>
      </w:r>
      <w:r>
        <w:rPr>
          <w:lang w:val="es-ES"/>
        </w:rPr>
        <w:t xml:space="preserve"> </w:t>
      </w:r>
      <w:r>
        <w:rPr>
          <w:lang w:val="es-ES"/>
        </w:rPr>
        <w:t xml:space="preserve">inferenciales sólidos. nnU-Net se evaluó mediante una única ejecución del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fold</w:t>
      </w:r>
      <w:r>
        <w:rPr>
          <w:lang w:val="es-ES"/>
        </w:rPr>
        <w:t xml:space="preserve"> </w:t>
      </w:r>
      <w:r>
        <w:rPr>
          <w:lang w:val="es-ES"/>
        </w:rPr>
        <w:t xml:space="preserve">0.</w:t>
      </w:r>
    </w:p>
    <w:p>
      <w:pPr>
        <w:numPr>
          <w:ilvl w:val="0"/>
          <w:numId w:val="17"/>
        </w:numPr>
        <w:rPr>
          <w:lang w:val="es-ES"/>
        </w:rPr>
      </w:pPr>
      <w:r>
        <w:rPr>
          <w:b/>
          <w:bCs/>
          <w:lang w:val="es-ES"/>
        </w:rPr>
        <w:t xml:space="preserve">Presupuesto y selección de puntos de control.</w:t>
      </w:r>
      <w:r>
        <w:rPr>
          <w:lang w:val="es-ES"/>
        </w:rPr>
        <w:t xml:space="preserve"> </w:t>
      </w:r>
      <w:r>
        <w:rPr>
          <w:lang w:val="es-ES"/>
        </w:rPr>
        <w:t xml:space="preserve">Las configuraciones MONAI utilizaron 15.000</w:t>
      </w:r>
      <w:r>
        <w:rPr>
          <w:lang w:val="es-ES"/>
        </w:rPr>
        <w:t xml:space="preserve"> </w:t>
      </w:r>
      <w:r>
        <w:rPr>
          <w:lang w:val="es-ES"/>
        </w:rPr>
        <w:t xml:space="preserve">pasos, elegidos a partir de una sonda de concatenación. Ese presupuesto no demuestra que cada</w:t>
      </w:r>
      <w:r>
        <w:rPr>
          <w:lang w:val="es-ES"/>
        </w:rPr>
        <w:t xml:space="preserve"> </w:t>
      </w:r>
      <w:r>
        <w:rPr>
          <w:lang w:val="es-ES"/>
        </w:rPr>
        <w:t xml:space="preserve">configuración alcanzara individualmente su mejor punto de convergencia. Los puntos de control se</w:t>
      </w:r>
      <w:r>
        <w:rPr>
          <w:lang w:val="es-ES"/>
        </w:rPr>
        <w:t xml:space="preserve"> </w:t>
      </w:r>
      <w:r>
        <w:rPr>
          <w:lang w:val="es-ES"/>
        </w:rPr>
        <w:t xml:space="preserve">seleccionaron con un subconjunto fijo de ocho lotes de validación, lo que puede introducir ruido</w:t>
      </w:r>
      <w:r>
        <w:rPr>
          <w:lang w:val="es-ES"/>
        </w:rPr>
        <w:t xml:space="preserve"> </w:t>
      </w:r>
      <w:r>
        <w:rPr>
          <w:lang w:val="es-ES"/>
        </w:rPr>
        <w:t xml:space="preserve">en la elección. nnU-Net utilizó 250 épocas y su propio protocolo.</w:t>
      </w:r>
    </w:p>
    <w:p>
      <w:pPr>
        <w:numPr>
          <w:ilvl w:val="0"/>
          <w:numId w:val="17"/>
        </w:numPr>
        <w:rPr>
          <w:lang w:val="es-ES"/>
        </w:rPr>
      </w:pPr>
      <w:r>
        <w:rPr>
          <w:b/>
          <w:bCs/>
          <w:lang w:val="es-ES"/>
        </w:rPr>
        <w:t xml:space="preserve">Comparación arquitectónica heterogénea.</w:t>
      </w:r>
      <w:r>
        <w:rPr>
          <w:lang w:val="es-ES"/>
        </w:rPr>
        <w:t xml:space="preserve"> </w:t>
      </w:r>
      <w:r>
        <w:rPr>
          <w:lang w:val="es-ES"/>
        </w:rPr>
        <w:t xml:space="preserve">Las variantes residuales se ejecutaron en MPS;</w:t>
      </w:r>
      <w:r>
        <w:rPr>
          <w:lang w:val="es-ES"/>
        </w:rPr>
        <w:t xml:space="preserve"> </w:t>
      </w:r>
      <w:r>
        <w:rPr>
          <w:lang w:val="es-ES"/>
        </w:rPr>
        <w:t xml:space="preserve">Attention U-Net y Swin-UNETR, en CUDA. También variaron el solapamiento de inferencia y, para</w:t>
      </w:r>
      <w:r>
        <w:rPr>
          <w:lang w:val="es-ES"/>
        </w:rPr>
        <w:t xml:space="preserve"> </w:t>
      </w:r>
      <w:r>
        <w:rPr>
          <w:lang w:val="es-ES"/>
        </w:rPr>
        <w:t xml:space="preserve">nnU-Net, el preprocesamiento y el entrenamiento. La comparación global es, por ello, descriptiva.</w:t>
      </w:r>
    </w:p>
    <w:p>
      <w:pPr>
        <w:numPr>
          <w:ilvl w:val="0"/>
          <w:numId w:val="17"/>
        </w:numPr>
        <w:rPr>
          <w:lang w:val="es-ES"/>
        </w:rPr>
      </w:pPr>
      <w:r>
        <w:rPr>
          <w:b/>
          <w:bCs/>
          <w:lang w:val="es-ES"/>
        </w:rPr>
        <w:t xml:space="preserve">Protocolo de evaluación.</w:t>
      </w:r>
      <w:r>
        <w:rPr>
          <w:lang w:val="es-ES"/>
        </w:rPr>
        <w:t xml:space="preserve"> </w:t>
      </w:r>
      <w:r>
        <w:rPr>
          <w:lang w:val="es-ES"/>
        </w:rPr>
        <w:t xml:space="preserve">La evaluación interna no reproduce las métricas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lesion-wise</w:t>
      </w:r>
      <w:r>
        <w:rPr>
          <w:lang w:val="es-ES"/>
        </w:rPr>
        <w:t xml:space="preserve"> </w:t>
      </w:r>
      <w:r>
        <w:rPr>
          <w:lang w:val="es-ES"/>
        </w:rPr>
        <w:t xml:space="preserve">ni el</w:t>
      </w:r>
      <w:r>
        <w:rPr>
          <w:lang w:val="es-ES"/>
        </w:rPr>
        <w:t xml:space="preserve"> </w:t>
      </w:r>
      <w:r>
        <w:rPr>
          <w:lang w:val="es-ES"/>
        </w:rPr>
        <w:t xml:space="preserve">protocolo oculto del reto. En HD95 se incluyen ceros cuando predicción y referencia están vacías y</w:t>
      </w:r>
      <w:r>
        <w:rPr>
          <w:lang w:val="es-ES"/>
        </w:rPr>
        <w:t xml:space="preserve"> </w:t>
      </w:r>
      <w:r>
        <w:rPr>
          <w:lang w:val="es-ES"/>
        </w:rPr>
        <w:t xml:space="preserve">se excluyen infinitos cuando solo una lo está; los denominadores finitos varían entre modelos y</w:t>
      </w:r>
      <w:r>
        <w:rPr>
          <w:lang w:val="es-ES"/>
        </w:rPr>
        <w:t xml:space="preserve"> </w:t>
      </w:r>
      <w:r>
        <w:rPr>
          <w:lang w:val="es-ES"/>
        </w:rPr>
        <w:t xml:space="preserve">regiones.</w:t>
      </w:r>
    </w:p>
    <w:p>
      <w:pPr>
        <w:numPr>
          <w:ilvl w:val="0"/>
          <w:numId w:val="17"/>
        </w:numPr>
        <w:rPr>
          <w:lang w:val="es-ES"/>
        </w:rPr>
      </w:pPr>
      <w:r>
        <w:rPr>
          <w:b/>
          <w:bCs/>
          <w:lang w:val="es-ES"/>
        </w:rPr>
        <w:t xml:space="preserve">Caracterización computacional incompleta.</w:t>
      </w:r>
      <w:r>
        <w:rPr>
          <w:lang w:val="es-ES"/>
        </w:rPr>
        <w:t xml:space="preserve"> </w:t>
      </w:r>
      <w:r>
        <w:rPr>
          <w:lang w:val="es-ES"/>
        </w:rPr>
        <w:t xml:space="preserve">Se conservaron los parámetros y varios tiempos de</w:t>
      </w:r>
      <w:r>
        <w:rPr>
          <w:lang w:val="es-ES"/>
        </w:rPr>
        <w:t xml:space="preserve"> </w:t>
      </w:r>
      <w:r>
        <w:rPr>
          <w:lang w:val="es-ES"/>
        </w:rPr>
        <w:t xml:space="preserve">entrenamiento, pero no medidas homogéneas de memoria máxima y tiempo de inferencia para todos los</w:t>
      </w:r>
      <w:r>
        <w:rPr>
          <w:lang w:val="es-ES"/>
        </w:rPr>
        <w:t xml:space="preserve"> </w:t>
      </w:r>
      <w:r>
        <w:rPr>
          <w:lang w:val="es-ES"/>
        </w:rPr>
        <w:t xml:space="preserve">modelos.</w:t>
      </w:r>
    </w:p>
    <w:p>
      <w:pPr>
        <w:numPr>
          <w:ilvl w:val="0"/>
          <w:numId w:val="17"/>
        </w:numPr>
        <w:rPr>
          <w:lang w:val="es-ES"/>
        </w:rPr>
      </w:pPr>
      <w:r>
        <w:rPr>
          <w:b/>
          <w:bCs/>
          <w:lang w:val="es-ES"/>
        </w:rPr>
        <w:t xml:space="preserve">Trazabilidad parcial de artefactos.</w:t>
      </w:r>
      <w:r>
        <w:rPr>
          <w:lang w:val="es-ES"/>
        </w:rPr>
        <w:t xml:space="preserve"> </w:t>
      </w:r>
      <w:r>
        <w:rPr>
          <w:lang w:val="es-ES"/>
        </w:rPr>
        <w:t xml:space="preserve">Los puntos de control, los registros de entrenamiento y</w:t>
      </w:r>
      <w:r>
        <w:rPr>
          <w:lang w:val="es-ES"/>
        </w:rPr>
        <w:t xml:space="preserve"> </w:t>
      </w:r>
      <w:r>
        <w:rPr>
          <w:lang w:val="es-ES"/>
        </w:rPr>
        <w:t xml:space="preserve">parte de las métricas por estudio de las ejecuciones A100 no están versionados. Las métricas</w:t>
      </w:r>
      <w:r>
        <w:rPr>
          <w:lang w:val="es-ES"/>
        </w:rPr>
        <w:t xml:space="preserve"> </w:t>
      </w:r>
      <w:r>
        <w:rPr>
          <w:lang w:val="es-ES"/>
        </w:rPr>
        <w:t xml:space="preserve">agregadas permiten comprobar las tablas, pero no reconstruir todos los análisis desde un clon</w:t>
      </w:r>
      <w:r>
        <w:rPr>
          <w:lang w:val="es-ES"/>
        </w:rPr>
        <w:t xml:space="preserve"> </w:t>
      </w:r>
      <w:r>
        <w:rPr>
          <w:lang w:val="es-ES"/>
        </w:rPr>
        <w:t xml:space="preserve">limpio sin recuperar los artefactos externos.</w:t>
      </w:r>
    </w:p>
    <w:p>
      <w:pPr>
        <w:numPr>
          <w:ilvl w:val="0"/>
          <w:numId w:val="17"/>
        </w:numPr>
        <w:rPr>
          <w:lang w:val="es-ES"/>
        </w:rPr>
      </w:pPr>
      <w:r>
        <w:rPr>
          <w:b/>
          <w:bCs/>
          <w:lang w:val="es-ES"/>
        </w:rPr>
        <w:t xml:space="preserve">Alcance técnico de la fusión.</w:t>
      </w:r>
      <w:r>
        <w:rPr>
          <w:lang w:val="es-ES"/>
        </w:rPr>
        <w:t xml:space="preserve"> </w:t>
      </w:r>
      <w:r>
        <w:rPr>
          <w:lang w:val="es-ES"/>
        </w:rPr>
        <w:t xml:space="preserve">Las reglas actúan antes del codificador y generan pesos globales</w:t>
      </w:r>
      <w:r>
        <w:rPr>
          <w:lang w:val="es-ES"/>
        </w:rPr>
        <w:t xml:space="preserve"> </w:t>
      </w:r>
      <w:r>
        <w:rPr>
          <w:lang w:val="es-ES"/>
        </w:rPr>
        <w:t xml:space="preserve">por modalidad. No se evaluaron mecanismos espaciales, fusiones intermedias, interacciones entre</w:t>
      </w:r>
      <w:r>
        <w:rPr>
          <w:lang w:val="es-ES"/>
        </w:rPr>
        <w:t xml:space="preserve"> </w:t>
      </w:r>
      <w:r>
        <w:rPr>
          <w:lang w:val="es-ES"/>
        </w:rPr>
        <w:t xml:space="preserve">modalidades ni estrategias para modalidades ausentes o degradadas.</w:t>
      </w:r>
    </w:p>
    <w:bookmarkEnd w:id="63"/>
    <w:bookmarkStart w:id="65" w:name="líneas-de-trabajo-futuro"/>
    <w:p>
      <w:pPr>
        <w:pStyle w:val="Ttulo2"/>
      </w:pPr>
      <w:r>
        <w:t xml:space="preserve">6.5. Líneas de trabajo futuro</w:t>
      </w:r>
    </w:p>
    <w:p>
      <w:pPr>
        <w:rPr>
          <w:lang w:val="es-ES"/>
        </w:rPr>
      </w:pPr>
      <w:r>
        <w:rPr>
          <w:lang w:val="es-ES"/>
        </w:rPr>
        <w:t xml:space="preserve">La prioridad debería ser repetir la ablación con una partición definida por sujeto desde el inicio y</w:t>
      </w:r>
      <w:r>
        <w:rPr>
          <w:lang w:val="es-ES"/>
        </w:rPr>
        <w:t xml:space="preserve"> </w:t>
      </w:r>
      <w:r>
        <w:rPr>
          <w:lang w:val="es-ES"/>
        </w:rPr>
        <w:t xml:space="preserve">con más semillas. Esta decisión aborda primero la limitación de mayor impacto: comprobar si la</w:t>
      </w:r>
      <w:r>
        <w:rPr>
          <w:lang w:val="es-ES"/>
        </w:rPr>
        <w:t xml:space="preserve"> </w:t>
      </w:r>
      <w:r>
        <w:rPr>
          <w:lang w:val="es-ES"/>
        </w:rPr>
        <w:t xml:space="preserve">ordenación observada se mantiene cuando cada paciente aparece en una sola partición. El subconjunto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post hoc</w:t>
      </w:r>
      <w:r>
        <w:rPr>
          <w:lang w:val="es-ES"/>
        </w:rPr>
        <w:t xml:space="preserve"> </w:t>
      </w:r>
      <w:r>
        <w:rPr>
          <w:lang w:val="es-ES"/>
        </w:rPr>
        <w:t xml:space="preserve">de 38 estudios no sustituye ese experimento, y un conjunto externo permitiría ampliarlo a</w:t>
      </w:r>
      <w:r>
        <w:rPr>
          <w:lang w:val="es-ES"/>
        </w:rPr>
        <w:t xml:space="preserve"> </w:t>
      </w:r>
      <w:r>
        <w:rPr>
          <w:lang w:val="es-ES"/>
        </w:rPr>
        <w:t xml:space="preserve">otros centros o protocolos.</w:t>
      </w:r>
    </w:p>
    <w:p>
      <w:pPr>
        <w:rPr>
          <w:lang w:val="es-ES"/>
        </w:rPr>
      </w:pPr>
      <w:r>
        <w:rPr>
          <w:lang w:val="es-ES"/>
        </w:rPr>
        <w:t xml:space="preserve">Una segunda prioridad, centrada en el mecanismo, sería instrumentar primero las compuertas para</w:t>
      </w:r>
      <w:r>
        <w:rPr>
          <w:lang w:val="es-ES"/>
        </w:rPr>
        <w:t xml:space="preserve"> </w:t>
      </w:r>
      <w:r>
        <w:rPr>
          <w:lang w:val="es-ES"/>
        </w:rPr>
        <w:t xml:space="preserve">registrar los pesos sobre los parches de entrenamiento y las ventanas de inferencia. Después podría</w:t>
      </w:r>
      <w:r>
        <w:rPr>
          <w:lang w:val="es-ES"/>
        </w:rPr>
        <w:t xml:space="preserve"> </w:t>
      </w:r>
      <w:r>
        <w:rPr>
          <w:lang w:val="es-ES"/>
        </w:rPr>
        <w:t xml:space="preserve">compararse una señal espacial o basada en características intermedias manteniendo fija la Residual</w:t>
      </w:r>
      <w:r>
        <w:rPr>
          <w:lang w:val="es-ES"/>
        </w:rPr>
        <w:t xml:space="preserve"> </w:t>
      </w:r>
      <w:r>
        <w:rPr>
          <w:lang w:val="es-ES"/>
        </w:rPr>
        <w:t xml:space="preserve">U-Net. El protocolo debería definir de antemano las variantes, el criterio para identificar</w:t>
      </w:r>
      <w:r>
        <w:rPr>
          <w:lang w:val="es-ES"/>
        </w:rPr>
        <w:t xml:space="preserve"> </w:t>
      </w:r>
      <w:r>
        <w:rPr>
          <w:lang w:val="es-ES"/>
        </w:rPr>
        <w:t xml:space="preserve">ejecuciones débiles y el análisis de pesos.</w:t>
      </w:r>
    </w:p>
    <w:p>
      <w:pPr>
        <w:rPr>
          <w:lang w:val="es-ES"/>
        </w:rPr>
      </w:pPr>
      <w:r>
        <w:rPr>
          <w:lang w:val="es-ES"/>
        </w:rPr>
        <w:t xml:space="preserve">El estudio de estabilidad debería aumentar las semillas y analizar conjuntamente pérdidas,</w:t>
      </w:r>
      <w:r>
        <w:rPr>
          <w:lang w:val="es-ES"/>
        </w:rPr>
        <w:t xml:space="preserve"> </w:t>
      </w:r>
      <w:r>
        <w:rPr>
          <w:lang w:val="es-ES"/>
        </w:rPr>
        <w:t xml:space="preserve">gradientes, métricas de validación y evolución de los pesos. Las variantes de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warmup</w:t>
      </w:r>
      <w:r>
        <w:rPr>
          <w:lang w:val="es-ES"/>
        </w:rPr>
        <w:t xml:space="preserve">, tasa de</w:t>
      </w:r>
      <w:r>
        <w:rPr>
          <w:lang w:val="es-ES"/>
        </w:rPr>
        <w:t xml:space="preserve"> </w:t>
      </w:r>
      <w:r>
        <w:rPr>
          <w:lang w:val="es-ES"/>
        </w:rPr>
        <w:t xml:space="preserve">aprendizaje específica, regularización de entropía y temperatura ya se exploraron con 5.000 pasos;</w:t>
      </w:r>
      <w:r>
        <w:rPr>
          <w:lang w:val="es-ES"/>
        </w:rPr>
        <w:t xml:space="preserve"> </w:t>
      </w:r>
      <w:r>
        <w:rPr>
          <w:lang w:val="es-ES"/>
        </w:rPr>
        <w:t xml:space="preserve">una continuación tendría que ampliar esa evidencia en lugar de tratarlas como opciones no probadas.</w:t>
      </w:r>
    </w:p>
    <w:p>
      <w:pPr>
        <w:rPr>
          <w:lang w:val="es-ES"/>
        </w:rPr>
      </w:pPr>
      <w:r>
        <w:rPr>
          <w:lang w:val="es-ES"/>
        </w:rPr>
        <w:t xml:space="preserve">Después podría completarse la evaluación computacional en un hardware común, registrando tiempo de</w:t>
      </w:r>
      <w:r>
        <w:rPr>
          <w:lang w:val="es-ES"/>
        </w:rPr>
        <w:t xml:space="preserve"> </w:t>
      </w:r>
      <w:r>
        <w:rPr>
          <w:lang w:val="es-ES"/>
        </w:rPr>
        <w:t xml:space="preserve">entrenamiento e inferencia, memoria máxima y rendimiento por paso. Quedan como extensiones</w:t>
      </w:r>
      <w:r>
        <w:rPr>
          <w:lang w:val="es-ES"/>
        </w:rPr>
        <w:t xml:space="preserve"> </w:t>
      </w:r>
      <w:r>
        <w:rPr>
          <w:lang w:val="es-ES"/>
        </w:rPr>
        <w:t xml:space="preserve">posteriores las modalidades ausentes o degradadas, varios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folds</w:t>
      </w:r>
      <w:r>
        <w:rPr>
          <w:lang w:val="es-ES"/>
        </w:rPr>
        <w:t xml:space="preserve"> </w:t>
      </w:r>
      <w:r>
        <w:rPr>
          <w:lang w:val="es-ES"/>
        </w:rPr>
        <w:t xml:space="preserve">de nnU-Net y ablaciones del</w:t>
      </w:r>
      <w:r>
        <w:rPr>
          <w:lang w:val="es-ES"/>
        </w:rPr>
        <w:t xml:space="preserve"> </w:t>
      </w:r>
      <w:r>
        <w:rPr>
          <w:lang w:val="es-ES"/>
        </w:rPr>
        <w:t xml:space="preserve">presupuesto, el parche y el lote, sin asumir que más cómputo eliminará las diferencias.</w:t>
      </w:r>
    </w:p>
    <w:p>
      <w:pPr>
        <w:rPr>
          <w:lang w:val="es-ES"/>
        </w:rPr>
      </w:pPr>
      <w:r>
        <w:rPr>
          <w:lang w:val="es-ES"/>
        </w:rPr>
        <w:t xml:space="preserve">El aprendizaje central es que añadir un mecanismo condicionado por la entrada no garantiza una</w:t>
      </w:r>
      <w:r>
        <w:rPr>
          <w:lang w:val="es-ES"/>
        </w:rPr>
        <w:t xml:space="preserve"> </w:t>
      </w:r>
      <w:r>
        <w:rPr>
          <w:lang w:val="es-ES"/>
        </w:rPr>
        <w:t xml:space="preserve">mejora: en este estudio se asoció con una mayor variabilidad observada entre las semillas</w:t>
      </w:r>
      <w:r>
        <w:rPr>
          <w:lang w:val="es-ES"/>
        </w:rPr>
        <w:t xml:space="preserve"> </w:t>
      </w:r>
      <w:r>
        <w:rPr>
          <w:lang w:val="es-ES"/>
        </w:rPr>
        <w:t xml:space="preserve">ejecutadas, y la instrumentación disponible no permitió explicar la causa.</w:t>
      </w:r>
    </w:p>
    <w:bookmarkEnd w:id="64"/>
    <w:bookmarkEnd w:id="65"/>
    <w:bookmarkStart w:id="66" w:name="referencias-bibliográficas"/>
    <w:p>
      <w:pPr>
        <w:pStyle w:val="Ttulo1"/>
        <w:pageBreakBefore/>
      </w:pPr>
      <w:r>
        <w:t xml:space="preserve">Referencias bibliográficas</w:t>
      </w:r>
    </w:p>
    <w:p>
      <w:pPr>
        <w:pStyle w:val="TFMBibliography"/>
        <w:rPr>
          <w:lang w:val="es-ES"/>
        </w:rPr>
      </w:pPr>
      <w:r>
        <w:rPr>
          <w:lang w:val="es-ES"/>
        </w:rPr>
        <w:t xml:space="preserve">Berkley, A., Saueressig, C., Shukla, U., Chowdhury, I., Munoz-Gauna, A., Shehu, O., Singh, R., &amp; Munbodh, R. (2023). Clinical capability of modern brain tumor segmentation models.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Medical Physics, 50</w:t>
      </w:r>
      <w:r>
        <w:rPr>
          <w:lang w:val="es-ES"/>
        </w:rPr>
        <w:t xml:space="preserve">(8), 4943–4959.</w:t>
      </w:r>
      <w:r>
        <w:rPr>
          <w:lang w:val="es-ES"/>
        </w:rPr>
        <w:t xml:space="preserve"> </w:t>
      </w:r>
      <w:hyperlink r:id="rId16">
        <w:r>
          <w:rPr>
            <w:rStyle w:val="Hipervnculo"/>
          </w:rPr>
          <w:t xml:space="preserve">https://doi.org/10.1002/mp.16321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Cardoso, M. J., Li, W., Brown, R., Ma, N., Kerfoot, E., Wang, Y., Murrey, B., Myronenko, A., Zhao, C., Yang, D., Nath, V., He, Y., Xu, Z., Hatamizadeh, A., Myronenko, A., Zhu, W., Liu, Y., Zheng, M., Tang, Y., . . . Feng, A. (2022). MONAI: An open-source framework for deep learning in healthcare.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arXiv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hyperlink r:id="rId17">
        <w:r>
          <w:rPr>
            <w:rStyle w:val="Hipervnculo"/>
          </w:rPr>
          <w:t xml:space="preserve">https://doi.org/10.48550/arXiv.2211.02701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Çiçek, Ö., Abdulkadir, A., Lienkamp, S. S., Brox, T., &amp; Ronneberger, O. (2016). 3D U-Net: Learning dense volumetric segmentation from sparse annotation. In S. Ourselin, L. Joskowicz, M. R. Sabuncu, G. Unal, &amp; W. Wells (Eds.),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Medical Image Computing and Computer-Assisted Intervention—MICCAI 2016</w:t>
      </w:r>
      <w:r>
        <w:rPr>
          <w:lang w:val="es-ES"/>
        </w:rPr>
        <w:t xml:space="preserve"> </w:t>
      </w:r>
      <w:r>
        <w:rPr>
          <w:lang w:val="es-ES"/>
        </w:rPr>
        <w:t xml:space="preserve">(pp. 424–432). Springer.</w:t>
      </w:r>
      <w:r>
        <w:rPr>
          <w:lang w:val="es-ES"/>
        </w:rPr>
        <w:t xml:space="preserve"> </w:t>
      </w:r>
      <w:hyperlink r:id="rId18">
        <w:r>
          <w:rPr>
            <w:rStyle w:val="Hipervnculo"/>
          </w:rPr>
          <w:t xml:space="preserve">https://doi.org/10.1007/978-3-319-46723-8_49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de Verdier, M. C., Saluja, R., Gagnon, L., LaBella, D., Baid, U., Tahon, N. H., Foltyn-Dumitru, M., Zhang, J., Alafif, M., Baig, S., Chang, K., D’Anna, G., Deptula, L., Gupta, D., Haider, M. A., Hussain, A., Iv, M., Kontzialis, M., Manning, P., . . . Rudie, J. D. (2024). The 2024 Brain Tumor Segmentation (BraTS) Challenge: Glioma segmentation on post-treatment MRI.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arXiv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hyperlink r:id="rId19">
        <w:r>
          <w:rPr>
            <w:rStyle w:val="Hipervnculo"/>
          </w:rPr>
          <w:t xml:space="preserve">https://doi.org/10.48550/arXiv.2405.18368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Dice, L. R. (1945). Measures of the amount of ecologic association between species.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Ecology, 26</w:t>
      </w:r>
      <w:r>
        <w:rPr>
          <w:lang w:val="es-ES"/>
        </w:rPr>
        <w:t xml:space="preserve">(3), 297–302.</w:t>
      </w:r>
      <w:r>
        <w:rPr>
          <w:lang w:val="es-ES"/>
        </w:rPr>
        <w:t xml:space="preserve"> </w:t>
      </w:r>
      <w:hyperlink r:id="rId20">
        <w:r>
          <w:rPr>
            <w:rStyle w:val="Hipervnculo"/>
          </w:rPr>
          <w:t xml:space="preserve">https://doi.org/10.2307/1932409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Dosovitskiy, A., Beyer, L., Kolesnikov, A., Weissenborn, D., Zhai, X., Unterthiner, T., Dehghani, M., Minderer, M., Heigold, G., Gelly, S., Uszkoreit, J., &amp; Houlsby, N. (2021). An image is worth 16x16 words: Transformers for image recognition at scale. In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International Conference on Learning Representations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hyperlink r:id="rId21">
        <w:r>
          <w:rPr>
            <w:rStyle w:val="Hipervnculo"/>
          </w:rPr>
          <w:t xml:space="preserve">https://openreview.net/forum?id=YicbFdNTTy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Gao, P., Shan, W., Guo, Y., Wang, Y., Sun, R., Cai, J., Li, H., Chan, W. S., Liu, P., Yi, L., Zhang, S., Li, W., Jiang, T., He, K., &amp; Wu, Z. (2022). Development and validation of a deep learning model for brain tumor diagnosis and classification using magnetic resonance imaging.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JAMA Network Open, 5</w:t>
      </w:r>
      <w:r>
        <w:rPr>
          <w:lang w:val="es-ES"/>
        </w:rPr>
        <w:t xml:space="preserve">(8), e2225608.</w:t>
      </w:r>
      <w:r>
        <w:rPr>
          <w:lang w:val="es-ES"/>
        </w:rPr>
        <w:t xml:space="preserve"> </w:t>
      </w:r>
      <w:hyperlink r:id="rId22">
        <w:r>
          <w:rPr>
            <w:rStyle w:val="Hipervnculo"/>
          </w:rPr>
          <w:t xml:space="preserve">https://doi.org/10.1001/jamanetworkopen.2022.25608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Hatamizadeh, A., Tang, Y., Nath, V., Yang, D., Myronenko, A., Landman, B., Roth, H. R., &amp; Xu, D. (2022). UNETR: Transformers for 3D medical image segmentation. In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2022 IEEE/CVF Winter Conference on Applications of Computer Vision (WACV)</w:t>
      </w:r>
      <w:r>
        <w:rPr>
          <w:lang w:val="es-ES"/>
        </w:rPr>
        <w:t xml:space="preserve"> </w:t>
      </w:r>
      <w:r>
        <w:rPr>
          <w:lang w:val="es-ES"/>
        </w:rPr>
        <w:t xml:space="preserve">(pp. 1748–1758). IEEE.</w:t>
      </w:r>
      <w:r>
        <w:rPr>
          <w:lang w:val="es-ES"/>
        </w:rPr>
        <w:t xml:space="preserve"> </w:t>
      </w:r>
      <w:hyperlink r:id="rId23">
        <w:r>
          <w:rPr>
            <w:rStyle w:val="Hipervnculo"/>
          </w:rPr>
          <w:t xml:space="preserve">https://doi.org/10.1109/WACV51458.2022.00181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Havaei, M., Davy, A., Warde-Farley, D., Biard, A., Courville, A., Bengio, Y., Pal, C., Jodoin, P.-M., &amp; Larochelle, H. (2017). Brain tumor segmentation with deep neural networks.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Medical Image Analysis, 35</w:t>
      </w:r>
      <w:r>
        <w:rPr>
          <w:lang w:val="es-ES"/>
        </w:rPr>
        <w:t xml:space="preserve">, 18–31.</w:t>
      </w:r>
      <w:r>
        <w:rPr>
          <w:lang w:val="es-ES"/>
        </w:rPr>
        <w:t xml:space="preserve"> </w:t>
      </w:r>
      <w:hyperlink r:id="rId24">
        <w:r>
          <w:rPr>
            <w:rStyle w:val="Hipervnculo"/>
          </w:rPr>
          <w:t xml:space="preserve">https://doi.org/10.1016/j.media.2016.05.004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He, K., Zhang, X., Ren, S., &amp; Sun, J. (2016). Deep residual learning for image recognition. In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2016 IEEE Conference on Computer Vision and Pattern Recognition (CVPR)</w:t>
      </w:r>
      <w:r>
        <w:rPr>
          <w:lang w:val="es-ES"/>
        </w:rPr>
        <w:t xml:space="preserve"> </w:t>
      </w:r>
      <w:r>
        <w:rPr>
          <w:lang w:val="es-ES"/>
        </w:rPr>
        <w:t xml:space="preserve">(pp. 770–778). IEEE.</w:t>
      </w:r>
      <w:r>
        <w:rPr>
          <w:lang w:val="es-ES"/>
        </w:rPr>
        <w:t xml:space="preserve"> </w:t>
      </w:r>
      <w:hyperlink r:id="rId25">
        <w:r>
          <w:rPr>
            <w:rStyle w:val="Hipervnculo"/>
          </w:rPr>
          <w:t xml:space="preserve">https://doi.org/10.1109/CVPR.2016.90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Hoebel, K. V., Bridge, C. P., Ahmed, S., Akintola, O., Chung, C., Huang, R. Y., Johnson, J. M., Kim, A., Ly, K. I., Chang, K., Patel, J., Pinho, M., Batchelor, T. T., Rosen, B. R., Gerstner, E. R., &amp; Kalpathy-Cramer, J. (2024). Expert-centered evaluation of deep learning algorithms for brain tumor segmentation.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Radiology: Artificial Intelligence, 6</w:t>
      </w:r>
      <w:r>
        <w:rPr>
          <w:lang w:val="es-ES"/>
        </w:rPr>
        <w:t xml:space="preserve">(1), e220231.</w:t>
      </w:r>
      <w:r>
        <w:rPr>
          <w:lang w:val="es-ES"/>
        </w:rPr>
        <w:t xml:space="preserve"> </w:t>
      </w:r>
      <w:hyperlink r:id="rId26">
        <w:r>
          <w:rPr>
            <w:rStyle w:val="Hipervnculo"/>
          </w:rPr>
          <w:t xml:space="preserve">https://doi.org/10.1148/ryai.220231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Huttenlocher, D. P., Klanderman, G. A., &amp; Rucklidge, W. J. (1993). Comparing images using the Hausdorff distance.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IEEE Transactions on Pattern Analysis and Machine Intelligence, 15</w:t>
      </w:r>
      <w:r>
        <w:rPr>
          <w:lang w:val="es-ES"/>
        </w:rPr>
        <w:t xml:space="preserve">(9), 850–863.</w:t>
      </w:r>
      <w:r>
        <w:rPr>
          <w:lang w:val="es-ES"/>
        </w:rPr>
        <w:t xml:space="preserve"> </w:t>
      </w:r>
      <w:hyperlink r:id="rId27">
        <w:r>
          <w:rPr>
            <w:rStyle w:val="Hipervnculo"/>
          </w:rPr>
          <w:t xml:space="preserve">https://doi.org/10.1109/34.232073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Isensee, F., Jaeger, P. F., Kohl, S. A. A., Petersen, J., &amp; Maier-Hein, K. H. (2021). nnU-Net: A self-configuring method for deep learning-based biomedical image segmentation.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Nature Methods, 18</w:t>
      </w:r>
      <w:r>
        <w:rPr>
          <w:lang w:val="es-ES"/>
        </w:rPr>
        <w:t xml:space="preserve">(2), 203–211.</w:t>
      </w:r>
      <w:r>
        <w:rPr>
          <w:lang w:val="es-ES"/>
        </w:rPr>
        <w:t xml:space="preserve"> </w:t>
      </w:r>
      <w:hyperlink r:id="rId28">
        <w:r>
          <w:rPr>
            <w:rStyle w:val="Hipervnculo"/>
          </w:rPr>
          <w:t xml:space="preserve">https://doi.org/10.1038/s41592-020-01008-z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Kamnitsas, K., Ledig, C., Newcombe, V. F. J., Simpson, J. P., Kane, A. D., Menon, D. K., Rueckert, D., &amp; Glocker, B. (2017). Efficient multi-scale 3D CNN with fully connected CRF for accurate brain lesion segmentation.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Medical Image Analysis, 36</w:t>
      </w:r>
      <w:r>
        <w:rPr>
          <w:lang w:val="es-ES"/>
        </w:rPr>
        <w:t xml:space="preserve">, 61–78.</w:t>
      </w:r>
      <w:r>
        <w:rPr>
          <w:lang w:val="es-ES"/>
        </w:rPr>
        <w:t xml:space="preserve"> </w:t>
      </w:r>
      <w:hyperlink r:id="rId29">
        <w:r>
          <w:rPr>
            <w:rStyle w:val="Hipervnculo"/>
          </w:rPr>
          <w:t xml:space="preserve">https://doi.org/10.1016/j.media.2016.10.004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Khalighi, S., Reddy, K., Midya, A., Pandav, K. B., Madabhushi, A., &amp; Abedalthagafi, M. (2024). Artificial intelligence in neuro-oncology: Advances and challenges in brain tumor diagnosis, prognosis, and precision treatment.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npj Precision Oncology, 8</w:t>
      </w:r>
      <w:r>
        <w:rPr>
          <w:lang w:val="es-ES"/>
        </w:rPr>
        <w:t xml:space="preserve">, Article 80.</w:t>
      </w:r>
      <w:r>
        <w:rPr>
          <w:lang w:val="es-ES"/>
        </w:rPr>
        <w:t xml:space="preserve"> </w:t>
      </w:r>
      <w:hyperlink r:id="rId30">
        <w:r>
          <w:rPr>
            <w:rStyle w:val="Hipervnculo"/>
          </w:rPr>
          <w:t xml:space="preserve">https://doi.org/10.1038/s41698-024-00575-0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Kouli, O., Hassane, A., Badran, D., Kouli, T., Hossain-Ibrahim, K., &amp; Steele, J. D. (2022). Automated brain tumor identification using magnetic resonance imaging: A systematic review and meta-analysis.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Neuro-Oncology Advances, 4</w:t>
      </w:r>
      <w:r>
        <w:rPr>
          <w:lang w:val="es-ES"/>
        </w:rPr>
        <w:t xml:space="preserve">(1), vdac081.</w:t>
      </w:r>
      <w:r>
        <w:rPr>
          <w:lang w:val="es-ES"/>
        </w:rPr>
        <w:t xml:space="preserve"> </w:t>
      </w:r>
      <w:hyperlink r:id="rId31">
        <w:r>
          <w:rPr>
            <w:rStyle w:val="Hipervnculo"/>
          </w:rPr>
          <w:t xml:space="preserve">https://doi.org/10.1093/noajnl/vdac081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Langen, K.-J., Galldiks, N., Hattingen, E., &amp; Shah, N. J. (2017). Advances in neuro-oncology imaging.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Nature Reviews Neurology, 13</w:t>
      </w:r>
      <w:r>
        <w:rPr>
          <w:lang w:val="es-ES"/>
        </w:rPr>
        <w:t xml:space="preserve">(5), 279–289.</w:t>
      </w:r>
      <w:r>
        <w:rPr>
          <w:lang w:val="es-ES"/>
        </w:rPr>
        <w:t xml:space="preserve"> </w:t>
      </w:r>
      <w:hyperlink r:id="rId32">
        <w:r>
          <w:rPr>
            <w:rStyle w:val="Hipervnculo"/>
          </w:rPr>
          <w:t xml:space="preserve">https://doi.org/10.1038/nrneurol.2017.44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Liu, Y., Mu, F., Shi, Y., Cheng, J., Li, C., &amp; Chen, X. (2022). Brain tumor segmentation in multimodal MRI via pixel-level and feature-level image fusion.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Frontiers in Neuroscience, 16</w:t>
      </w:r>
      <w:r>
        <w:rPr>
          <w:lang w:val="es-ES"/>
        </w:rPr>
        <w:t xml:space="preserve">, 1000587.</w:t>
      </w:r>
      <w:r>
        <w:rPr>
          <w:lang w:val="es-ES"/>
        </w:rPr>
        <w:t xml:space="preserve"> </w:t>
      </w:r>
      <w:hyperlink r:id="rId33">
        <w:r>
          <w:rPr>
            <w:rStyle w:val="Hipervnculo"/>
          </w:rPr>
          <w:t xml:space="preserve">https://doi.org/10.3389/fnins.2022.1000587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Liu, Z., Lin, Y., Cao, Y., Hu, H., Wei, Y., Zhang, Z., Lin, S., &amp; Guo, B. (2021). Swin Transformer: Hierarchical vision Transformer using shifted windows. In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2021 IEEE/CVF International Conference on Computer Vision (ICCV)</w:t>
      </w:r>
      <w:r>
        <w:rPr>
          <w:lang w:val="es-ES"/>
        </w:rPr>
        <w:t xml:space="preserve"> </w:t>
      </w:r>
      <w:r>
        <w:rPr>
          <w:lang w:val="es-ES"/>
        </w:rPr>
        <w:t xml:space="preserve">(pp. 9992–10002). IEEE.</w:t>
      </w:r>
      <w:r>
        <w:rPr>
          <w:lang w:val="es-ES"/>
        </w:rPr>
        <w:t xml:space="preserve"> </w:t>
      </w:r>
      <w:hyperlink r:id="rId34">
        <w:r>
          <w:rPr>
            <w:rStyle w:val="Hipervnculo"/>
          </w:rPr>
          <w:t xml:space="preserve">https://doi.org/10.1109/ICCV48922.2021.00986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Long, J., Shelhamer, E., &amp; Darrell, T. (2015). Fully convolutional networks for semantic segmentation. In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2015 IEEE Conference on Computer Vision and Pattern Recognition (CVPR)</w:t>
      </w:r>
      <w:r>
        <w:rPr>
          <w:lang w:val="es-ES"/>
        </w:rPr>
        <w:t xml:space="preserve"> </w:t>
      </w:r>
      <w:r>
        <w:rPr>
          <w:lang w:val="es-ES"/>
        </w:rPr>
        <w:t xml:space="preserve">(pp. 3431–3440). IEEE.</w:t>
      </w:r>
      <w:r>
        <w:rPr>
          <w:lang w:val="es-ES"/>
        </w:rPr>
        <w:t xml:space="preserve"> </w:t>
      </w:r>
      <w:hyperlink r:id="rId35">
        <w:r>
          <w:rPr>
            <w:rStyle w:val="Hipervnculo"/>
          </w:rPr>
          <w:t xml:space="preserve">https://doi.org/10.1109/CVPR.2015.7298965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Mattson, P., Cheng, C., Diamos, G., Coleman, C., Micikevicius, P., Patterson, D., Tang, H., Wei, G.-Y., Bailis, P., Bittorf, V., Brooks, D., Chen, D., Dutta, D., Gupta, U., Hazelwood, K., Hock, A., Huang, X., Kang, D., Kanter, D., . . . Zaharia, M. (2020). MLPerf training benchmark.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Proceedings of Machine Learning and Systems, 2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hyperlink r:id="rId36">
        <w:r>
          <w:rPr>
            <w:rStyle w:val="Hipervnculo"/>
          </w:rPr>
          <w:t xml:space="preserve">https://proceedings.mlsys.org/paper_files/paper/2020/hash/411e39b117e885341f25efb8912945f7-Abstract.html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Menze, B. H., Jakab, A., Bauer, S., Kalpathy-Cramer, J., Farahani, K., Kirby, J., Burren, Y., Porz, N., Slotboom, J., Wiest, R., Lanczi, L., Gerstner, E., Weber, M.-A., Arbel, T., Avants, B. B., Ayache, N., Buendia, P., Collins, D. L., Cordier, N., . . . Van Leemput, K. (2015). The multimodal brain tumor image segmentation benchmark (BRATS).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IEEE Transactions on Medical Imaging, 34</w:t>
      </w:r>
      <w:r>
        <w:rPr>
          <w:lang w:val="es-ES"/>
        </w:rPr>
        <w:t xml:space="preserve">(10), 1993–2024.</w:t>
      </w:r>
      <w:r>
        <w:rPr>
          <w:lang w:val="es-ES"/>
        </w:rPr>
        <w:t xml:space="preserve"> </w:t>
      </w:r>
      <w:hyperlink r:id="rId37">
        <w:r>
          <w:rPr>
            <w:rStyle w:val="Hipervnculo"/>
          </w:rPr>
          <w:t xml:space="preserve">https://doi.org/10.1109/TMI.2014.2377694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Milletari, F., Navab, N., &amp; Ahmadi, S.-A. (2016). V-Net: Fully convolutional neural networks for volumetric medical image segmentation. In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2016 Fourth International Conference on 3D Vision (3DV)</w:t>
      </w:r>
      <w:r>
        <w:rPr>
          <w:lang w:val="es-ES"/>
        </w:rPr>
        <w:t xml:space="preserve"> </w:t>
      </w:r>
      <w:r>
        <w:rPr>
          <w:lang w:val="es-ES"/>
        </w:rPr>
        <w:t xml:space="preserve">(pp. 565–571). IEEE.</w:t>
      </w:r>
      <w:r>
        <w:rPr>
          <w:lang w:val="es-ES"/>
        </w:rPr>
        <w:t xml:space="preserve"> </w:t>
      </w:r>
      <w:hyperlink r:id="rId38">
        <w:r>
          <w:rPr>
            <w:rStyle w:val="Hipervnculo"/>
          </w:rPr>
          <w:t xml:space="preserve">https://doi.org/10.1109/3DV.2016.79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Myronenko, A. (2019). 3D MRI brain tumor segmentation using autoencoder regularization. In A. Crimi, S. Bakas, H. Kuijf, F. Keyvan, M. Reyes, &amp; T. van Walsum (Eds.),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Brainlesion: Glioma, multiple sclerosis, stroke and traumatic brain injuries</w:t>
      </w:r>
      <w:r>
        <w:rPr>
          <w:lang w:val="es-ES"/>
        </w:rPr>
        <w:t xml:space="preserve"> </w:t>
      </w:r>
      <w:r>
        <w:rPr>
          <w:lang w:val="es-ES"/>
        </w:rPr>
        <w:t xml:space="preserve">(pp. 311–320). Springer.</w:t>
      </w:r>
      <w:r>
        <w:rPr>
          <w:lang w:val="es-ES"/>
        </w:rPr>
        <w:t xml:space="preserve"> </w:t>
      </w:r>
      <w:hyperlink r:id="rId39">
        <w:r>
          <w:rPr>
            <w:rStyle w:val="Hipervnculo"/>
          </w:rPr>
          <w:t xml:space="preserve">https://doi.org/10.1007/978-3-030-11726-9_28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Oktay, O., Schlemper, J., Le Folgoc, L., Lee, M., Heinrich, M., Misawa, K., Mori, K., McDonagh, S., Hammerla, N. Y., Kainz, B., Glocker, B., &amp; Rueckert, D. (2018). Attention U-Net: Learning where to look for the pancreas.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arXiv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hyperlink r:id="rId40">
        <w:r>
          <w:rPr>
            <w:rStyle w:val="Hipervnculo"/>
          </w:rPr>
          <w:t xml:space="preserve">https://doi.org/10.48550/arXiv.1804.03999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Pineau, J., Vincent-Lamarre, P., Sinha, K., Larivière, V., Beygelzimer, A., d’Alché-Buc, F., Fox, E., &amp; Larochelle, H. (2021). Improving reproducibility in machine learning research: A report from the NeurIPS 2019 reproducibility program.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Journal of Machine Learning Research, 22</w:t>
      </w:r>
      <w:r>
        <w:rPr>
          <w:lang w:val="es-ES"/>
        </w:rPr>
        <w:t xml:space="preserve">(164), 1–20.</w:t>
      </w:r>
      <w:r>
        <w:rPr>
          <w:lang w:val="es-ES"/>
        </w:rPr>
        <w:t xml:space="preserve"> </w:t>
      </w:r>
      <w:hyperlink r:id="rId41">
        <w:r>
          <w:rPr>
            <w:rStyle w:val="Hipervnculo"/>
          </w:rPr>
          <w:t xml:space="preserve">https://www.jmlr.org/papers/v22/20-303.html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Ronneberger, O., Fischer, P., &amp; Brox, T. (2015). U-Net: Convolutional networks for biomedical image segmentation. In N. Navab, J. Hornegger, W. M. Wells, &amp; A. F. Frangi (Eds.),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Medical Image Computing and Computer-Assisted Intervention—MICCAI 2015</w:t>
      </w:r>
      <w:r>
        <w:rPr>
          <w:lang w:val="es-ES"/>
        </w:rPr>
        <w:t xml:space="preserve"> </w:t>
      </w:r>
      <w:r>
        <w:rPr>
          <w:lang w:val="es-ES"/>
        </w:rPr>
        <w:t xml:space="preserve">(pp. 234–241). Springer.</w:t>
      </w:r>
      <w:r>
        <w:rPr>
          <w:lang w:val="es-ES"/>
        </w:rPr>
        <w:t xml:space="preserve"> </w:t>
      </w:r>
      <w:hyperlink r:id="rId42">
        <w:r>
          <w:rPr>
            <w:rStyle w:val="Hipervnculo"/>
          </w:rPr>
          <w:t xml:space="preserve">https://doi.org/10.1007/978-3-319-24574-4_28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Ruffle, J. K., Mohinta, S., Gray, R., Hyare, H., &amp; Nachev, P. (2023). Brain tumour segmentation with incomplete imaging data.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Brain Communications, 5</w:t>
      </w:r>
      <w:r>
        <w:rPr>
          <w:lang w:val="es-ES"/>
        </w:rPr>
        <w:t xml:space="preserve">(2), fcad118.</w:t>
      </w:r>
      <w:r>
        <w:rPr>
          <w:lang w:val="es-ES"/>
        </w:rPr>
        <w:t xml:space="preserve"> </w:t>
      </w:r>
      <w:hyperlink r:id="rId43">
        <w:r>
          <w:rPr>
            <w:rStyle w:val="Hipervnculo"/>
          </w:rPr>
          <w:t xml:space="preserve">https://doi.org/10.1093/braincomms/fcad118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Shaker, A., Maaz, M., Rasheed, H., Khan, S., Yang, M.-H., &amp; Khan, F. S. (2024). UNETR++: Delving into efficient and accurate 3D medical image segmentation.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IEEE Transactions on Medical Imaging, 43</w:t>
      </w:r>
      <w:r>
        <w:rPr>
          <w:lang w:val="es-ES"/>
        </w:rPr>
        <w:t xml:space="preserve">(9), 3377–3390.</w:t>
      </w:r>
      <w:r>
        <w:rPr>
          <w:lang w:val="es-ES"/>
        </w:rPr>
        <w:t xml:space="preserve"> </w:t>
      </w:r>
      <w:hyperlink r:id="rId44">
        <w:r>
          <w:rPr>
            <w:rStyle w:val="Hipervnculo"/>
          </w:rPr>
          <w:t xml:space="preserve">https://doi.org/10.1109/TMI.2024.3398728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Taha, A. A., &amp; Hanbury, A. (2015). Metrics for evaluating 3D medical image segmentation: Analysis, selection, and tool.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BMC Medical Imaging, 15</w:t>
      </w:r>
      <w:r>
        <w:rPr>
          <w:lang w:val="es-ES"/>
        </w:rPr>
        <w:t xml:space="preserve">, Article 29.</w:t>
      </w:r>
      <w:r>
        <w:rPr>
          <w:lang w:val="es-ES"/>
        </w:rPr>
        <w:t xml:space="preserve"> </w:t>
      </w:r>
      <w:hyperlink r:id="rId45">
        <w:r>
          <w:rPr>
            <w:rStyle w:val="Hipervnculo"/>
          </w:rPr>
          <w:t xml:space="preserve">https://doi.org/10.1186/s12880-015-0068-x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Tang, Y., Yang, D., Li, W., Roth, H. R., Landman, B., Xu, D., Nath, V., &amp; Hatamizadeh, A. (2022). Self-supervised pre-training of Swin Transformers for 3D medical image analysis. In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2022 IEEE/CVF Conference on Computer Vision and Pattern Recognition (CVPR)</w:t>
      </w:r>
      <w:r>
        <w:rPr>
          <w:lang w:val="es-ES"/>
        </w:rPr>
        <w:t xml:space="preserve"> </w:t>
      </w:r>
      <w:r>
        <w:rPr>
          <w:lang w:val="es-ES"/>
        </w:rPr>
        <w:t xml:space="preserve">(pp. 20698–20708). IEEE.</w:t>
      </w:r>
      <w:r>
        <w:rPr>
          <w:lang w:val="es-ES"/>
        </w:rPr>
        <w:t xml:space="preserve"> </w:t>
      </w:r>
      <w:hyperlink r:id="rId46">
        <w:r>
          <w:rPr>
            <w:rStyle w:val="Hipervnculo"/>
          </w:rPr>
          <w:t xml:space="preserve">https://doi.org/10.1109/CVPR52688.2022.02007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Vaswani, A., Shazeer, N., Parmar, N., Uszkoreit, J., Jones, L., Gomez, A. N., Kaiser, Ł., &amp; Polosukhin, I. (2017). Attention is all you need. In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Advances in Neural Information Processing Systems 30</w:t>
      </w:r>
      <w:r>
        <w:rPr>
          <w:lang w:val="es-ES"/>
        </w:rPr>
        <w:t xml:space="preserve"> </w:t>
      </w:r>
      <w:r>
        <w:rPr>
          <w:lang w:val="es-ES"/>
        </w:rPr>
        <w:t xml:space="preserve">(pp. 5998–6008).</w:t>
      </w:r>
      <w:r>
        <w:rPr>
          <w:lang w:val="es-ES"/>
        </w:rPr>
        <w:t xml:space="preserve"> </w:t>
      </w:r>
      <w:hyperlink r:id="rId47">
        <w:r>
          <w:rPr>
            <w:rStyle w:val="Hipervnculo"/>
          </w:rPr>
          <w:t xml:space="preserve">https://papers.nips.cc/paper_files/paper/2017/hash/3f5ee243547dee91fbd053c1c4a845aa-Abstract.html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Wang, W., Chen, C., Ding, M., Yu, H., Zha, S., &amp; Li, J. (2021). TransBTS: Multimodal brain tumor segmentation using Transformer. In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Medical Image Computing and Computer-Assisted Intervention—MICCAI 2021</w:t>
      </w:r>
      <w:r>
        <w:rPr>
          <w:lang w:val="es-ES"/>
        </w:rPr>
        <w:t xml:space="preserve"> </w:t>
      </w:r>
      <w:r>
        <w:rPr>
          <w:lang w:val="es-ES"/>
        </w:rPr>
        <w:t xml:space="preserve">(pp. 109–119). Springer.</w:t>
      </w:r>
      <w:r>
        <w:rPr>
          <w:lang w:val="es-ES"/>
        </w:rPr>
        <w:t xml:space="preserve"> </w:t>
      </w:r>
      <w:hyperlink r:id="rId48">
        <w:r>
          <w:rPr>
            <w:rStyle w:val="Hipervnculo"/>
          </w:rPr>
          <w:t xml:space="preserve">https://doi.org/10.1007/978-3-030-87193-2_11</w:t>
        </w:r>
      </w:hyperlink>
    </w:p>
    <w:p>
      <w:pPr>
        <w:pStyle w:val="TFMBibliography"/>
        <w:rPr>
          <w:lang w:val="es-ES"/>
        </w:rPr>
      </w:pPr>
      <w:r>
        <w:rPr>
          <w:lang w:val="es-ES"/>
        </w:rPr>
        <w:t xml:space="preserve">Zhou, T., Ruan, S., Vera, P., &amp; Canu, S. (2022). A Tri-Attention fusion guided multi-modal segmentation network.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Pattern Recognition, 124</w:t>
      </w:r>
      <w:r>
        <w:rPr>
          <w:lang w:val="es-ES"/>
        </w:rPr>
        <w:t xml:space="preserve">, 108417.</w:t>
      </w:r>
      <w:r>
        <w:rPr>
          <w:lang w:val="es-ES"/>
        </w:rPr>
        <w:t xml:space="preserve"> </w:t>
      </w:r>
      <w:hyperlink r:id="rId49">
        <w:r>
          <w:rPr>
            <w:rStyle w:val="Hipervnculo"/>
          </w:rPr>
          <w:t xml:space="preserve">https://doi.org/10.1016/j.patcog.2021.108417</w:t>
        </w:r>
      </w:hyperlink>
    </w:p>
    <w:bookmarkEnd w:id="66"/>
    <w:bookmarkStart w:id="67" w:name="apéndice-a.-reproducibilidad"/>
    <w:p>
      <w:pPr>
        <w:pStyle w:val="Ttulo1"/>
        <w:pageBreakBefore/>
      </w:pPr>
      <w:r>
        <w:t xml:space="preserve">Apéndice A. Reproducibilidad</w:t>
      </w:r>
    </w:p>
    <w:p>
      <w:pPr>
        <w:rPr>
          <w:lang w:val="es-ES"/>
        </w:rPr>
      </w:pPr>
      <w:r>
        <w:rPr>
          <w:lang w:val="es-ES"/>
        </w:rPr>
        <w:t xml:space="preserve">Este apéndice identifica el código, las configuraciones, los comandos y los artefactos necesarios</w:t>
      </w:r>
      <w:r>
        <w:rPr>
          <w:lang w:val="es-ES"/>
        </w:rPr>
        <w:t xml:space="preserve"> </w:t>
      </w:r>
      <w:r>
        <w:rPr>
          <w:lang w:val="es-ES"/>
        </w:rPr>
        <w:t xml:space="preserve">para auditar el trabajo. No sustituye las condiciones de acceso al conjunto BraTS-GLI 2024 ni</w:t>
      </w:r>
      <w:r>
        <w:rPr>
          <w:lang w:val="es-ES"/>
        </w:rPr>
        <w:t xml:space="preserve"> </w:t>
      </w:r>
      <w:r>
        <w:rPr>
          <w:lang w:val="es-ES"/>
        </w:rPr>
        <w:t xml:space="preserve">permite reconstruir los entrenamientos pesados sin disponer de los datos y del entorno de cómputo.</w:t>
      </w:r>
    </w:p>
    <w:bookmarkStart w:id="68" w:name="a.1.-repositorio-y-versión-de-entrega"/>
    <w:p>
      <w:pPr>
        <w:pStyle w:val="Ttulo2"/>
      </w:pPr>
      <w:r>
        <w:t xml:space="preserve">A.1. Repositorio y versión de entrega</w:t>
      </w:r>
    </w:p>
    <w:p>
      <w:pPr>
        <w:numPr>
          <w:ilvl w:val="0"/>
          <w:numId w:val="19"/>
        </w:numPr>
        <w:rPr>
          <w:lang w:val="es-ES"/>
        </w:rPr>
      </w:pPr>
      <w:r>
        <w:rPr>
          <w:lang w:val="es-ES"/>
        </w:rPr>
        <w:t xml:space="preserve">Repositorio remoto configurado:</w:t>
      </w:r>
      <w:r>
        <w:rPr>
          <w:lang w:val="es-ES"/>
        </w:rPr>
        <w:t xml:space="preserve"> </w:t>
      </w:r>
      <w:hyperlink r:id="rId50">
        <w:r>
          <w:rPr>
            <w:rStyle w:val="Hipervnculo"/>
          </w:rPr>
          <w:t xml:space="preserve">https://github.com/jesusferron/tfm-brain-tumor-segmentation</w:t>
        </w:r>
      </w:hyperlink>
      <w:r>
        <w:rPr>
          <w:lang w:val="es-ES"/>
        </w:rPr>
        <w:t xml:space="preserve">.</w:t>
      </w:r>
    </w:p>
    <w:p>
      <w:pPr>
        <w:numPr>
          <w:ilvl w:val="0"/>
          <w:numId w:val="19"/>
        </w:numPr>
        <w:rPr>
          <w:lang w:val="es-ES"/>
        </w:rPr>
      </w:pPr>
      <w:r>
        <w:rPr>
          <w:lang w:val="es-ES"/>
        </w:rPr>
        <w:t xml:space="preserve">Rama de trabajo: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main</w:t>
      </w:r>
      <w:r>
        <w:rPr>
          <w:lang w:val="es-ES"/>
        </w:rPr>
        <w:t xml:space="preserve">.</w:t>
      </w:r>
    </w:p>
    <w:p>
      <w:pPr>
        <w:numPr>
          <w:ilvl w:val="0"/>
          <w:numId w:val="19"/>
        </w:numPr>
        <w:rPr>
          <w:lang w:val="es-ES"/>
        </w:rPr>
      </w:pPr>
      <w:r>
        <w:rPr>
          <w:lang w:val="es-ES"/>
        </w:rPr>
        <w:t xml:space="preserve">SHA de referencia al iniciar esta revisión: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89c778d211264fab2ae835f60b10347e677783c9</w:t>
      </w:r>
      <w:r>
        <w:rPr>
          <w:lang w:val="es-ES"/>
        </w:rPr>
        <w:t xml:space="preserve">.</w:t>
      </w:r>
    </w:p>
    <w:p>
      <w:pPr>
        <w:rPr>
          <w:lang w:val="es-ES"/>
        </w:rPr>
      </w:pPr>
      <w:r>
        <w:rPr>
          <w:lang w:val="es-ES"/>
        </w:rPr>
        <w:t xml:space="preserve">El SHA anterior precede a las correcciones editoriales de la entrega 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debe sustituirse por el SHA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del commit final</w:t>
      </w:r>
      <w:r>
        <w:rPr>
          <w:lang w:val="es-ES"/>
        </w:rPr>
        <w:t xml:space="preserve"> </w:t>
      </w:r>
      <w:r>
        <w:rPr>
          <w:lang w:val="es-ES"/>
        </w:rPr>
        <w:t xml:space="preserve">después de integrarlas. La reproducción no debe depender de la posición móvil de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main</w:t>
      </w:r>
      <w:r>
        <w:rPr>
          <w:lang w:val="es-ES"/>
        </w:rPr>
        <w:t xml:space="preserve">. Una vez congelada la entrega, el marcador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&lt;SHA_FINAL&gt;</w:t>
      </w:r>
      <w:r>
        <w:rPr>
          <w:lang w:val="es-ES"/>
        </w:rPr>
        <w:t xml:space="preserve"> </w:t>
      </w:r>
      <w:r>
        <w:rPr>
          <w:lang w:val="es-ES"/>
        </w:rPr>
        <w:t xml:space="preserve">de los siguientes comandos debe</w:t>
      </w:r>
      <w:r>
        <w:rPr>
          <w:lang w:val="es-ES"/>
        </w:rPr>
        <w:t xml:space="preserve"> </w:t>
      </w:r>
      <w:r>
        <w:rPr>
          <w:lang w:val="es-ES"/>
        </w:rPr>
        <w:t xml:space="preserve">reemplazarse por ese identificador completo. Esta es la única actualización documental que no puede</w:t>
      </w:r>
      <w:r>
        <w:rPr>
          <w:lang w:val="es-ES"/>
        </w:rPr>
        <w:t xml:space="preserve"> </w:t>
      </w:r>
      <w:r>
        <w:rPr>
          <w:lang w:val="es-ES"/>
        </w:rPr>
        <w:t xml:space="preserve">cerrarse antes de aceptar las correcciones y crear el commit que las contenga:</w:t>
      </w:r>
    </w:p>
    <w:p>
      <w:pPr>
        <w:pStyle w:val="TFMCode"/>
        <w:keepLines w:val="0"/>
        <w:widowControl w:val="0"/>
        <w:pBdr>
          <w:left w:val="single" w:sz="12" w:space="8" w:color="ED7D31"/>
        </w:pBdr>
        <w:shd w:val="clear" w:fill="F2F2F2"/>
        <w:rPr>
          <w:lang w:val="es-ES"/>
        </w:rPr>
      </w:pPr>
      <w:r>
        <w:rPr>
          <w:rStyle w:val="FunctionTok"/>
          <w:rFonts w:ascii="Consolas" w:hAnsi="Consolas" w:cs="Consolas" w:eastAsia="Consolas"/>
          <w:color w:val="1F1F1F"/>
          <w:sz w:val="15"/>
          <w:noProof/>
          <w:lang w:val="es-ES"/>
        </w:rPr>
        <w:t xml:space="preserve">git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clone https://github.com/jesusferron/tfm-brain-tumor-segmentation.git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BuiltInTok"/>
          <w:rFonts w:ascii="Consolas" w:hAnsi="Consolas" w:cs="Consolas" w:eastAsia="Consolas"/>
          <w:color w:val="1F1F1F"/>
          <w:sz w:val="15"/>
          <w:noProof/>
          <w:lang w:val="es-ES"/>
        </w:rPr>
        <w:t xml:space="preserve">cd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tfm-brain-tumor-segmentation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FunctionTok"/>
          <w:rFonts w:ascii="Consolas" w:hAnsi="Consolas" w:cs="Consolas" w:eastAsia="Consolas"/>
          <w:color w:val="1F1F1F"/>
          <w:sz w:val="15"/>
          <w:noProof/>
          <w:lang w:val="es-ES"/>
        </w:rPr>
        <w:t xml:space="preserve">git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checkout </w:t>
      </w:r>
      <w:r>
        <w:rPr>
          <w:rStyle w:val="OperatorTok"/>
          <w:rFonts w:ascii="Consolas" w:hAnsi="Consolas" w:cs="Consolas" w:eastAsia="Consolas"/>
          <w:color w:val="1F1F1F"/>
          <w:sz w:val="15"/>
          <w:noProof/>
          <w:lang w:val="es-ES"/>
        </w:rPr>
        <w:t xml:space="preserve">&lt;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SHA_FINAL</w:t>
      </w:r>
      <w:r>
        <w:rPr>
          <w:rStyle w:val="OperatorTok"/>
          <w:rFonts w:ascii="Consolas" w:hAnsi="Consolas" w:cs="Consolas" w:eastAsia="Consolas"/>
          <w:color w:val="1F1F1F"/>
          <w:sz w:val="15"/>
          <w:noProof/>
          <w:lang w:val="es-ES"/>
        </w:rPr>
        <w:t xml:space="preserve">&gt;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BuiltInTok"/>
          <w:rFonts w:ascii="Consolas" w:hAnsi="Consolas" w:cs="Consolas" w:eastAsia="Consolas"/>
          <w:color w:val="1F1F1F"/>
          <w:sz w:val="15"/>
          <w:noProof/>
          <w:lang w:val="es-ES"/>
        </w:rPr>
        <w:t xml:space="preserve">test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</w:t>
      </w:r>
      <w:r>
        <w:rPr>
          <w:rStyle w:val="StringTok"/>
          <w:rFonts w:ascii="Consolas" w:hAnsi="Consolas" w:cs="Consolas" w:eastAsia="Consolas"/>
          <w:color w:val="1F1F1F"/>
          <w:sz w:val="15"/>
          <w:noProof/>
          <w:lang w:val="es-ES"/>
        </w:rPr>
        <w:t xml:space="preserve">"</w:t>
      </w:r>
      <w:r>
        <w:rPr>
          <w:rStyle w:val="VariableTok"/>
          <w:rFonts w:ascii="Consolas" w:hAnsi="Consolas" w:cs="Consolas" w:eastAsia="Consolas"/>
          <w:color w:val="1F1F1F"/>
          <w:sz w:val="15"/>
          <w:noProof/>
          <w:lang w:val="es-ES"/>
        </w:rPr>
        <w:t xml:space="preserve">$(</w:t>
      </w:r>
      <w:r>
        <w:rPr>
          <w:rStyle w:val="FunctionTok"/>
          <w:rFonts w:ascii="Consolas" w:hAnsi="Consolas" w:cs="Consolas" w:eastAsia="Consolas"/>
          <w:color w:val="1F1F1F"/>
          <w:sz w:val="15"/>
          <w:noProof/>
          <w:lang w:val="es-ES"/>
        </w:rPr>
        <w:t xml:space="preserve">git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rev-parse HEAD</w:t>
      </w:r>
      <w:r>
        <w:rPr>
          <w:rStyle w:val="VariableTok"/>
          <w:rFonts w:ascii="Consolas" w:hAnsi="Consolas" w:cs="Consolas" w:eastAsia="Consolas"/>
          <w:color w:val="1F1F1F"/>
          <w:sz w:val="15"/>
          <w:noProof/>
          <w:lang w:val="es-ES"/>
        </w:rPr>
        <w:t xml:space="preserve">)</w:t>
      </w:r>
      <w:r>
        <w:rPr>
          <w:rStyle w:val="StringTok"/>
          <w:rFonts w:ascii="Consolas" w:hAnsi="Consolas" w:cs="Consolas" w:eastAsia="Consolas"/>
          <w:color w:val="1F1F1F"/>
          <w:sz w:val="15"/>
          <w:noProof/>
          <w:lang w:val="es-ES"/>
        </w:rPr>
        <w:t xml:space="preserve">"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= </w:t>
      </w:r>
      <w:r>
        <w:rPr>
          <w:rStyle w:val="StringTok"/>
          <w:rFonts w:ascii="Consolas" w:hAnsi="Consolas" w:cs="Consolas" w:eastAsia="Consolas"/>
          <w:color w:val="1F1F1F"/>
          <w:sz w:val="15"/>
          <w:noProof/>
          <w:lang w:val="es-ES"/>
        </w:rPr>
        <w:t xml:space="preserve">"&lt;SHA_FINAL&gt;"</w:t>
      </w:r>
    </w:p>
    <w:bookmarkEnd w:id="67"/>
    <w:bookmarkStart w:id="69" w:name="a.2.-entorno"/>
    <w:p>
      <w:pPr>
        <w:pStyle w:val="Ttulo2"/>
      </w:pPr>
      <w:r>
        <w:t xml:space="preserve">A.2. Entorno</w:t>
      </w:r>
    </w:p>
    <w:p>
      <w:pPr>
        <w:rPr>
          <w:lang w:val="es-ES"/>
        </w:rPr>
      </w:pPr>
      <w:r>
        <w:rPr>
          <w:lang w:val="es-ES"/>
        </w:rPr>
        <w:t xml:space="preserve">Las dependencias del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pipeline</w:t>
      </w:r>
      <w:r>
        <w:rPr>
          <w:lang w:val="es-ES"/>
        </w:rPr>
        <w:t xml:space="preserve"> </w:t>
      </w:r>
      <w:r>
        <w:rPr>
          <w:lang w:val="es-ES"/>
        </w:rPr>
        <w:t xml:space="preserve">MONAI se recogen en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requirements/protocol.txt</w:t>
      </w:r>
      <w:r>
        <w:rPr>
          <w:lang w:val="es-ES"/>
        </w:rPr>
        <w:t xml:space="preserve"> </w:t>
      </w:r>
      <w:r>
        <w:rPr>
          <w:lang w:val="es-ES"/>
        </w:rPr>
        <w:t xml:space="preserve">y las de nnU-Net en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requirements/nnunet.txt</w:t>
      </w:r>
      <w:r>
        <w:rPr>
          <w:lang w:val="es-ES"/>
        </w:rPr>
        <w:t xml:space="preserve">. El 23 de julio de 2026, el entorno local disponible durante la revisión</w:t>
      </w:r>
      <w:r>
        <w:rPr>
          <w:lang w:val="es-ES"/>
        </w:rPr>
        <w:t xml:space="preserve"> </w:t>
      </w:r>
      <w:r>
        <w:rPr>
          <w:lang w:val="es-ES"/>
        </w:rPr>
        <w:t xml:space="preserve">reportó Python 3.13.2, PyTorch 2.12.0 y MONAI 1.5.2; nnU-Net sí está fijado como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nnunetv2==2.7.0</w:t>
      </w:r>
      <w:r>
        <w:rPr>
          <w:lang w:val="es-ES"/>
        </w:rPr>
        <w:t xml:space="preserve">. Los resúmenes de las ejecuciones finales no guardaron una instantánea de paquetes</w:t>
      </w:r>
      <w:r>
        <w:rPr>
          <w:lang w:val="es-ES"/>
        </w:rPr>
        <w:t xml:space="preserve"> </w:t>
      </w:r>
      <w:r>
        <w:rPr>
          <w:lang w:val="es-ES"/>
        </w:rPr>
        <w:t xml:space="preserve">y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requirements/protocol.txt</w:t>
      </w:r>
      <w:r>
        <w:rPr>
          <w:lang w:val="es-ES"/>
        </w:rPr>
        <w:t xml:space="preserve"> </w:t>
      </w:r>
      <w:r>
        <w:rPr>
          <w:lang w:val="es-ES"/>
        </w:rPr>
        <w:t xml:space="preserve">no fija versiones, por lo que las tres primeras cifras documentan el</w:t>
      </w:r>
      <w:r>
        <w:rPr>
          <w:lang w:val="es-ES"/>
        </w:rPr>
        <w:t xml:space="preserve"> </w:t>
      </w:r>
      <w:r>
        <w:rPr>
          <w:lang w:val="es-ES"/>
        </w:rPr>
        <w:t xml:space="preserve">entorno reconstruido, no demuestran la versión efectiva de cada ejecución local o A100. Esta</w:t>
      </w:r>
      <w:r>
        <w:rPr>
          <w:lang w:val="es-ES"/>
        </w:rPr>
        <w:t xml:space="preserve"> </w:t>
      </w:r>
      <w:r>
        <w:rPr>
          <w:lang w:val="es-ES"/>
        </w:rPr>
        <w:t xml:space="preserve">carencia impide una reconstrucción binaria exacta y debe conservarse como límite de</w:t>
      </w:r>
      <w:r>
        <w:rPr>
          <w:lang w:val="es-ES"/>
        </w:rPr>
        <w:t xml:space="preserve"> </w:t>
      </w:r>
      <w:r>
        <w:rPr>
          <w:lang w:val="es-ES"/>
        </w:rPr>
        <w:t xml:space="preserve">reproducibilidad.</w:t>
      </w:r>
    </w:p>
    <w:p>
      <w:pPr>
        <w:rPr>
          <w:lang w:val="es-ES"/>
        </w:rPr>
      </w:pPr>
      <w:r>
        <w:rPr>
          <w:lang w:val="es-ES"/>
        </w:rPr>
        <w:t xml:space="preserve">Una instalación local básica se prepara mediante:</w:t>
      </w:r>
    </w:p>
    <w:p>
      <w:pPr>
        <w:pStyle w:val="TFMCode"/>
        <w:keepLines w:val="0"/>
        <w:widowControl w:val="0"/>
        <w:pBdr>
          <w:left w:val="single" w:sz="12" w:space="8" w:color="ED7D31"/>
        </w:pBdr>
        <w:shd w:val="clear" w:fill="F2F2F2"/>
        <w:rPr>
          <w:lang w:val="es-ES"/>
        </w:rPr>
      </w:pPr>
      <w:r>
        <w:rPr>
          <w:rStyle w:val="ExtensionTok"/>
          <w:rFonts w:ascii="Consolas" w:hAnsi="Consolas" w:cs="Consolas" w:eastAsia="Consolas"/>
          <w:color w:val="1F1F1F"/>
          <w:sz w:val="15"/>
          <w:noProof/>
          <w:lang w:val="es-ES"/>
        </w:rPr>
        <w:t xml:space="preserve">python3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-m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venv .venv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ExtensionTok"/>
          <w:rFonts w:ascii="Consolas" w:hAnsi="Consolas" w:cs="Consolas" w:eastAsia="Consolas"/>
          <w:color w:val="1F1F1F"/>
          <w:sz w:val="15"/>
          <w:noProof/>
          <w:lang w:val="es-ES"/>
        </w:rPr>
        <w:t xml:space="preserve">.venv/bin/python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-m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pip install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--upgrade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pip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ExtensionTok"/>
          <w:rFonts w:ascii="Consolas" w:hAnsi="Consolas" w:cs="Consolas" w:eastAsia="Consolas"/>
          <w:color w:val="1F1F1F"/>
          <w:sz w:val="15"/>
          <w:noProof/>
          <w:lang w:val="es-ES"/>
        </w:rPr>
        <w:t xml:space="preserve">.venv/bin/python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-m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pip install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-r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requirements/protocol.txt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ExtensionTok"/>
          <w:rFonts w:ascii="Consolas" w:hAnsi="Consolas" w:cs="Consolas" w:eastAsia="Consolas"/>
          <w:color w:val="1F1F1F"/>
          <w:sz w:val="15"/>
          <w:noProof/>
          <w:lang w:val="es-ES"/>
        </w:rPr>
        <w:t xml:space="preserve">.venv/bin/python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-m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pip install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-r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requirements/nnunet.txt</w:t>
      </w:r>
    </w:p>
    <w:p>
      <w:pPr>
        <w:rPr>
          <w:lang w:val="es-ES"/>
        </w:rPr>
      </w:pPr>
      <w:r>
        <w:rPr>
          <w:lang w:val="es-ES"/>
        </w:rPr>
        <w:t xml:space="preserve">Las rutas de los datos se configuran en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configs/dataset/brats_gli_2024.yaml</w:t>
      </w:r>
      <w:r>
        <w:rPr>
          <w:lang w:val="es-ES"/>
        </w:rPr>
        <w:t xml:space="preserve"> </w:t>
      </w:r>
      <w:r>
        <w:rPr>
          <w:lang w:val="es-ES"/>
        </w:rPr>
        <w:t xml:space="preserve">y deben adaptarse al</w:t>
      </w:r>
      <w:r>
        <w:rPr>
          <w:lang w:val="es-ES"/>
        </w:rPr>
        <w:t xml:space="preserve"> </w:t>
      </w:r>
      <w:r>
        <w:rPr>
          <w:lang w:val="es-ES"/>
        </w:rPr>
        <w:t xml:space="preserve">sistema donde se ejecute el proyecto. Las configuraciones de entrenamiento distinguen los entornos</w:t>
      </w:r>
      <w:r>
        <w:rPr>
          <w:lang w:val="es-ES"/>
        </w:rPr>
        <w:t xml:space="preserve"> </w:t>
      </w:r>
      <w:r>
        <w:rPr>
          <w:lang w:val="es-ES"/>
        </w:rPr>
        <w:t xml:space="preserve">MPS y CUDA; no debe asumirse que los tiempos obtenidos en ambos son directamente comparables.</w:t>
      </w:r>
    </w:p>
    <w:bookmarkEnd w:id="68"/>
    <w:bookmarkStart w:id="70" w:name="a.3.-control-de-calidad-y-particiones"/>
    <w:p>
      <w:pPr>
        <w:pStyle w:val="Ttulo2"/>
      </w:pPr>
      <w:r>
        <w:t xml:space="preserve">A.3. Control de calidad y particiones</w:t>
      </w:r>
    </w:p>
    <w:p>
      <w:pPr>
        <w:rPr>
          <w:lang w:val="es-ES"/>
        </w:rPr>
      </w:pPr>
      <w:r>
        <w:rPr>
          <w:lang w:val="es-ES"/>
        </w:rPr>
        <w:t xml:space="preserve">Desde la raíz del repositorio, el inventario y control de calidad se ejecutan con:</w:t>
      </w:r>
    </w:p>
    <w:p>
      <w:pPr>
        <w:pStyle w:val="TFMCode"/>
        <w:keepLines w:val="0"/>
        <w:widowControl w:val="0"/>
        <w:pBdr>
          <w:left w:val="single" w:sz="12" w:space="8" w:color="ED7D31"/>
        </w:pBdr>
        <w:shd w:val="clear" w:fill="F2F2F2"/>
        <w:rPr>
          <w:lang w:val="es-ES"/>
        </w:rPr>
      </w:pPr>
      <w:r>
        <w:rPr>
          <w:rStyle w:val="ExtensionTok"/>
          <w:rFonts w:ascii="Consolas" w:hAnsi="Consolas" w:cs="Consolas" w:eastAsia="Consolas"/>
          <w:color w:val="1F1F1F"/>
          <w:sz w:val="15"/>
          <w:noProof/>
          <w:lang w:val="es-ES"/>
        </w:rPr>
        <w:t xml:space="preserve">.venv/bin/python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-m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tfm_brats.cli qc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--dataset-config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configs/dataset/brats_gli_2024.yaml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--output-csv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outputs/qc/brats_gli_2024_qc.csv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--output-json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outputs/qc/brats_gli_2024_qc_summary.json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--fail-on-problems</w:t>
      </w:r>
    </w:p>
    <w:p>
      <w:pPr>
        <w:rPr>
          <w:lang w:val="es-ES"/>
        </w:rPr>
      </w:pPr>
      <w:r>
        <w:rPr>
          <w:lang w:val="es-ES"/>
        </w:rPr>
        <w:t xml:space="preserve">Las particiones versionadas se regeneran mediante:</w:t>
      </w:r>
    </w:p>
    <w:p>
      <w:pPr>
        <w:pStyle w:val="TFMCode"/>
        <w:keepLines w:val="0"/>
        <w:widowControl w:val="0"/>
        <w:pBdr>
          <w:left w:val="single" w:sz="12" w:space="8" w:color="ED7D31"/>
        </w:pBdr>
        <w:shd w:val="clear" w:fill="F2F2F2"/>
        <w:rPr>
          <w:lang w:val="es-ES"/>
        </w:rPr>
      </w:pPr>
      <w:r>
        <w:rPr>
          <w:rStyle w:val="ExtensionTok"/>
          <w:rFonts w:ascii="Consolas" w:hAnsi="Consolas" w:cs="Consolas" w:eastAsia="Consolas"/>
          <w:color w:val="1F1F1F"/>
          <w:sz w:val="15"/>
          <w:noProof/>
          <w:lang w:val="es-ES"/>
        </w:rPr>
        <w:t xml:space="preserve">.venv/bin/python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-m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tfm_brats.cli splits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--qc-csv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outputs/qc/brats_gli_2024_qc.csv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--output-dir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outputs/splits/brats_gli_2024_seed20260526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--seed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20260526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--ratios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70/15/15</w:t>
      </w:r>
    </w:p>
    <w:p>
      <w:pPr>
        <w:rPr>
          <w:lang w:val="es-ES"/>
        </w:rPr>
      </w:pPr>
      <w:r>
        <w:rPr>
          <w:lang w:val="es-ES"/>
        </w:rPr>
        <w:t xml:space="preserve">La separación se realizó a nivel de estudio. Debido al carácter longitudinal de BraTS-GLI 2024,</w:t>
      </w:r>
      <w:r>
        <w:rPr>
          <w:lang w:val="es-ES"/>
        </w:rPr>
        <w:t xml:space="preserve"> </w:t>
      </w:r>
      <w:r>
        <w:rPr>
          <w:lang w:val="es-ES"/>
        </w:rPr>
        <w:t xml:space="preserve">no constituye una separación independiente por sujeto.</w:t>
      </w:r>
    </w:p>
    <w:bookmarkEnd w:id="69"/>
    <w:bookmarkStart w:id="71" w:name="Xf02684c5c8639b8cbe778e24ae87b212da573f4"/>
    <w:p>
      <w:pPr>
        <w:pStyle w:val="Ttulo2"/>
      </w:pPr>
      <w:r>
        <w:t xml:space="preserve">A.4. Entrenamiento, inferencia y evaluación MONAI</w:t>
      </w:r>
    </w:p>
    <w:p>
      <w:pPr>
        <w:rPr>
          <w:lang w:val="es-ES"/>
        </w:rPr>
      </w:pPr>
      <w:r>
        <w:rPr>
          <w:lang w:val="es-ES"/>
        </w:rPr>
        <w:t xml:space="preserve">El siguiente comando reproduce la estructura de una ejecución final de la Residual U-Net con</w:t>
      </w:r>
      <w:r>
        <w:rPr>
          <w:lang w:val="es-ES"/>
        </w:rPr>
        <w:t xml:space="preserve"> </w:t>
      </w:r>
      <w:r>
        <w:rPr>
          <w:lang w:val="es-ES"/>
        </w:rPr>
        <w:t xml:space="preserve">concatenación. Para las demás variantes se sustituyen la configuración del modelo, el directorio de</w:t>
      </w:r>
      <w:r>
        <w:rPr>
          <w:lang w:val="es-ES"/>
        </w:rPr>
        <w:t xml:space="preserve"> </w:t>
      </w:r>
      <w:r>
        <w:rPr>
          <w:lang w:val="es-ES"/>
        </w:rPr>
        <w:t xml:space="preserve">salida y la semilla.</w:t>
      </w:r>
    </w:p>
    <w:p>
      <w:pPr>
        <w:pStyle w:val="TFMCode"/>
        <w:keepLines w:val="0"/>
        <w:widowControl w:val="0"/>
        <w:pBdr>
          <w:left w:val="single" w:sz="12" w:space="8" w:color="ED7D31"/>
        </w:pBdr>
        <w:shd w:val="clear" w:fill="F2F2F2"/>
        <w:rPr>
          <w:lang w:val="es-ES"/>
        </w:rPr>
      </w:pPr>
      <w:r>
        <w:rPr>
          <w:rStyle w:val="ExtensionTok"/>
          <w:rFonts w:ascii="Consolas" w:hAnsi="Consolas" w:cs="Consolas" w:eastAsia="Consolas"/>
          <w:color w:val="1F1F1F"/>
          <w:sz w:val="15"/>
          <w:noProof/>
          <w:lang w:val="es-ES"/>
        </w:rPr>
        <w:t xml:space="preserve">.venv/bin/python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-m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tfm_brats.cli train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--dataset-config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configs/dataset/brats_gli_2024.yaml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--model-config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configs/model/residual_unet_3d.yaml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--training-config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configs/training/mac_m4_pro_128_final.yaml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--split-dir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outputs/splits/brats_gli_2024_seed20260526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--output-dir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outputs/train/final_concat_seed20260526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--max-steps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15000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--seed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20260526</w:t>
      </w:r>
    </w:p>
    <w:p>
      <w:pPr>
        <w:rPr>
          <w:lang w:val="es-ES"/>
        </w:rPr>
      </w:pPr>
      <w:r>
        <w:rPr>
          <w:lang w:val="es-ES"/>
        </w:rPr>
        <w:t xml:space="preserve">Las configuraciones principales de la ablación son:</w:t>
      </w:r>
    </w:p>
    <w:p>
      <w:pPr>
        <w:numPr>
          <w:ilvl w:val="0"/>
          <w:numId w:val="20"/>
        </w:numPr>
        <w:rPr>
          <w:lang w:val="es-ES"/>
        </w:rPr>
      </w:pPr>
      <w:r>
        <w:rPr>
          <w:rStyle w:val="VerbatimChar"/>
          <w:lang w:val="es-ES"/>
        </w:rPr>
        <w:t xml:space="preserve">configs/model/residual_unet_3d.yaml</w:t>
      </w:r>
      <w:r>
        <w:rPr>
          <w:lang w:val="es-ES"/>
        </w:rPr>
        <w:t xml:space="preserve">;</w:t>
      </w:r>
    </w:p>
    <w:p>
      <w:pPr>
        <w:numPr>
          <w:ilvl w:val="0"/>
          <w:numId w:val="20"/>
        </w:numPr>
        <w:rPr>
          <w:lang w:val="es-ES"/>
        </w:rPr>
      </w:pPr>
      <w:r>
        <w:rPr>
          <w:rStyle w:val="VerbatimChar"/>
          <w:lang w:val="es-ES"/>
        </w:rPr>
        <w:t xml:space="preserve">configs/model/residual_unet_3d_global_weighted.yaml</w:t>
      </w:r>
      <w:r>
        <w:rPr>
          <w:lang w:val="es-ES"/>
        </w:rPr>
        <w:t xml:space="preserve">;</w:t>
      </w:r>
    </w:p>
    <w:p>
      <w:pPr>
        <w:numPr>
          <w:ilvl w:val="0"/>
          <w:numId w:val="20"/>
        </w:numPr>
        <w:rPr>
          <w:lang w:val="es-ES"/>
        </w:rPr>
      </w:pPr>
      <w:r>
        <w:rPr>
          <w:rStyle w:val="VerbatimChar"/>
          <w:lang w:val="es-ES"/>
        </w:rPr>
        <w:t xml:space="preserve">configs/model/residual_unet_3d_adaptive_gating.yaml</w:t>
      </w:r>
      <w:r>
        <w:rPr>
          <w:lang w:val="es-ES"/>
        </w:rPr>
        <w:t xml:space="preserve">;</w:t>
      </w:r>
    </w:p>
    <w:p>
      <w:pPr>
        <w:numPr>
          <w:ilvl w:val="0"/>
          <w:numId w:val="20"/>
        </w:numPr>
        <w:rPr>
          <w:lang w:val="es-ES"/>
        </w:rPr>
      </w:pPr>
      <w:r>
        <w:rPr>
          <w:rStyle w:val="VerbatimChar"/>
          <w:lang w:val="es-ES"/>
        </w:rPr>
        <w:t xml:space="preserve">configs/model/residual_unet_3d_adaptive_gating_meanstd.yaml</w:t>
      </w:r>
      <w:r>
        <w:rPr>
          <w:lang w:val="es-ES"/>
        </w:rPr>
        <w:t xml:space="preserve">.</w:t>
      </w:r>
    </w:p>
    <w:p>
      <w:pPr>
        <w:rPr>
          <w:lang w:val="es-ES"/>
        </w:rPr>
      </w:pPr>
      <w:r>
        <w:rPr>
          <w:lang w:val="es-ES"/>
        </w:rPr>
        <w:t xml:space="preserve">Attention U-Net y Swin-UNETR emplean, respectivamente,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configs/model/attention_unet_3d.yaml</w:t>
      </w:r>
      <w:r>
        <w:rPr>
          <w:lang w:val="es-ES"/>
        </w:rPr>
        <w:t xml:space="preserve"> </w:t>
      </w:r>
      <w:r>
        <w:rPr>
          <w:lang w:val="es-ES"/>
        </w:rPr>
        <w:t xml:space="preserve">y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configs/model/swin_unetr.yaml</w:t>
      </w:r>
      <w:r>
        <w:rPr>
          <w:lang w:val="es-ES"/>
        </w:rPr>
        <w:t xml:space="preserve">, junto con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configs/training/colab_a100_final.yaml</w:t>
      </w:r>
      <w:r>
        <w:rPr>
          <w:lang w:val="es-ES"/>
        </w:rPr>
        <w:t xml:space="preserve"> </w:t>
      </w:r>
      <w:r>
        <w:rPr>
          <w:lang w:val="es-ES"/>
        </w:rPr>
        <w:t xml:space="preserve">en las ejecuciones A100.</w:t>
      </w:r>
    </w:p>
    <w:p>
      <w:pPr>
        <w:rPr>
          <w:lang w:val="es-ES"/>
        </w:rPr>
      </w:pPr>
      <w:r>
        <w:rPr>
          <w:lang w:val="es-ES"/>
        </w:rPr>
        <w:t xml:space="preserve">La inferencia y la evaluación de una ejecución se realizan con:</w:t>
      </w:r>
    </w:p>
    <w:p>
      <w:pPr>
        <w:pStyle w:val="TFMCode"/>
        <w:keepLines w:val="0"/>
        <w:widowControl w:val="0"/>
        <w:pBdr>
          <w:left w:val="single" w:sz="12" w:space="8" w:color="ED7D31"/>
        </w:pBdr>
        <w:shd w:val="clear" w:fill="F2F2F2"/>
        <w:rPr>
          <w:lang w:val="es-ES"/>
        </w:rPr>
      </w:pPr>
      <w:r>
        <w:rPr>
          <w:rStyle w:val="ExtensionTok"/>
          <w:rFonts w:ascii="Consolas" w:hAnsi="Consolas" w:cs="Consolas" w:eastAsia="Consolas"/>
          <w:color w:val="1F1F1F"/>
          <w:sz w:val="15"/>
          <w:noProof/>
          <w:lang w:val="es-ES"/>
        </w:rPr>
        <w:t xml:space="preserve">.venv/bin/python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-m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tfm_brats.cli predict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--dataset-config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configs/dataset/brats_gli_2024.yaml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--model-config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configs/model/residual_unet_3d.yaml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--training-config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configs/training/mac_m4_pro_128_final.yaml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--split-csv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outputs/splits/brats_gli_2024_seed20260526/test.csv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--checkpoint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outputs/train/final_concat_seed20260526/checkpoints/best.pt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--output-dir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outputs/predictions/final_concat_seed20260526_test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ExtensionTok"/>
          <w:rFonts w:ascii="Consolas" w:hAnsi="Consolas" w:cs="Consolas" w:eastAsia="Consolas"/>
          <w:color w:val="1F1F1F"/>
          <w:sz w:val="15"/>
          <w:noProof/>
          <w:lang w:val="es-ES"/>
        </w:rPr>
        <w:t xml:space="preserve">.venv/bin/python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-m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tfm_brats.cli evaluate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--dataset-config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configs/dataset/brats_gli_2024.yaml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--split-csv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outputs/splits/brats_gli_2024_seed20260526/test.csv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--predictions-dir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outputs/predictions/final_concat_seed20260526_test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--output-csv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outputs/evaluation/final_concat_seed20260526_test_metrics.csv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--output-json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outputs/evaluation/final_concat_seed20260526_test_metrics_summary.json</w:t>
      </w:r>
    </w:p>
    <w:bookmarkEnd w:id="70"/>
    <w:bookmarkStart w:id="72" w:name="a.5.-ruta-externa-nnu-net"/>
    <w:p>
      <w:pPr>
        <w:pStyle w:val="Ttulo2"/>
      </w:pPr>
      <w:r>
        <w:t xml:space="preserve">A.5. Ruta externa nnU-Net</w:t>
      </w:r>
    </w:p>
    <w:p>
      <w:pPr>
        <w:rPr>
          <w:lang w:val="es-ES"/>
        </w:rPr>
      </w:pPr>
      <w:r>
        <w:rPr>
          <w:lang w:val="es-ES"/>
        </w:rPr>
        <w:t xml:space="preserve">nnU-Net se ejecuta como un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pipeline</w:t>
      </w:r>
      <w:r>
        <w:rPr>
          <w:lang w:val="es-ES"/>
        </w:rPr>
        <w:t xml:space="preserve"> </w:t>
      </w:r>
      <w:r>
        <w:rPr>
          <w:lang w:val="es-ES"/>
        </w:rPr>
        <w:t xml:space="preserve">externo, con planificación, preprocesamiento, aumentos y</w:t>
      </w:r>
      <w:r>
        <w:rPr>
          <w:lang w:val="es-ES"/>
        </w:rPr>
        <w:t xml:space="preserve"> </w:t>
      </w:r>
      <w:r>
        <w:rPr>
          <w:lang w:val="es-ES"/>
        </w:rPr>
        <w:t xml:space="preserve">entrenamiento propios. Para reproducir la ejecución final deben definirse primero sus tres directorios</w:t>
      </w:r>
      <w:r>
        <w:rPr>
          <w:lang w:val="es-ES"/>
        </w:rPr>
        <w:t xml:space="preserve"> </w:t>
      </w:r>
      <w:r>
        <w:rPr>
          <w:lang w:val="es-ES"/>
        </w:rPr>
        <w:t xml:space="preserve">de trabajo en disco local:</w:t>
      </w:r>
    </w:p>
    <w:p>
      <w:pPr>
        <w:pStyle w:val="TFMCode"/>
        <w:keepLines w:val="0"/>
        <w:widowControl w:val="0"/>
        <w:pBdr>
          <w:left w:val="single" w:sz="12" w:space="8" w:color="ED7D31"/>
        </w:pBdr>
        <w:shd w:val="clear" w:fill="F2F2F2"/>
        <w:rPr>
          <w:lang w:val="es-ES"/>
        </w:rPr>
      </w:pPr>
      <w:r>
        <w:rPr>
          <w:rStyle w:val="BuiltInTok"/>
          <w:rFonts w:ascii="Consolas" w:hAnsi="Consolas" w:cs="Consolas" w:eastAsia="Consolas"/>
          <w:color w:val="1F1F1F"/>
          <w:sz w:val="15"/>
          <w:noProof/>
          <w:lang w:val="es-ES"/>
        </w:rPr>
        <w:t xml:space="preserve">export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</w:t>
      </w:r>
      <w:r>
        <w:rPr>
          <w:rStyle w:val="VariableTok"/>
          <w:rFonts w:ascii="Consolas" w:hAnsi="Consolas" w:cs="Consolas" w:eastAsia="Consolas"/>
          <w:color w:val="1F1F1F"/>
          <w:sz w:val="15"/>
          <w:noProof/>
          <w:lang w:val="es-ES"/>
        </w:rPr>
        <w:t xml:space="preserve">nnUNet_raw</w:t>
      </w:r>
      <w:r>
        <w:rPr>
          <w:rStyle w:val="OperatorTok"/>
          <w:rFonts w:ascii="Consolas" w:hAnsi="Consolas" w:cs="Consolas" w:eastAsia="Consolas"/>
          <w:color w:val="1F1F1F"/>
          <w:sz w:val="15"/>
          <w:noProof/>
          <w:lang w:val="es-ES"/>
        </w:rPr>
        <w:t xml:space="preserve">=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/content/nnUNet_raw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BuiltInTok"/>
          <w:rFonts w:ascii="Consolas" w:hAnsi="Consolas" w:cs="Consolas" w:eastAsia="Consolas"/>
          <w:color w:val="1F1F1F"/>
          <w:sz w:val="15"/>
          <w:noProof/>
          <w:lang w:val="es-ES"/>
        </w:rPr>
        <w:t xml:space="preserve">export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</w:t>
      </w:r>
      <w:r>
        <w:rPr>
          <w:rStyle w:val="VariableTok"/>
          <w:rFonts w:ascii="Consolas" w:hAnsi="Consolas" w:cs="Consolas" w:eastAsia="Consolas"/>
          <w:color w:val="1F1F1F"/>
          <w:sz w:val="15"/>
          <w:noProof/>
          <w:lang w:val="es-ES"/>
        </w:rPr>
        <w:t xml:space="preserve">nnUNet_preprocessed</w:t>
      </w:r>
      <w:r>
        <w:rPr>
          <w:rStyle w:val="OperatorTok"/>
          <w:rFonts w:ascii="Consolas" w:hAnsi="Consolas" w:cs="Consolas" w:eastAsia="Consolas"/>
          <w:color w:val="1F1F1F"/>
          <w:sz w:val="15"/>
          <w:noProof/>
          <w:lang w:val="es-ES"/>
        </w:rPr>
        <w:t xml:space="preserve">=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/content/nnUNet_preprocessed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BuiltInTok"/>
          <w:rFonts w:ascii="Consolas" w:hAnsi="Consolas" w:cs="Consolas" w:eastAsia="Consolas"/>
          <w:color w:val="1F1F1F"/>
          <w:sz w:val="15"/>
          <w:noProof/>
          <w:lang w:val="es-ES"/>
        </w:rPr>
        <w:t xml:space="preserve">export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</w:t>
      </w:r>
      <w:r>
        <w:rPr>
          <w:rStyle w:val="VariableTok"/>
          <w:rFonts w:ascii="Consolas" w:hAnsi="Consolas" w:cs="Consolas" w:eastAsia="Consolas"/>
          <w:color w:val="1F1F1F"/>
          <w:sz w:val="15"/>
          <w:noProof/>
          <w:lang w:val="es-ES"/>
        </w:rPr>
        <w:t xml:space="preserve">nnUNet_results</w:t>
      </w:r>
      <w:r>
        <w:rPr>
          <w:rStyle w:val="OperatorTok"/>
          <w:rFonts w:ascii="Consolas" w:hAnsi="Consolas" w:cs="Consolas" w:eastAsia="Consolas"/>
          <w:color w:val="1F1F1F"/>
          <w:sz w:val="15"/>
          <w:noProof/>
          <w:lang w:val="es-ES"/>
        </w:rPr>
        <w:t xml:space="preserve">=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/content/nnUNet_results</w:t>
      </w:r>
    </w:p>
    <w:p>
      <w:pPr>
        <w:rPr>
          <w:lang w:val="es-ES"/>
        </w:rPr>
      </w:pPr>
      <w:r>
        <w:rPr>
          <w:lang w:val="es-ES"/>
        </w:rPr>
        <w:t xml:space="preserve">La conversión parte de las particiones versionadas. En la reproducción final,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imagesTr</w:t>
      </w:r>
      <w:r>
        <w:rPr>
          <w:lang w:val="es-ES"/>
        </w:rPr>
        <w:t xml:space="preserve"> </w:t>
      </w:r>
      <w:r>
        <w:rPr>
          <w:lang w:val="es-ES"/>
        </w:rPr>
        <w:t xml:space="preserve">y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labelsTr</w:t>
      </w:r>
      <w:r>
        <w:rPr>
          <w:lang w:val="es-ES"/>
        </w:rPr>
        <w:t xml:space="preserve"> </w:t>
      </w:r>
      <w:r>
        <w:rPr>
          <w:lang w:val="es-ES"/>
        </w:rPr>
        <w:t xml:space="preserve">proceden de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train.csv</w:t>
      </w:r>
      <w:r>
        <w:rPr>
          <w:lang w:val="es-ES"/>
        </w:rPr>
        <w:t xml:space="preserve">, mientras que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imagesTs</w:t>
      </w:r>
      <w:r>
        <w:rPr>
          <w:lang w:val="es-ES"/>
        </w:rPr>
        <w:t xml:space="preserve"> </w:t>
      </w:r>
      <w:r>
        <w:rPr>
          <w:lang w:val="es-ES"/>
        </w:rPr>
        <w:t xml:space="preserve">se genera directamente a partir de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test.csv</w:t>
      </w:r>
      <w:r>
        <w:rPr>
          <w:lang w:val="es-ES"/>
        </w:rPr>
        <w:t xml:space="preserve">:</w:t>
      </w:r>
    </w:p>
    <w:p>
      <w:pPr>
        <w:pStyle w:val="TFMCode"/>
        <w:keepLines w:val="0"/>
        <w:widowControl w:val="0"/>
        <w:pBdr>
          <w:left w:val="single" w:sz="12" w:space="8" w:color="ED7D31"/>
        </w:pBdr>
        <w:shd w:val="clear" w:fill="F2F2F2"/>
        <w:rPr>
          <w:lang w:val="es-ES"/>
        </w:rPr>
      </w:pPr>
      <w:r>
        <w:rPr>
          <w:rStyle w:val="ExtensionTok"/>
          <w:rFonts w:ascii="Consolas" w:hAnsi="Consolas" w:cs="Consolas" w:eastAsia="Consolas"/>
          <w:color w:val="1F1F1F"/>
          <w:sz w:val="15"/>
          <w:noProof/>
          <w:lang w:val="es-ES"/>
        </w:rPr>
        <w:t xml:space="preserve">.venv/bin/python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scripts/nnunet/prepare_brats_gli_nnunet_full.py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--dataset-config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configs/dataset/brats_gli_2024.yaml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--split-dir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outputs/splits/brats_gli_2024_seed20260526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--train-split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train.csv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--test-split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test.csv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--nnunet-raw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</w:t>
      </w:r>
      <w:r>
        <w:rPr>
          <w:rStyle w:val="StringTok"/>
          <w:rFonts w:ascii="Consolas" w:hAnsi="Consolas" w:cs="Consolas" w:eastAsia="Consolas"/>
          <w:color w:val="1F1F1F"/>
          <w:sz w:val="15"/>
          <w:noProof/>
          <w:lang w:val="es-ES"/>
        </w:rPr>
        <w:t xml:space="preserve">"</w:t>
      </w:r>
      <w:r>
        <w:rPr>
          <w:rStyle w:val="VariableTok"/>
          <w:rFonts w:ascii="Consolas" w:hAnsi="Consolas" w:cs="Consolas" w:eastAsia="Consolas"/>
          <w:color w:val="1F1F1F"/>
          <w:sz w:val="15"/>
          <w:noProof/>
          <w:lang w:val="es-ES"/>
        </w:rPr>
        <w:t xml:space="preserve">$nnUNet_raw</w:t>
      </w:r>
      <w:r>
        <w:rPr>
          <w:rStyle w:val="StringTok"/>
          <w:rFonts w:ascii="Consolas" w:hAnsi="Consolas" w:cs="Consolas" w:eastAsia="Consolas"/>
          <w:color w:val="1F1F1F"/>
          <w:sz w:val="15"/>
          <w:noProof/>
          <w:lang w:val="es-ES"/>
        </w:rPr>
        <w:t xml:space="preserve">"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--dataset-id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725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--dataset-name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BraTSGLI2024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ExtensionTok"/>
          <w:rFonts w:ascii="Consolas" w:hAnsi="Consolas" w:cs="Consolas" w:eastAsia="Consolas"/>
          <w:color w:val="1F1F1F"/>
          <w:sz w:val="15"/>
          <w:noProof/>
          <w:lang w:val="es-ES"/>
        </w:rPr>
        <w:t xml:space="preserve">.venv/bin/nnUNetv2_plan_and_preprocess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-d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725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--verify_dataset_integrity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ExtensionTok"/>
          <w:rFonts w:ascii="Consolas" w:hAnsi="Consolas" w:cs="Consolas" w:eastAsia="Consolas"/>
          <w:color w:val="1F1F1F"/>
          <w:sz w:val="15"/>
          <w:noProof/>
          <w:lang w:val="es-ES"/>
        </w:rPr>
        <w:t xml:space="preserve">.venv/bin/nnUNetv2_train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725 3d_fullres 0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-tr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nnUNetTrainer_250epochs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ExtensionTok"/>
          <w:rFonts w:ascii="Consolas" w:hAnsi="Consolas" w:cs="Consolas" w:eastAsia="Consolas"/>
          <w:color w:val="1F1F1F"/>
          <w:sz w:val="15"/>
          <w:noProof/>
          <w:lang w:val="es-ES"/>
        </w:rPr>
        <w:t xml:space="preserve">.venv/bin/nnUNetv2_predict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-i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</w:t>
      </w:r>
      <w:r>
        <w:rPr>
          <w:rStyle w:val="StringTok"/>
          <w:rFonts w:ascii="Consolas" w:hAnsi="Consolas" w:cs="Consolas" w:eastAsia="Consolas"/>
          <w:color w:val="1F1F1F"/>
          <w:sz w:val="15"/>
          <w:noProof/>
          <w:lang w:val="es-ES"/>
        </w:rPr>
        <w:t xml:space="preserve">"</w:t>
      </w:r>
      <w:r>
        <w:rPr>
          <w:rStyle w:val="VariableTok"/>
          <w:rFonts w:ascii="Consolas" w:hAnsi="Consolas" w:cs="Consolas" w:eastAsia="Consolas"/>
          <w:color w:val="1F1F1F"/>
          <w:sz w:val="15"/>
          <w:noProof/>
          <w:lang w:val="es-ES"/>
        </w:rPr>
        <w:t xml:space="preserve">$nnUNet_raw</w:t>
      </w:r>
      <w:r>
        <w:rPr>
          <w:rStyle w:val="StringTok"/>
          <w:rFonts w:ascii="Consolas" w:hAnsi="Consolas" w:cs="Consolas" w:eastAsia="Consolas"/>
          <w:color w:val="1F1F1F"/>
          <w:sz w:val="15"/>
          <w:noProof/>
          <w:lang w:val="es-ES"/>
        </w:rPr>
        <w:t xml:space="preserve">/Dataset725_BraTSGLI2024/imagesTs"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-o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/content/nnunet_pred_test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-d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725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-c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3d_fullres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-f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0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-tr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nnUNetTrainer_250epochs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-chk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checkpoint_best.pth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ExtensionTok"/>
          <w:rFonts w:ascii="Consolas" w:hAnsi="Consolas" w:cs="Consolas" w:eastAsia="Consolas"/>
          <w:color w:val="1F1F1F"/>
          <w:sz w:val="15"/>
          <w:noProof/>
          <w:lang w:val="es-ES"/>
        </w:rPr>
        <w:t xml:space="preserve">.venv/bin/python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-m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tfm_brats.cli evaluate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--dataset-config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configs/dataset/brats_gli_2024.yaml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--split-csv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outputs/splits/brats_gli_2024_seed20260526/test.csv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--predictions-dir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/content/nnunet_pred_test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--output-csv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outputs/evaluation/nnunet_3dfullres_test_metrics.csv </w:t>
      </w:r>
      <w:r>
        <w:rPr>
          <w:rStyle w:val="DataTypeTok"/>
          <w:rFonts w:ascii="Consolas" w:hAnsi="Consolas" w:cs="Consolas" w:eastAsia="Consolas"/>
          <w:color w:val="1F1F1F"/>
          <w:sz w:val="15"/>
          <w:noProof/>
          <w:lang w:val="es-ES"/>
        </w:rPr>
        <w:t xml:space="preserve">\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--output-json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outputs/evaluation/nnunet_3dfullres_test_metrics_summary.json</w:t>
      </w:r>
    </w:p>
    <w:p>
      <w:pPr>
        <w:rPr>
          <w:lang w:val="es-ES"/>
        </w:rPr>
      </w:pPr>
      <w:r>
        <w:rPr>
          <w:lang w:val="es-ES"/>
        </w:rPr>
        <w:t xml:space="preserve">La guía operativa completa, incluida la comprobación preliminar sobre validación, se conserva en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docs/nnunet-baseline.md</w:t>
      </w:r>
      <w:r>
        <w:rPr>
          <w:lang w:val="es-ES"/>
        </w:rPr>
        <w:t xml:space="preserve">. La referencia reportada en la memoria corresponde únicamente al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fold</w:t>
      </w:r>
      <w:r>
        <w:rPr>
          <w:lang w:val="es-ES"/>
        </w:rPr>
        <w:t xml:space="preserve"> </w:t>
      </w:r>
      <w:r>
        <w:rPr>
          <w:lang w:val="es-ES"/>
        </w:rPr>
        <w:t xml:space="preserve">0</w:t>
      </w:r>
      <w:r>
        <w:rPr>
          <w:lang w:val="es-ES"/>
        </w:rPr>
        <w:t xml:space="preserve"> </w:t>
      </w:r>
      <w:r>
        <w:rPr>
          <w:lang w:val="es-ES"/>
        </w:rPr>
        <w:t xml:space="preserve">y no proporciona variabilidad entre repeticiones. Los comandos anteriores llegan hasta la evaluación</w:t>
      </w:r>
      <w:r>
        <w:rPr>
          <w:lang w:val="es-ES"/>
        </w:rPr>
        <w:t xml:space="preserve"> </w:t>
      </w:r>
      <w:r>
        <w:rPr>
          <w:lang w:val="es-ES"/>
        </w:rPr>
        <w:t xml:space="preserve">común sobre los 243 estudios de test de la que procede el Dice medio 0,829.</w:t>
      </w:r>
    </w:p>
    <w:bookmarkEnd w:id="71"/>
    <w:bookmarkStart w:id="73" w:name="a.6.-verificación-y-figuras"/>
    <w:p>
      <w:pPr>
        <w:pStyle w:val="Ttulo2"/>
      </w:pPr>
      <w:r>
        <w:t xml:space="preserve">A.6. Verificación y figuras</w:t>
      </w:r>
    </w:p>
    <w:p>
      <w:pPr>
        <w:rPr>
          <w:lang w:val="es-ES"/>
        </w:rPr>
      </w:pPr>
      <w:r>
        <w:rPr>
          <w:lang w:val="es-ES"/>
        </w:rPr>
        <w:t xml:space="preserve">Durante esta revisión se comprobó que las rutas relativas citadas en este apéndice existen en el</w:t>
      </w:r>
      <w:r>
        <w:rPr>
          <w:lang w:val="es-ES"/>
        </w:rPr>
        <w:t xml:space="preserve"> </w:t>
      </w:r>
      <w:r>
        <w:rPr>
          <w:lang w:val="es-ES"/>
        </w:rPr>
        <w:t xml:space="preserve">árbol de trabajo,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compileall</w:t>
      </w:r>
      <w:r>
        <w:rPr>
          <w:lang w:val="es-ES"/>
        </w:rPr>
        <w:t xml:space="preserve"> </w:t>
      </w:r>
      <w:r>
        <w:rPr>
          <w:lang w:val="es-ES"/>
        </w:rPr>
        <w:t xml:space="preserve">terminó sin errores y las 17 pruebas unitarias finalizaron</w:t>
      </w:r>
      <w:r>
        <w:rPr>
          <w:lang w:val="es-ES"/>
        </w:rPr>
        <w:t xml:space="preserve"> </w:t>
      </w:r>
      <w:r>
        <w:rPr>
          <w:lang w:val="es-ES"/>
        </w:rPr>
        <w:t xml:space="preserve">correctamente. Las rutas bajo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/content</w:t>
      </w:r>
      <w:r>
        <w:rPr>
          <w:lang w:val="es-ES"/>
        </w:rPr>
        <w:t xml:space="preserve"> </w:t>
      </w:r>
      <w:r>
        <w:rPr>
          <w:lang w:val="es-ES"/>
        </w:rPr>
        <w:t xml:space="preserve">son destinos del entorno Colab y no se comprobaron como</w:t>
      </w:r>
      <w:r>
        <w:rPr>
          <w:lang w:val="es-ES"/>
        </w:rPr>
        <w:t xml:space="preserve"> </w:t>
      </w:r>
      <w:r>
        <w:rPr>
          <w:lang w:val="es-ES"/>
        </w:rPr>
        <w:t xml:space="preserve">rutas locales. Estas verificaciones se ejecutaron en el entorno existente, no desde un clon limpio</w:t>
      </w:r>
      <w:r>
        <w:rPr>
          <w:lang w:val="es-ES"/>
        </w:rPr>
        <w:t xml:space="preserve"> </w:t>
      </w:r>
      <w:r>
        <w:rPr>
          <w:lang w:val="es-ES"/>
        </w:rPr>
        <w:t xml:space="preserve">del commit final, porque ese commit todavía no estaba congelado. Por tanto, los siguientes comandos</w:t>
      </w:r>
      <w:r>
        <w:rPr>
          <w:lang w:val="es-ES"/>
        </w:rPr>
        <w:t xml:space="preserve"> </w:t>
      </w:r>
      <w:r>
        <w:rPr>
          <w:lang w:val="es-ES"/>
        </w:rPr>
        <w:t xml:space="preserve">constituyen también la lista que debe repetirse después de sustituir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&lt;SHA_FINAL&gt;</w:t>
      </w:r>
      <w:r>
        <w:rPr>
          <w:lang w:val="es-ES"/>
        </w:rPr>
        <w:t xml:space="preserve"> </w:t>
      </w:r>
      <w:r>
        <w:rPr>
          <w:lang w:val="es-ES"/>
        </w:rPr>
        <w:t xml:space="preserve">en el Apartado</w:t>
      </w:r>
      <w:r>
        <w:rPr>
          <w:lang w:val="es-ES"/>
        </w:rPr>
        <w:t xml:space="preserve"> </w:t>
      </w:r>
      <w:r>
        <w:rPr>
          <w:lang w:val="es-ES"/>
        </w:rPr>
        <w:t xml:space="preserve">A.1:</w:t>
      </w:r>
    </w:p>
    <w:p>
      <w:pPr>
        <w:pStyle w:val="TFMCode"/>
        <w:keepLines w:val="0"/>
        <w:widowControl w:val="0"/>
        <w:pBdr>
          <w:left w:val="single" w:sz="12" w:space="8" w:color="ED7D31"/>
        </w:pBdr>
        <w:shd w:val="clear" w:fill="F2F2F2"/>
        <w:rPr>
          <w:lang w:val="es-ES"/>
        </w:rPr>
      </w:pPr>
      <w:r>
        <w:rPr>
          <w:rStyle w:val="ExtensionTok"/>
          <w:rFonts w:ascii="Consolas" w:hAnsi="Consolas" w:cs="Consolas" w:eastAsia="Consolas"/>
          <w:color w:val="1F1F1F"/>
          <w:sz w:val="15"/>
          <w:noProof/>
          <w:lang w:val="es-ES"/>
        </w:rPr>
        <w:t xml:space="preserve">.venv/bin/python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-m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compileall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-q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tfm_brats scripts tests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ExtensionTok"/>
          <w:rFonts w:ascii="Consolas" w:hAnsi="Consolas" w:cs="Consolas" w:eastAsia="Consolas"/>
          <w:color w:val="1F1F1F"/>
          <w:sz w:val="15"/>
          <w:noProof/>
          <w:lang w:val="es-ES"/>
        </w:rPr>
        <w:t xml:space="preserve">.venv/bin/python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-m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unittest discover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-s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tests </w:t>
      </w:r>
      <w:r>
        <w:rPr>
          <w:rStyle w:val="AttributeTok"/>
          <w:rFonts w:ascii="Consolas" w:hAnsi="Consolas" w:cs="Consolas" w:eastAsia="Consolas"/>
          <w:color w:val="1F1F1F"/>
          <w:sz w:val="15"/>
          <w:noProof/>
          <w:lang w:val="es-ES"/>
        </w:rPr>
        <w:t xml:space="preserve">-v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ExtensionTok"/>
          <w:rFonts w:ascii="Consolas" w:hAnsi="Consolas" w:cs="Consolas" w:eastAsia="Consolas"/>
          <w:color w:val="1F1F1F"/>
          <w:sz w:val="15"/>
          <w:noProof/>
          <w:lang w:val="es-ES"/>
        </w:rPr>
        <w:t xml:space="preserve">.venv/bin/python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scripts/draw_diagrams.py</w:t>
      </w:r>
      <w:r>
        <w:rPr>
          <w:rFonts w:ascii="Consolas" w:hAnsi="Consolas" w:cs="Consolas" w:eastAsia="Consolas"/>
          <w:color w:val="1F1F1F"/>
          <w:sz w:val="15"/>
          <w:noProof/>
          <w:lang w:val="es-ES"/>
        </w:rPr>
        <w:br/>
      </w:r>
      <w:r>
        <w:rPr>
          <w:rStyle w:val="ExtensionTok"/>
          <w:rFonts w:ascii="Consolas" w:hAnsi="Consolas" w:cs="Consolas" w:eastAsia="Consolas"/>
          <w:color w:val="1F1F1F"/>
          <w:sz w:val="15"/>
          <w:noProof/>
          <w:lang w:val="es-ES"/>
        </w:rPr>
        <w:t xml:space="preserve">.venv/bin/python</w:t>
      </w:r>
      <w:r>
        <w:rPr>
          <w:rStyle w:val="NormalTok"/>
          <w:rFonts w:ascii="Consolas" w:hAnsi="Consolas" w:cs="Consolas" w:eastAsia="Consolas"/>
          <w:color w:val="1F1F1F"/>
          <w:sz w:val="15"/>
          <w:noProof/>
          <w:lang w:val="es-ES"/>
        </w:rPr>
        <w:t xml:space="preserve"> scripts/make_figures.py</w:t>
      </w:r>
    </w:p>
    <w:p>
      <w:pPr>
        <w:rPr>
          <w:lang w:val="es-ES"/>
        </w:rPr>
      </w:pPr>
      <w:r>
        <w:rPr>
          <w:rStyle w:val="VerbatimChar"/>
          <w:lang w:val="es-ES"/>
        </w:rPr>
        <w:t xml:space="preserve">scripts/make_figures.py</w:t>
      </w:r>
      <w:r>
        <w:rPr>
          <w:lang w:val="es-ES"/>
        </w:rPr>
        <w:t xml:space="preserve"> </w:t>
      </w:r>
      <w:r>
        <w:rPr>
          <w:lang w:val="es-ES"/>
        </w:rPr>
        <w:t xml:space="preserve">requiere que las predicciones NIfTI utilizadas por las comparaciones</w:t>
      </w:r>
      <w:r>
        <w:rPr>
          <w:lang w:val="es-ES"/>
        </w:rPr>
        <w:t xml:space="preserve"> </w:t>
      </w:r>
      <w:r>
        <w:rPr>
          <w:lang w:val="es-ES"/>
        </w:rPr>
        <w:t xml:space="preserve">cualitativas estén disponibles en las rutas esperadas bajo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outputs/predictions/</w:t>
      </w:r>
      <w:r>
        <w:rPr>
          <w:lang w:val="es-ES"/>
        </w:rPr>
        <w:t xml:space="preserve">. Esas predicciones</w:t>
      </w:r>
      <w:r>
        <w:rPr>
          <w:lang w:val="es-ES"/>
        </w:rPr>
        <w:t xml:space="preserve"> </w:t>
      </w:r>
      <w:r>
        <w:rPr>
          <w:lang w:val="es-ES"/>
        </w:rPr>
        <w:t xml:space="preserve">no están versionadas, de modo que las figuras no pueden regenerarse a partir de un clon limpio sin</w:t>
      </w:r>
      <w:r>
        <w:rPr>
          <w:lang w:val="es-ES"/>
        </w:rPr>
        <w:t xml:space="preserve"> </w:t>
      </w:r>
      <w:r>
        <w:rPr>
          <w:lang w:val="es-ES"/>
        </w:rPr>
        <w:t xml:space="preserve">recuperar antes los artefactos externos.</w:t>
      </w:r>
    </w:p>
    <w:bookmarkEnd w:id="72"/>
    <w:bookmarkStart w:id="74" w:name="a.7.-artefactos-y-política-de-versionado"/>
    <w:p>
      <w:pPr>
        <w:pStyle w:val="Ttulo2"/>
      </w:pPr>
      <w:r>
        <w:t xml:space="preserve">A.7. Artefactos y política de versionado</w:t>
      </w:r>
    </w:p>
    <w:p>
      <w:pPr>
        <w:rPr>
          <w:lang w:val="es-ES"/>
        </w:rPr>
      </w:pPr>
      <w:r>
        <w:rPr>
          <w:lang w:val="es-ES"/>
        </w:rPr>
        <w:t xml:space="preserve">La Tabla A.1 diferencia los artefactos necesarios para auditar el trabajo de aquellos que no pueden</w:t>
      </w:r>
      <w:r>
        <w:rPr>
          <w:lang w:val="es-ES"/>
        </w:rPr>
        <w:t xml:space="preserve"> </w:t>
      </w:r>
      <w:r>
        <w:rPr>
          <w:lang w:val="es-ES"/>
        </w:rPr>
        <w:t xml:space="preserve">distribuirse en el repositorio por tamaño o por las condiciones de acceso a los datos.</w:t>
      </w:r>
    </w:p>
    <w:tbl>
      <w:tblPr>
        <w:tblStyle w:val="Tablaconcuadrcula"/>
        <w:tblW w:type="dxa" w:w="8504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BFBFBF"/>
          <w:left w:val="single" w:sz="5" w:space="0" w:color="BFBFBF"/>
          <w:bottom w:val="single" w:sz="5" w:space="0" w:color="BFBFBF"/>
          <w:right w:val="single" w:sz="5" w:space="0" w:color="BFBFBF"/>
          <w:insideH w:val="single" w:sz="5" w:space="0" w:color="BFBFBF"/>
          <w:insideV w:val="single" w:sz="5" w:space="0" w:color="BFBFBF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Tipo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Contenido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ED7D3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 xml:space="preserve">Política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Código y pruebas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tfm_brats/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,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scripts/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,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tests/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Versionado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Configuraciones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configs/dataset/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,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configs/model/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,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configs/training/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,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configs/nnunet/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Versionado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Trazabilidad de datos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Resúmenes de QC y particiones bajo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outputs/qc/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y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outputs/splits/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Versionado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Resultados ligeros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Agregados CSV/JSON y métricas por estudio conservadas bajo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outputs/evaluation/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Versionado parcial; faltan los CSV por estudio de Attention U-Net y Swin-UNETR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Memoria y figuras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docs/memoria/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y scripts generadores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Versionado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Datos médicos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Volúmenes NIfTI originales y derivados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No versionado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Salidas pesadas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Predicciones NIfTI,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Fonts w:ascii="Arial" w:hAnsi="Arial" w:cs="Arial" w:eastAsia="Arial"/>
                <w:i/>
                <w:iCs/>
                <w:color w:val="000000"/>
                <w:sz w:val="17"/>
              </w:rPr>
              <w:t xml:space="preserve">checkpoints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, directorios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Arial" w:hAnsi="Arial" w:cs="Arial" w:eastAsia="Arial"/>
                <w:color w:val="000000"/>
                <w:sz w:val="17"/>
              </w:rPr>
              <w:t xml:space="preserve">outputs/train/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z w:val="17"/>
              </w:rPr>
              <w:t xml:space="preserve">y artefactos internos de nnU-Net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No versionado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Registros externos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Artefactos completos de las ejecuciones A100 y nnU-Net conservados fuera del repositorio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val="clear" w:color="auto" w:fill="FCE4D6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color w:val="000000"/>
                <w:sz w:val="17"/>
              </w:rPr>
              <w:t xml:space="preserve">No versionado; su ubicación depende del entorno del autor</w:t>
            </w:r>
          </w:p>
        </w:tc>
      </w:tr>
    </w:tbl>
    <w:p>
      <w:pPr>
        <w:pStyle w:val="Descripcin"/>
        <w:keepLines/>
        <w:rPr>
          <w:lang w:val="es-ES"/>
        </w:rPr>
      </w:pPr>
      <w:r>
        <w:rPr>
          <w:b/>
          <w:lang w:val="es-ES"/>
        </w:rPr>
        <w:t xml:space="preserve">Tabla </w:t>
      </w:r>
      <w:r>
        <w:rPr>
          <w:b/>
          <w:lang w:val="es-ES"/>
        </w:rPr>
        <w:t>A.</w:t>
      </w:r>
      <w:r>
        <w:rPr>
          <w:lang w:val="es-ES"/>
        </w:rPr>
        <w:fldChar w:fldCharType="begin" w:dirty="true"/>
      </w:r>
      <w:r>
        <w:rPr>
          <w:lang w:val="es-ES"/>
        </w:rPr>
        <w:instrText xml:space="preserve"> SEQ Tabla \r 1 \* ARABIC </w:instrText>
      </w:r>
      <w:r>
        <w:rPr>
          <w:lang w:val="es-ES"/>
        </w:rPr>
        <w:fldChar w:fldCharType="separate"/>
      </w:r>
      <w:r>
        <w:rPr>
          <w:b/>
          <w:lang w:val="es-ES"/>
        </w:rPr>
        <w:t>1</w:t>
      </w:r>
      <w:r>
        <w:rPr>
          <w:lang w:val="es-ES"/>
        </w:rPr>
        <w:fldChar w:fldCharType="end"/>
      </w:r>
      <w:r>
        <w:rPr>
          <w:b/>
          <w:lang w:val="es-ES"/>
        </w:rPr>
        <w:t xml:space="preserve">. </w:t>
      </w:r>
      <w:r>
        <w:rPr>
          <w:lang w:val="es-ES"/>
        </w:rPr>
        <w:t>Artefactos del proyecto y política de versionado.</w:t>
      </w:r>
    </w:p>
    <w:p>
      <w:pPr>
        <w:rPr>
          <w:lang w:val="es-ES"/>
        </w:rPr>
      </w:pPr>
      <w:r>
        <w:rPr>
          <w:lang w:val="es-ES"/>
        </w:rPr>
        <w:t xml:space="preserve">El repositorio conserva el código, las configuraciones y los agregados principales, pero no</w:t>
      </w:r>
      <w:r>
        <w:rPr>
          <w:lang w:val="es-ES"/>
        </w:rPr>
        <w:t xml:space="preserve"> </w:t>
      </w:r>
      <w:r>
        <w:rPr>
          <w:lang w:val="es-ES"/>
        </w:rPr>
        <w:t xml:space="preserve">constituye por sí solo un paquete autocontenido de reproducción: los datos protegidos, las salidas</w:t>
      </w:r>
      <w:r>
        <w:rPr>
          <w:lang w:val="es-ES"/>
        </w:rPr>
        <w:t xml:space="preserve"> </w:t>
      </w:r>
      <w:r>
        <w:rPr>
          <w:lang w:val="es-ES"/>
        </w:rPr>
        <w:t xml:space="preserve">pesadas, parte de los registros y seis CSV por estudio deben recuperarse o conservarse por separado.</w:t>
      </w:r>
    </w:p>
    <w:p>
      <w:pPr>
        <w:rPr>
          <w:lang w:val="es-ES"/>
        </w:rPr>
      </w:pPr>
      <w:r>
        <w:rPr>
          <w:lang w:val="es-ES"/>
        </w:rPr>
        <w:t xml:space="preserve">El fichero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.gitignore</w:t>
      </w:r>
      <w:r>
        <w:rPr>
          <w:lang w:val="es-ES"/>
        </w:rPr>
        <w:t xml:space="preserve"> </w:t>
      </w:r>
      <w:r>
        <w:rPr>
          <w:lang w:val="es-ES"/>
        </w:rPr>
        <w:t xml:space="preserve">excluye explícitamente los NIfTI,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checkpoints</w:t>
      </w:r>
      <w:r>
        <w:rPr>
          <w:lang w:val="es-ES"/>
        </w:rPr>
        <w:t xml:space="preserve">, predicciones, entornos</w:t>
      </w:r>
      <w:r>
        <w:rPr>
          <w:lang w:val="es-ES"/>
        </w:rPr>
        <w:t xml:space="preserve"> </w:t>
      </w:r>
      <w:r>
        <w:rPr>
          <w:lang w:val="es-ES"/>
        </w:rPr>
        <w:t xml:space="preserve">virtuales y directorios generados por nnU-Net.</w:t>
      </w:r>
    </w:p>
    <w:bookmarkEnd w:id="73"/>
    <w:bookmarkStart w:id="75" w:name="X2241c11ddde5cea59d39f4f693df400c6f60f6b"/>
    <w:p>
      <w:pPr>
        <w:pStyle w:val="Ttulo2"/>
      </w:pPr>
      <w:r>
        <w:t xml:space="preserve">A.8. Condiciones de acceso a los datos y límites de reproducción</w:t>
      </w:r>
    </w:p>
    <w:p>
      <w:pPr>
        <w:rPr>
          <w:lang w:val="es-ES"/>
        </w:rPr>
      </w:pPr>
      <w:r>
        <w:rPr>
          <w:lang w:val="es-ES"/>
        </w:rPr>
        <w:t xml:space="preserve">BraTS-GLI 2024 se obtuvo a través del</w:t>
      </w:r>
      <w:r>
        <w:rPr>
          <w:lang w:val="es-ES"/>
        </w:rPr>
        <w:t xml:space="preserve"> </w:t>
      </w:r>
      <w:hyperlink r:id="rId51">
        <w:r>
          <w:rPr>
            <w:rStyle w:val="Hipervnculo"/>
          </w:rPr>
          <w:t xml:space="preserve">proyecto oficial del reto en</w:t>
        </w:r>
        <w:r>
          <w:rPr>
            <w:rStyle w:val="Hipervnculo"/>
          </w:rPr>
          <w:t xml:space="preserve"> </w:t>
        </w:r>
        <w:r>
          <w:rPr>
            <w:rStyle w:val="Hipervnculo"/>
          </w:rPr>
          <w:t xml:space="preserve">Synapse</w:t>
        </w:r>
      </w:hyperlink>
      <w:r>
        <w:rPr>
          <w:lang w:val="es-ES"/>
        </w:rPr>
        <w:t xml:space="preserve"> </w:t>
      </w:r>
      <w:r>
        <w:rPr>
          <w:lang w:val="es-ES"/>
        </w:rPr>
        <w:t xml:space="preserve">y está sujeto a sus condiciones de acceso y uso.</w:t>
      </w:r>
      <w:r>
        <w:rPr>
          <w:lang w:val="es-ES"/>
        </w:rPr>
        <w:t xml:space="preserve"> </w:t>
      </w:r>
      <w:r>
        <w:rPr>
          <w:lang w:val="es-ES"/>
        </w:rPr>
        <w:t xml:space="preserve">El repositorio no redistribuye las imágenes, máscaras ni derivados que permitan reconstruir los</w:t>
      </w:r>
      <w:r>
        <w:rPr>
          <w:lang w:val="es-ES"/>
        </w:rPr>
        <w:t xml:space="preserve"> </w:t>
      </w:r>
      <w:r>
        <w:rPr>
          <w:lang w:val="es-ES"/>
        </w:rPr>
        <w:t xml:space="preserve">datos originales. Cada persona que reproduzca los experimentos debe solicitar su propio acceso,</w:t>
      </w:r>
      <w:r>
        <w:rPr>
          <w:lang w:val="es-ES"/>
        </w:rPr>
        <w:t xml:space="preserve"> </w:t>
      </w:r>
      <w:r>
        <w:rPr>
          <w:lang w:val="es-ES"/>
        </w:rPr>
        <w:t xml:space="preserve">aceptar las condiciones vigentes en la plataforma y respetar los requisitos de uso y citación del</w:t>
      </w:r>
      <w:r>
        <w:rPr>
          <w:lang w:val="es-ES"/>
        </w:rPr>
        <w:t xml:space="preserve"> </w:t>
      </w:r>
      <w:r>
        <w:rPr>
          <w:lang w:val="es-ES"/>
        </w:rPr>
        <w:t xml:space="preserve">conjunto; no debe inferirse una licencia general de los datos a partir de las licencias del software.</w:t>
      </w:r>
    </w:p>
    <w:p>
      <w:pPr>
        <w:rPr>
          <w:lang w:val="es-ES"/>
        </w:rPr>
      </w:pPr>
      <w:r>
        <w:rPr>
          <w:lang w:val="es-ES"/>
        </w:rPr>
        <w:t xml:space="preserve">En el momento de redactar este apéndice el repositorio no contiene un fichero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LICENSE</w:t>
      </w:r>
      <w:r>
        <w:rPr>
          <w:lang w:val="es-ES"/>
        </w:rPr>
        <w:t xml:space="preserve"> </w:t>
      </w:r>
      <w:r>
        <w:rPr>
          <w:lang w:val="es-ES"/>
        </w:rPr>
        <w:t xml:space="preserve">para el</w:t>
      </w:r>
      <w:r>
        <w:rPr>
          <w:lang w:val="es-ES"/>
        </w:rPr>
        <w:t xml:space="preserve"> </w:t>
      </w:r>
      <w:r>
        <w:rPr>
          <w:lang w:val="es-ES"/>
        </w:rPr>
        <w:t xml:space="preserve">código. Antes de hacerlo público debe definirse explícitamente la licencia del software; la licencia</w:t>
      </w:r>
      <w:r>
        <w:rPr>
          <w:lang w:val="es-ES"/>
        </w:rPr>
        <w:t xml:space="preserve"> </w:t>
      </w:r>
      <w:r>
        <w:rPr>
          <w:lang w:val="es-ES"/>
        </w:rPr>
        <w:t xml:space="preserve">del código no modifica ni sustituye la licencia de los datos.</w:t>
      </w:r>
    </w:p>
    <w:p>
      <w:pPr>
        <w:rPr>
          <w:lang w:val="es-ES"/>
        </w:rPr>
      </w:pPr>
      <w:r>
        <w:rPr>
          <w:lang w:val="es-ES"/>
        </w:rPr>
        <w:t xml:space="preserve">La reproducción exacta también está limitada por el coste de entrenar modelos 3D, la posible</w:t>
      </w:r>
      <w:r>
        <w:rPr>
          <w:lang w:val="es-ES"/>
        </w:rPr>
        <w:t xml:space="preserve"> </w:t>
      </w:r>
      <w:r>
        <w:rPr>
          <w:lang w:val="es-ES"/>
        </w:rPr>
        <w:t xml:space="preserve">variabilidad no determinista de algunas operaciones CUDA/MPS, la ausencia de los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checkpoints</w:t>
      </w:r>
      <w:r>
        <w:rPr>
          <w:lang w:val="es-ES"/>
        </w:rPr>
        <w:t xml:space="preserve"> </w:t>
      </w:r>
      <w:r>
        <w:rPr>
          <w:lang w:val="es-ES"/>
        </w:rPr>
        <w:t xml:space="preserve">pesados en Git y la instrumentación incompleta y heterogénea de tiempo y memoria entre entornos.</w:t>
      </w:r>
    </w:p>
    <w:bookmarkEnd w:id="74"/>
    <w:bookmarkEnd w:id="75"/>
    <w:sectPr w:rsidR="00914FAA">
      <w:headerReference w:type="even" r:id="rId52"/>
      <w:headerReference w:type="default" r:id="rId53"/>
      <w:footerReference w:type="even" r:id="rId54"/>
      <w:footerReference w:type="default" r:id="rId55"/>
      <w:pgSz w:w="11906" w:h="16838" w:orient="portrait"/>
      <w:pgMar w:top="2492" w:right="1701" w:bottom="1244" w:left="1701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A094A" w:rsidRDefault="001A094A" w14:paraId="3D297B2A" w14:textId="77777777">
      <w:pPr>
        <w:spacing w:after="0" w:line="240" w:lineRule="auto"/>
      </w:pPr>
      <w:r>
        <w:separator/>
      </w:r>
    </w:p>
  </w:endnote>
  <w:endnote w:type="continuationSeparator" w:id="0">
    <w:p w:rsidR="001A094A" w:rsidRDefault="001A094A" w14:paraId="342E25E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906358" w:rsidRDefault="00882A77" w14:paraId="1E8921DB" w14:textId="28DCFD6A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0" behindDoc="1" locked="0" layoutInCell="1" allowOverlap="1" wp14:anchorId="619BBB6F" wp14:editId="2F7EA718">
              <wp:simplePos x="0" y="0"/>
              <wp:positionH relativeFrom="page">
                <wp:posOffset>5956935</wp:posOffset>
              </wp:positionH>
              <wp:positionV relativeFrom="paragraph">
                <wp:posOffset>292735</wp:posOffset>
              </wp:positionV>
              <wp:extent cx="689610" cy="295275"/>
              <wp:effectExtent l="0" t="0" r="0" b="0"/>
              <wp:wrapNone/>
              <wp:docPr id="8" name="Rectángul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9610" cy="29527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323943781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EndPr/>
                          <w:sdtContent>
                            <w:p w:rsidR="00906358" w:rsidRDefault="00A973DB" w14:paraId="7892684E" w14:textId="77777777">
                              <w:pPr>
                                <w:pStyle w:val="Contenidodelmarco"/>
                                <w:spacing w:after="0"/>
                                <w:contextualSpacing/>
                                <w:rPr>
                                  <w:color w:val="333333"/>
                                  <w:highlight w:val="white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  <w:highlight w:val="white"/>
                                </w:rPr>
                                <w:fldChar w:fldCharType="begin"/>
                              </w:r>
                              <w:r>
                                <w:rPr>
                                  <w:color w:val="333333"/>
                                  <w:sz w:val="18"/>
                                  <w:highlight w:val="white"/>
                                </w:rPr>
                                <w:instrText>PAGE</w:instrText>
                              </w:r>
                              <w:r>
                                <w:rPr>
                                  <w:color w:val="333333"/>
                                  <w:sz w:val="18"/>
                                  <w:highlight w:val="white"/>
                                </w:rPr>
                                <w:fldChar w:fldCharType="separate"/>
                              </w:r>
                              <w:r>
                                <w:rPr>
                                  <w:color w:val="333333"/>
                                  <w:sz w:val="18"/>
                                  <w:highlight w:val="white"/>
                                </w:rPr>
                                <w:t>14</w:t>
                              </w:r>
                              <w:r>
                                <w:rPr>
                                  <w:color w:val="333333"/>
                                  <w:sz w:val="18"/>
                                  <w:highlight w:val="white"/>
                                </w:rPr>
                                <w:fldChar w:fldCharType="end"/>
                              </w:r>
                              <w:r>
                                <w:rPr>
                                  <w:color w:val="333333"/>
                                  <w:sz w:val="18"/>
                                  <w:highlight w:val="white"/>
                                </w:rPr>
                                <w:t xml:space="preserve"> de </w:t>
                              </w:r>
                              <w:r>
                                <w:rPr>
                                  <w:color w:val="333333"/>
                                  <w:sz w:val="18"/>
                                  <w:highlight w:val="white"/>
                                </w:rPr>
                                <w:fldChar w:fldCharType="begin"/>
                              </w:r>
                              <w:r>
                                <w:rPr>
                                  <w:color w:val="333333"/>
                                  <w:sz w:val="18"/>
                                  <w:highlight w:val="white"/>
                                </w:rPr>
                                <w:instrText>NUMPAGES</w:instrText>
                              </w:r>
                              <w:r>
                                <w:rPr>
                                  <w:color w:val="333333"/>
                                  <w:sz w:val="18"/>
                                  <w:highlight w:val="white"/>
                                </w:rPr>
                                <w:fldChar w:fldCharType="separate"/>
                              </w:r>
                              <w:r>
                                <w:rPr>
                                  <w:color w:val="333333"/>
                                  <w:sz w:val="18"/>
                                  <w:highlight w:val="white"/>
                                </w:rPr>
                                <w:t>14</w:t>
                              </w:r>
                              <w:r>
                                <w:rPr>
                                  <w:color w:val="333333"/>
                                  <w:sz w:val="18"/>
                                  <w:highlight w:val="white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rect id="Rectángulo 2" style="position:absolute;left:0;text-align:left;margin-left:469.05pt;margin-top:23.05pt;width:54.3pt;height:23.25pt;z-index:-5033164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6" filled="f" stroked="f" strokeweight=".18mm" w14:anchorId="619BBB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">
              <v:textbox>
                <w:txbxContent>
                  <w:sdt>
                    <w:sdtPr>
                      <w:id w:val="1323943781"/>
                      <w:docPartObj>
                        <w:docPartGallery w:val="Page Numbers (Bottom of Page)"/>
                        <w:docPartUnique/>
                      </w:docPartObj>
                    </w:sdtPr>
                    <w:sdtEndPr/>
                    <w:sdtContent>
                      <w:p w:rsidR="00906358" w:rsidRDefault="00A973DB" w14:paraId="7892684E" w14:textId="77777777">
                        <w:pPr>
                          <w:pStyle w:val="Contenidodelmarco"/>
                          <w:spacing w:after="0"/>
                          <w:contextualSpacing/>
                          <w:rPr>
                            <w:color w:val="333333"/>
                            <w:highlight w:val="white"/>
                          </w:rPr>
                        </w:pPr>
                        <w:r>
                          <w:rPr>
                            <w:color w:val="333333"/>
                            <w:sz w:val="18"/>
                            <w:highlight w:val="white"/>
                          </w:rPr>
                          <w:fldChar w:fldCharType="begin"/>
                        </w:r>
                        <w:r>
                          <w:rPr>
                            <w:color w:val="333333"/>
                            <w:sz w:val="18"/>
                            <w:highlight w:val="white"/>
                          </w:rPr>
                          <w:instrText>PAGE</w:instrText>
                        </w:r>
                        <w:r>
                          <w:rPr>
                            <w:color w:val="333333"/>
                            <w:sz w:val="18"/>
                            <w:highlight w:val="white"/>
                          </w:rPr>
                          <w:fldChar w:fldCharType="separate"/>
                        </w:r>
                        <w:r>
                          <w:rPr>
                            <w:color w:val="333333"/>
                            <w:sz w:val="18"/>
                            <w:highlight w:val="white"/>
                          </w:rPr>
                          <w:t>14</w:t>
                        </w:r>
                        <w:r>
                          <w:rPr>
                            <w:color w:val="333333"/>
                            <w:sz w:val="18"/>
                            <w:highlight w:val="white"/>
                          </w:rPr>
                          <w:fldChar w:fldCharType="end"/>
                        </w:r>
                        <w:r>
                          <w:rPr>
                            <w:color w:val="333333"/>
                            <w:sz w:val="18"/>
                            <w:highlight w:val="white"/>
                          </w:rPr>
                          <w:t xml:space="preserve"> de </w:t>
                        </w:r>
                        <w:r>
                          <w:rPr>
                            <w:color w:val="333333"/>
                            <w:sz w:val="18"/>
                            <w:highlight w:val="white"/>
                          </w:rPr>
                          <w:fldChar w:fldCharType="begin"/>
                        </w:r>
                        <w:r>
                          <w:rPr>
                            <w:color w:val="333333"/>
                            <w:sz w:val="18"/>
                            <w:highlight w:val="white"/>
                          </w:rPr>
                          <w:instrText>NUMPAGES</w:instrText>
                        </w:r>
                        <w:r>
                          <w:rPr>
                            <w:color w:val="333333"/>
                            <w:sz w:val="18"/>
                            <w:highlight w:val="white"/>
                          </w:rPr>
                          <w:fldChar w:fldCharType="separate"/>
                        </w:r>
                        <w:r>
                          <w:rPr>
                            <w:color w:val="333333"/>
                            <w:sz w:val="18"/>
                            <w:highlight w:val="white"/>
                          </w:rPr>
                          <w:t>14</w:t>
                        </w:r>
                        <w:r>
                          <w:rPr>
                            <w:color w:val="333333"/>
                            <w:sz w:val="18"/>
                            <w:highlight w:val="white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anchorx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906358" w:rsidRDefault="00882A77" w14:paraId="1257A534" w14:textId="50C64BA3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13" behindDoc="1" locked="0" layoutInCell="1" allowOverlap="1" wp14:anchorId="2F9B8378" wp14:editId="44677A29">
              <wp:simplePos x="0" y="0"/>
              <wp:positionH relativeFrom="page">
                <wp:posOffset>5956935</wp:posOffset>
              </wp:positionH>
              <wp:positionV relativeFrom="paragraph">
                <wp:posOffset>292735</wp:posOffset>
              </wp:positionV>
              <wp:extent cx="689610" cy="295275"/>
              <wp:effectExtent l="0" t="0" r="0" b="0"/>
              <wp:wrapNone/>
              <wp:docPr id="6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9610" cy="29527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467964983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EndPr/>
                          <w:sdtContent>
                            <w:p w:rsidR="00906358" w:rsidRDefault="00A973DB" w14:paraId="754E8AD0" w14:textId="77777777">
                              <w:pPr>
                                <w:pStyle w:val="Contenidodelmarco"/>
                                <w:spacing w:after="0"/>
                                <w:contextualSpacing/>
                                <w:rPr>
                                  <w:color w:val="333333"/>
                                  <w:highlight w:val="white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  <w:highlight w:val="white"/>
                                </w:rPr>
                                <w:fldChar w:fldCharType="begin"/>
                              </w:r>
                              <w:r>
                                <w:rPr>
                                  <w:color w:val="333333"/>
                                  <w:sz w:val="18"/>
                                  <w:highlight w:val="white"/>
                                </w:rPr>
                                <w:instrText>PAGE</w:instrText>
                              </w:r>
                              <w:r>
                                <w:rPr>
                                  <w:color w:val="333333"/>
                                  <w:sz w:val="18"/>
                                  <w:highlight w:val="white"/>
                                </w:rPr>
                                <w:fldChar w:fldCharType="separate"/>
                              </w:r>
                              <w:r>
                                <w:rPr>
                                  <w:color w:val="333333"/>
                                  <w:sz w:val="18"/>
                                  <w:highlight w:val="white"/>
                                </w:rPr>
                                <w:t>13</w:t>
                              </w:r>
                              <w:r>
                                <w:rPr>
                                  <w:color w:val="333333"/>
                                  <w:sz w:val="18"/>
                                  <w:highlight w:val="white"/>
                                </w:rPr>
                                <w:fldChar w:fldCharType="end"/>
                              </w:r>
                              <w:r>
                                <w:rPr>
                                  <w:color w:val="333333"/>
                                  <w:sz w:val="18"/>
                                  <w:highlight w:val="white"/>
                                </w:rPr>
                                <w:t xml:space="preserve"> de </w:t>
                              </w:r>
                              <w:r>
                                <w:rPr>
                                  <w:color w:val="333333"/>
                                  <w:sz w:val="18"/>
                                  <w:highlight w:val="white"/>
                                </w:rPr>
                                <w:fldChar w:fldCharType="begin"/>
                              </w:r>
                              <w:r>
                                <w:rPr>
                                  <w:color w:val="333333"/>
                                  <w:sz w:val="18"/>
                                  <w:highlight w:val="white"/>
                                </w:rPr>
                                <w:instrText>NUMPAGES</w:instrText>
                              </w:r>
                              <w:r>
                                <w:rPr>
                                  <w:color w:val="333333"/>
                                  <w:sz w:val="18"/>
                                  <w:highlight w:val="white"/>
                                </w:rPr>
                                <w:fldChar w:fldCharType="separate"/>
                              </w:r>
                              <w:r>
                                <w:rPr>
                                  <w:color w:val="333333"/>
                                  <w:sz w:val="18"/>
                                  <w:highlight w:val="white"/>
                                </w:rPr>
                                <w:t>14</w:t>
                              </w:r>
                              <w:r>
                                <w:rPr>
                                  <w:color w:val="333333"/>
                                  <w:sz w:val="18"/>
                                  <w:highlight w:val="white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rect id="Rectángulo 1" style="position:absolute;left:0;text-align:left;margin-left:469.05pt;margin-top:23.05pt;width:54.3pt;height:23.25pt;z-index:-503316467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7" filled="f" stroked="f" strokeweight=".18mm" w14:anchorId="2F9B83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">
              <v:textbox>
                <w:txbxContent>
                  <w:sdt>
                    <w:sdtPr>
                      <w:id w:val="467964983"/>
                      <w:docPartObj>
                        <w:docPartGallery w:val="Page Numbers (Bottom of Page)"/>
                        <w:docPartUnique/>
                      </w:docPartObj>
                    </w:sdtPr>
                    <w:sdtEndPr/>
                    <w:sdtContent>
                      <w:p w:rsidR="00906358" w:rsidRDefault="00A973DB" w14:paraId="754E8AD0" w14:textId="77777777">
                        <w:pPr>
                          <w:pStyle w:val="Contenidodelmarco"/>
                          <w:spacing w:after="0"/>
                          <w:contextualSpacing/>
                          <w:rPr>
                            <w:color w:val="333333"/>
                            <w:highlight w:val="white"/>
                          </w:rPr>
                        </w:pPr>
                        <w:r>
                          <w:rPr>
                            <w:color w:val="333333"/>
                            <w:sz w:val="18"/>
                            <w:highlight w:val="white"/>
                          </w:rPr>
                          <w:fldChar w:fldCharType="begin"/>
                        </w:r>
                        <w:r>
                          <w:rPr>
                            <w:color w:val="333333"/>
                            <w:sz w:val="18"/>
                            <w:highlight w:val="white"/>
                          </w:rPr>
                          <w:instrText>PAGE</w:instrText>
                        </w:r>
                        <w:r>
                          <w:rPr>
                            <w:color w:val="333333"/>
                            <w:sz w:val="18"/>
                            <w:highlight w:val="white"/>
                          </w:rPr>
                          <w:fldChar w:fldCharType="separate"/>
                        </w:r>
                        <w:r>
                          <w:rPr>
                            <w:color w:val="333333"/>
                            <w:sz w:val="18"/>
                            <w:highlight w:val="white"/>
                          </w:rPr>
                          <w:t>13</w:t>
                        </w:r>
                        <w:r>
                          <w:rPr>
                            <w:color w:val="333333"/>
                            <w:sz w:val="18"/>
                            <w:highlight w:val="white"/>
                          </w:rPr>
                          <w:fldChar w:fldCharType="end"/>
                        </w:r>
                        <w:r>
                          <w:rPr>
                            <w:color w:val="333333"/>
                            <w:sz w:val="18"/>
                            <w:highlight w:val="white"/>
                          </w:rPr>
                          <w:t xml:space="preserve"> de </w:t>
                        </w:r>
                        <w:r>
                          <w:rPr>
                            <w:color w:val="333333"/>
                            <w:sz w:val="18"/>
                            <w:highlight w:val="white"/>
                          </w:rPr>
                          <w:fldChar w:fldCharType="begin"/>
                        </w:r>
                        <w:r>
                          <w:rPr>
                            <w:color w:val="333333"/>
                            <w:sz w:val="18"/>
                            <w:highlight w:val="white"/>
                          </w:rPr>
                          <w:instrText>NUMPAGES</w:instrText>
                        </w:r>
                        <w:r>
                          <w:rPr>
                            <w:color w:val="333333"/>
                            <w:sz w:val="18"/>
                            <w:highlight w:val="white"/>
                          </w:rPr>
                          <w:fldChar w:fldCharType="separate"/>
                        </w:r>
                        <w:r>
                          <w:rPr>
                            <w:color w:val="333333"/>
                            <w:sz w:val="18"/>
                            <w:highlight w:val="white"/>
                          </w:rPr>
                          <w:t>14</w:t>
                        </w:r>
                        <w:r>
                          <w:rPr>
                            <w:color w:val="333333"/>
                            <w:sz w:val="18"/>
                            <w:highlight w:val="white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anchorx="page"/>
            </v:rect>
          </w:pict>
        </mc:Fallback>
      </mc:AlternateContent>
    </w: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06910F8B" w:rsidTr="06910F8B" w14:paraId="14CDCC7D">
      <w:trPr>
        <w:trHeight w:val="300"/>
      </w:trPr>
      <w:tc>
        <w:tcPr>
          <w:tcW w:w="2830" w:type="dxa"/>
          <w:tcMar/>
        </w:tcPr>
        <w:p w:rsidR="06910F8B" w:rsidP="06910F8B" w:rsidRDefault="06910F8B" w14:paraId="65C63603" w14:textId="02A664A4">
          <w:pPr>
            <w:pStyle w:val="Encabezado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06910F8B" w:rsidP="06910F8B" w:rsidRDefault="06910F8B" w14:paraId="28A516D3" w14:textId="1EDC9405">
          <w:pPr>
            <w:pStyle w:val="Encabezado"/>
            <w:bidi w:val="0"/>
            <w:jc w:val="center"/>
          </w:pPr>
        </w:p>
      </w:tc>
      <w:tc>
        <w:tcPr>
          <w:tcW w:w="2830" w:type="dxa"/>
          <w:tcMar/>
        </w:tcPr>
        <w:p w:rsidR="06910F8B" w:rsidP="06910F8B" w:rsidRDefault="06910F8B" w14:paraId="45F0DE30" w14:textId="6796DA43">
          <w:pPr>
            <w:pStyle w:val="Encabezado"/>
            <w:bidi w:val="0"/>
            <w:ind w:right="-115"/>
            <w:jc w:val="right"/>
          </w:pPr>
        </w:p>
      </w:tc>
    </w:tr>
  </w:tbl>
  <w:p w:rsidR="06910F8B" w:rsidP="06910F8B" w:rsidRDefault="06910F8B" w14:paraId="6A10A2B2" w14:textId="15B3914B">
    <w:pPr>
      <w:pStyle w:val="Piedepgina"/>
      <w:bidi w:val="0"/>
    </w:pPr>
  </w:p>
</w:ftr>
</file>

<file path=word/footer4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06910F8B" w:rsidTr="06910F8B" w14:paraId="6FA1F337">
      <w:trPr>
        <w:trHeight w:val="300"/>
      </w:trPr>
      <w:tc>
        <w:tcPr>
          <w:tcW w:w="2830" w:type="dxa"/>
          <w:tcMar/>
        </w:tcPr>
        <w:p w:rsidR="06910F8B" w:rsidP="06910F8B" w:rsidRDefault="06910F8B" w14:paraId="081362DC" w14:textId="4D26B2F6">
          <w:pPr>
            <w:pStyle w:val="Encabezado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06910F8B" w:rsidP="06910F8B" w:rsidRDefault="06910F8B" w14:paraId="531F4BC9" w14:textId="07042D7E">
          <w:pPr>
            <w:pStyle w:val="Encabezado"/>
            <w:bidi w:val="0"/>
            <w:jc w:val="center"/>
          </w:pPr>
        </w:p>
      </w:tc>
      <w:tc>
        <w:tcPr>
          <w:tcW w:w="2830" w:type="dxa"/>
          <w:tcMar/>
        </w:tcPr>
        <w:p w:rsidR="06910F8B" w:rsidP="06910F8B" w:rsidRDefault="06910F8B" w14:paraId="1D9F3906" w14:textId="07747D5E">
          <w:pPr>
            <w:pStyle w:val="Encabezado"/>
            <w:bidi w:val="0"/>
            <w:ind w:right="-115"/>
            <w:jc w:val="right"/>
          </w:pPr>
        </w:p>
      </w:tc>
    </w:tr>
  </w:tbl>
  <w:p w:rsidR="06910F8B" w:rsidP="06910F8B" w:rsidRDefault="06910F8B" w14:paraId="5BD334C9" w14:textId="52C4112B">
    <w:pPr>
      <w:pStyle w:val="Piedepgina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A094A" w:rsidRDefault="001A094A" w14:paraId="1CEDFA78" w14:textId="77777777">
      <w:pPr>
        <w:spacing w:after="0" w:line="240" w:lineRule="auto"/>
      </w:pPr>
      <w:r>
        <w:separator/>
      </w:r>
    </w:p>
  </w:footnote>
  <w:footnote w:type="continuationSeparator" w:id="0">
    <w:p w:rsidR="001A094A" w:rsidRDefault="001A094A" w14:paraId="722A1AB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06358" w:rsidRDefault="00A973DB" w14:paraId="7F92FE63" w14:textId="77777777">
    <w:pPr>
      <w:pStyle w:val="Cabeceraizquierda"/>
    </w:pPr>
    <w:r>
      <w:rPr>
        <w:noProof/>
      </w:rPr>
      <w:drawing>
        <wp:anchor distT="0" distB="0" distL="0" distR="0" simplePos="0" relativeHeight="29" behindDoc="1" locked="0" layoutInCell="1" allowOverlap="1" wp14:anchorId="56432DAE" wp14:editId="6A3C5F00">
          <wp:simplePos x="0" y="0"/>
          <wp:positionH relativeFrom="column">
            <wp:posOffset>-720090</wp:posOffset>
          </wp:positionH>
          <wp:positionV relativeFrom="paragraph">
            <wp:posOffset>-71120</wp:posOffset>
          </wp:positionV>
          <wp:extent cx="1644650" cy="822325"/>
          <wp:effectExtent l="0" t="0" r="0" b="0"/>
          <wp:wrapNone/>
          <wp:docPr id="9" name="Imagen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44650" cy="822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06358" w:rsidRDefault="00A973DB" w14:paraId="4930E05E" w14:textId="77777777">
    <w:pPr>
      <w:pStyle w:val="Encabezado"/>
    </w:pPr>
    <w:r>
      <w:rPr>
        <w:noProof/>
      </w:rPr>
      <w:drawing>
        <wp:anchor distT="0" distB="0" distL="0" distR="0" simplePos="0" relativeHeight="7" behindDoc="1" locked="0" layoutInCell="1" allowOverlap="1" wp14:anchorId="29156755" wp14:editId="3529E3AC">
          <wp:simplePos x="0" y="0"/>
          <wp:positionH relativeFrom="column">
            <wp:posOffset>-713105</wp:posOffset>
          </wp:positionH>
          <wp:positionV relativeFrom="paragraph">
            <wp:posOffset>-71120</wp:posOffset>
          </wp:positionV>
          <wp:extent cx="1644650" cy="822325"/>
          <wp:effectExtent l="0" t="0" r="0" b="0"/>
          <wp:wrapNone/>
          <wp:docPr id="7" name="Imagen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44650" cy="822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06910F8B" w:rsidTr="06910F8B" w14:paraId="1B318740">
      <w:trPr>
        <w:trHeight w:val="300"/>
      </w:trPr>
      <w:tc>
        <w:tcPr>
          <w:tcW w:w="2830" w:type="dxa"/>
          <w:tcMar/>
        </w:tcPr>
        <w:p w:rsidR="06910F8B" w:rsidP="06910F8B" w:rsidRDefault="06910F8B" w14:paraId="41FE3737" w14:textId="1660B721">
          <w:pPr>
            <w:pStyle w:val="Encabezado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06910F8B" w:rsidP="06910F8B" w:rsidRDefault="06910F8B" w14:paraId="7D241F14" w14:textId="4020CC3E">
          <w:pPr>
            <w:pStyle w:val="Encabezado"/>
            <w:bidi w:val="0"/>
            <w:jc w:val="center"/>
          </w:pPr>
        </w:p>
      </w:tc>
      <w:tc>
        <w:tcPr>
          <w:tcW w:w="2830" w:type="dxa"/>
          <w:tcMar/>
        </w:tcPr>
        <w:p w:rsidR="06910F8B" w:rsidP="06910F8B" w:rsidRDefault="06910F8B" w14:paraId="3791E18A" w14:textId="05190C0A">
          <w:pPr>
            <w:pStyle w:val="Encabezado"/>
            <w:bidi w:val="0"/>
            <w:ind w:right="-115"/>
            <w:jc w:val="right"/>
          </w:pPr>
        </w:p>
      </w:tc>
    </w:tr>
  </w:tbl>
  <w:p w:rsidR="06910F8B" w:rsidP="06910F8B" w:rsidRDefault="06910F8B" w14:paraId="6A05A3B0" w14:textId="5875BB8C">
    <w:pPr>
      <w:pStyle w:val="Encabezado"/>
      <w:bidi w:val="0"/>
    </w:pPr>
  </w:p>
</w:hdr>
</file>

<file path=word/header4.xml><?xml version="1.0" encoding="utf-8"?>
<w:hd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06910F8B" w:rsidTr="06910F8B" w14:paraId="6DA0737C">
      <w:trPr>
        <w:trHeight w:val="300"/>
      </w:trPr>
      <w:tc>
        <w:tcPr>
          <w:tcW w:w="2830" w:type="dxa"/>
          <w:tcMar/>
        </w:tcPr>
        <w:p w:rsidR="06910F8B" w:rsidP="06910F8B" w:rsidRDefault="06910F8B" w14:paraId="29D93AFD" w14:textId="6F3CA221">
          <w:pPr>
            <w:pStyle w:val="Encabezado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06910F8B" w:rsidP="06910F8B" w:rsidRDefault="06910F8B" w14:paraId="3E761E7A" w14:textId="6BFA0078">
          <w:pPr>
            <w:pStyle w:val="Encabezado"/>
            <w:bidi w:val="0"/>
            <w:jc w:val="center"/>
          </w:pPr>
        </w:p>
      </w:tc>
      <w:tc>
        <w:tcPr>
          <w:tcW w:w="2830" w:type="dxa"/>
          <w:tcMar/>
        </w:tcPr>
        <w:p w:rsidR="06910F8B" w:rsidP="06910F8B" w:rsidRDefault="06910F8B" w14:paraId="084CC98A" w14:textId="012DA7BD">
          <w:pPr>
            <w:pStyle w:val="Encabezado"/>
            <w:bidi w:val="0"/>
            <w:ind w:right="-115"/>
            <w:jc w:val="right"/>
          </w:pPr>
        </w:p>
      </w:tc>
    </w:tr>
  </w:tbl>
  <w:p w:rsidR="06910F8B" w:rsidP="06910F8B" w:rsidRDefault="06910F8B" w14:paraId="4C53BAE3" w14:textId="4D28447D">
    <w:pPr>
      <w:pStyle w:val="Encabezado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WAAeRD4P7zUxIj" int2:id="hfraU9s3">
      <int2:state int2:type="spell" int2:value="Rejected"/>
    </int2:textHash>
    <int2:textHash int2:hashCode="k3BTEMq8fs/sQY" int2:id="l9if6M1N">
      <int2:state int2:type="spell" int2:value="Rejected"/>
    </int2:textHash>
    <int2:textHash int2:hashCode="ZfSQ42yqeWwTxL" int2:id="wFzES2jG">
      <int2:state int2:type="spell" int2:value="Rejected"/>
    </int2:textHash>
    <int2:textHash int2:hashCode="eboFjeempWMFz6" int2:id="9qsWfjvf">
      <int2:state int2:type="spell" int2:value="Rejected"/>
    </int2:textHash>
    <int2:textHash int2:hashCode="CbSfdD2N9c2qdP" int2:id="cD3RTywz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21A28"/>
    <w:multiLevelType w:val="multilevel"/>
    <w:tmpl w:val="FFFFFFFF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04C8C7E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B446C63"/>
    <w:multiLevelType w:val="multilevel"/>
    <w:tmpl w:val="B914A63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501455FF"/>
    <w:multiLevelType w:val="multilevel"/>
    <w:tmpl w:val="0809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4" w15:restartNumberingAfterBreak="0">
    <w:nsid w:val="579252F5"/>
    <w:multiLevelType w:val="multilevel"/>
    <w:tmpl w:val="8564E4D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72416FAA"/>
    <w:multiLevelType w:val="multilevel"/>
    <w:tmpl w:val="49B4E66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6">
    <w:nsid w:val="00DD44D2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>
    <w:nsid w:val="01AA843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52740668">
    <w:abstractNumId w:val="2"/>
  </w:num>
  <w:num w:numId="2" w16cid:durableId="1035808087">
    <w:abstractNumId w:val="3"/>
  </w:num>
  <w:num w:numId="3" w16cid:durableId="789203065">
    <w:abstractNumId w:val="5"/>
  </w:num>
  <w:num w:numId="4" w16cid:durableId="3689233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7186228">
    <w:abstractNumId w:val="0"/>
  </w:num>
  <w:num w:numId="6" w16cid:durableId="1973244446">
    <w:abstractNumId w:val="0"/>
  </w:num>
  <w:num w:numId="7" w16cid:durableId="13569287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121862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01259264">
    <w:abstractNumId w:val="0"/>
  </w:num>
  <w:num w:numId="10" w16cid:durableId="754130799">
    <w:abstractNumId w:val="0"/>
  </w:num>
  <w:num w:numId="11" w16cid:durableId="1863546494">
    <w:abstractNumId w:val="0"/>
  </w:num>
  <w:num w:numId="12" w16cid:durableId="164784418">
    <w:abstractNumId w:val="0"/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7"/>
  </w:num>
  <w:num w:numId="18">
    <w:abstractNumId w:val="7"/>
  </w:num>
  <w:num w:numId="19">
    <w:abstractNumId w:val="7"/>
  </w:num>
  <w:num w:numId="20">
    <w:abstractNumId w:val="7"/>
  </w:num>
  <w:num w:numId="13" w16cid:durableId="6192607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visionView w:markup="0"/>
  <w:trackRevisions w:val="false"/>
  <w:defaultTabStop w:val="708"/>
  <w:autoHyphenation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358"/>
    <w:rsid w:val="0009523F"/>
    <w:rsid w:val="000E7DA8"/>
    <w:rsid w:val="000F5569"/>
    <w:rsid w:val="001A094A"/>
    <w:rsid w:val="001B6DFC"/>
    <w:rsid w:val="001E36DB"/>
    <w:rsid w:val="002B1AA1"/>
    <w:rsid w:val="00302440"/>
    <w:rsid w:val="003424CA"/>
    <w:rsid w:val="00361147"/>
    <w:rsid w:val="00362BFA"/>
    <w:rsid w:val="0072179D"/>
    <w:rsid w:val="0072474B"/>
    <w:rsid w:val="00882A77"/>
    <w:rsid w:val="00906358"/>
    <w:rsid w:val="00906997"/>
    <w:rsid w:val="00914FAA"/>
    <w:rsid w:val="0096651B"/>
    <w:rsid w:val="009804A5"/>
    <w:rsid w:val="009F2D14"/>
    <w:rsid w:val="00A54EBE"/>
    <w:rsid w:val="00A973DB"/>
    <w:rsid w:val="00AE44BF"/>
    <w:rsid w:val="00B062A6"/>
    <w:rsid w:val="00B32233"/>
    <w:rsid w:val="00BF40E1"/>
    <w:rsid w:val="00C35A4D"/>
    <w:rsid w:val="00C95FBD"/>
    <w:rsid w:val="00CF08CB"/>
    <w:rsid w:val="00D6130F"/>
    <w:rsid w:val="00EA137B"/>
    <w:rsid w:val="00ED5BE2"/>
    <w:rsid w:val="00F254C4"/>
    <w:rsid w:val="00FBF9FB"/>
    <w:rsid w:val="01AC0FE3"/>
    <w:rsid w:val="01E00AA9"/>
    <w:rsid w:val="01FDE920"/>
    <w:rsid w:val="02089425"/>
    <w:rsid w:val="021DCFFA"/>
    <w:rsid w:val="02323FA4"/>
    <w:rsid w:val="03140FB6"/>
    <w:rsid w:val="0382C36E"/>
    <w:rsid w:val="038DEAB5"/>
    <w:rsid w:val="03A19876"/>
    <w:rsid w:val="03CE1EDE"/>
    <w:rsid w:val="03F3D321"/>
    <w:rsid w:val="041FD25F"/>
    <w:rsid w:val="0434BEB7"/>
    <w:rsid w:val="0488626F"/>
    <w:rsid w:val="06058918"/>
    <w:rsid w:val="06910F8B"/>
    <w:rsid w:val="07627292"/>
    <w:rsid w:val="076A7BB9"/>
    <w:rsid w:val="07802520"/>
    <w:rsid w:val="085705A9"/>
    <w:rsid w:val="087CFC26"/>
    <w:rsid w:val="08BFB0ED"/>
    <w:rsid w:val="08E4CD7E"/>
    <w:rsid w:val="0943D238"/>
    <w:rsid w:val="095D26CC"/>
    <w:rsid w:val="09B88B6A"/>
    <w:rsid w:val="09CD55A9"/>
    <w:rsid w:val="0B0629A1"/>
    <w:rsid w:val="0B6BA17E"/>
    <w:rsid w:val="0B9989D4"/>
    <w:rsid w:val="0BEA75DB"/>
    <w:rsid w:val="0CD19DE1"/>
    <w:rsid w:val="0D2A3CC8"/>
    <w:rsid w:val="0DC02FF0"/>
    <w:rsid w:val="0DE5CB2A"/>
    <w:rsid w:val="0E1E1A4F"/>
    <w:rsid w:val="0E6B47CE"/>
    <w:rsid w:val="0F741DED"/>
    <w:rsid w:val="0FD41AE3"/>
    <w:rsid w:val="10627B33"/>
    <w:rsid w:val="11EDD682"/>
    <w:rsid w:val="12711385"/>
    <w:rsid w:val="12B5A3D0"/>
    <w:rsid w:val="13B80F43"/>
    <w:rsid w:val="13BCEEA0"/>
    <w:rsid w:val="13CBBBB6"/>
    <w:rsid w:val="14D4CB6B"/>
    <w:rsid w:val="1520583B"/>
    <w:rsid w:val="1527FA67"/>
    <w:rsid w:val="15297F52"/>
    <w:rsid w:val="156FDB33"/>
    <w:rsid w:val="15A780CC"/>
    <w:rsid w:val="169A732F"/>
    <w:rsid w:val="16B84006"/>
    <w:rsid w:val="16FE1F29"/>
    <w:rsid w:val="1758D6BD"/>
    <w:rsid w:val="18332583"/>
    <w:rsid w:val="185AB1D3"/>
    <w:rsid w:val="18839A80"/>
    <w:rsid w:val="18DCA8DE"/>
    <w:rsid w:val="1929B876"/>
    <w:rsid w:val="1972CE82"/>
    <w:rsid w:val="1A05E1DF"/>
    <w:rsid w:val="1AC5F0AE"/>
    <w:rsid w:val="1B13053D"/>
    <w:rsid w:val="1BCC457F"/>
    <w:rsid w:val="1BFC6AD9"/>
    <w:rsid w:val="1D5E26FB"/>
    <w:rsid w:val="1D68AA91"/>
    <w:rsid w:val="1E60D459"/>
    <w:rsid w:val="1E78ADC9"/>
    <w:rsid w:val="1EC3AC5A"/>
    <w:rsid w:val="1F017E50"/>
    <w:rsid w:val="1F4CDEF0"/>
    <w:rsid w:val="1F7F81E7"/>
    <w:rsid w:val="1FC522D8"/>
    <w:rsid w:val="20420384"/>
    <w:rsid w:val="20449CDB"/>
    <w:rsid w:val="20D87957"/>
    <w:rsid w:val="214527D0"/>
    <w:rsid w:val="2242A3DC"/>
    <w:rsid w:val="22491441"/>
    <w:rsid w:val="22F27BAC"/>
    <w:rsid w:val="23427E28"/>
    <w:rsid w:val="243CA0E6"/>
    <w:rsid w:val="24E60AD0"/>
    <w:rsid w:val="2641250F"/>
    <w:rsid w:val="267A775E"/>
    <w:rsid w:val="26CD5AD5"/>
    <w:rsid w:val="279FE79B"/>
    <w:rsid w:val="27E69D4B"/>
    <w:rsid w:val="284D9DC5"/>
    <w:rsid w:val="286FAB27"/>
    <w:rsid w:val="2884571C"/>
    <w:rsid w:val="2903EC47"/>
    <w:rsid w:val="2A2411B3"/>
    <w:rsid w:val="2A48CE73"/>
    <w:rsid w:val="2A6AC421"/>
    <w:rsid w:val="2A6D0891"/>
    <w:rsid w:val="2AC35FD7"/>
    <w:rsid w:val="2AF8C6DA"/>
    <w:rsid w:val="2C0470FC"/>
    <w:rsid w:val="2CCE4D95"/>
    <w:rsid w:val="2CE9C71B"/>
    <w:rsid w:val="2D820CD9"/>
    <w:rsid w:val="2E614BE0"/>
    <w:rsid w:val="2EF217DF"/>
    <w:rsid w:val="2F58878C"/>
    <w:rsid w:val="2F82D979"/>
    <w:rsid w:val="2FA7C883"/>
    <w:rsid w:val="315A39C5"/>
    <w:rsid w:val="31C8533B"/>
    <w:rsid w:val="31D52A1B"/>
    <w:rsid w:val="31E75665"/>
    <w:rsid w:val="341EA911"/>
    <w:rsid w:val="34668F40"/>
    <w:rsid w:val="34BEDB6F"/>
    <w:rsid w:val="354425EC"/>
    <w:rsid w:val="357D92B0"/>
    <w:rsid w:val="35D0637D"/>
    <w:rsid w:val="35D0B098"/>
    <w:rsid w:val="35FFF612"/>
    <w:rsid w:val="3665D73C"/>
    <w:rsid w:val="36883A59"/>
    <w:rsid w:val="394F69B7"/>
    <w:rsid w:val="3A111A6C"/>
    <w:rsid w:val="3A1CBF0E"/>
    <w:rsid w:val="3A213896"/>
    <w:rsid w:val="3A36133C"/>
    <w:rsid w:val="3BC2B63C"/>
    <w:rsid w:val="3C677858"/>
    <w:rsid w:val="3C8EC91F"/>
    <w:rsid w:val="3CBB097C"/>
    <w:rsid w:val="3D6836AB"/>
    <w:rsid w:val="3D8C7159"/>
    <w:rsid w:val="3E06C7D9"/>
    <w:rsid w:val="3E5E6B96"/>
    <w:rsid w:val="3F9442B3"/>
    <w:rsid w:val="3FD6D906"/>
    <w:rsid w:val="3FEBE7E5"/>
    <w:rsid w:val="40666E4E"/>
    <w:rsid w:val="420871E0"/>
    <w:rsid w:val="4354FAA2"/>
    <w:rsid w:val="436DA086"/>
    <w:rsid w:val="44D5E225"/>
    <w:rsid w:val="44E476CA"/>
    <w:rsid w:val="44F76672"/>
    <w:rsid w:val="4526878E"/>
    <w:rsid w:val="45AD8868"/>
    <w:rsid w:val="46491261"/>
    <w:rsid w:val="472D6226"/>
    <w:rsid w:val="475CD3CF"/>
    <w:rsid w:val="4A60BB39"/>
    <w:rsid w:val="4B3E5910"/>
    <w:rsid w:val="4B439D23"/>
    <w:rsid w:val="4C5C7767"/>
    <w:rsid w:val="4C8E610E"/>
    <w:rsid w:val="4C934317"/>
    <w:rsid w:val="4D1CD370"/>
    <w:rsid w:val="4D3CD041"/>
    <w:rsid w:val="4E135D56"/>
    <w:rsid w:val="4EB2EBBD"/>
    <w:rsid w:val="4EEFEDCF"/>
    <w:rsid w:val="4F0F77E3"/>
    <w:rsid w:val="4F768346"/>
    <w:rsid w:val="4FCC64DA"/>
    <w:rsid w:val="500A43A6"/>
    <w:rsid w:val="51CB0F41"/>
    <w:rsid w:val="525ABFD4"/>
    <w:rsid w:val="52C74921"/>
    <w:rsid w:val="5324634D"/>
    <w:rsid w:val="533EB9B4"/>
    <w:rsid w:val="53795E76"/>
    <w:rsid w:val="537CB7B8"/>
    <w:rsid w:val="542C2D59"/>
    <w:rsid w:val="543267CF"/>
    <w:rsid w:val="5490DEB4"/>
    <w:rsid w:val="55662DBF"/>
    <w:rsid w:val="560AE57E"/>
    <w:rsid w:val="566C7683"/>
    <w:rsid w:val="56A6F953"/>
    <w:rsid w:val="56AAF446"/>
    <w:rsid w:val="571DD1A6"/>
    <w:rsid w:val="57637B15"/>
    <w:rsid w:val="57D0E66C"/>
    <w:rsid w:val="58A243EB"/>
    <w:rsid w:val="595AAD0A"/>
    <w:rsid w:val="59617F95"/>
    <w:rsid w:val="59DD0FB3"/>
    <w:rsid w:val="5A0B8EF3"/>
    <w:rsid w:val="5A153932"/>
    <w:rsid w:val="5AFF4659"/>
    <w:rsid w:val="5B81C68C"/>
    <w:rsid w:val="5C26BCD4"/>
    <w:rsid w:val="5C2C0463"/>
    <w:rsid w:val="5C476581"/>
    <w:rsid w:val="5CF49FAD"/>
    <w:rsid w:val="5D9E5553"/>
    <w:rsid w:val="5E4AFCFD"/>
    <w:rsid w:val="5EE885B5"/>
    <w:rsid w:val="5EFA68EE"/>
    <w:rsid w:val="5FCB806C"/>
    <w:rsid w:val="5FD6C84C"/>
    <w:rsid w:val="6133C959"/>
    <w:rsid w:val="62593DF1"/>
    <w:rsid w:val="62BED238"/>
    <w:rsid w:val="630C1159"/>
    <w:rsid w:val="63D3B27E"/>
    <w:rsid w:val="64255738"/>
    <w:rsid w:val="6461D0F1"/>
    <w:rsid w:val="64A89E9F"/>
    <w:rsid w:val="64AB3F5D"/>
    <w:rsid w:val="64F3C726"/>
    <w:rsid w:val="65B06CD5"/>
    <w:rsid w:val="680F6DBC"/>
    <w:rsid w:val="6845946F"/>
    <w:rsid w:val="687521D7"/>
    <w:rsid w:val="68CABE96"/>
    <w:rsid w:val="69BA00E8"/>
    <w:rsid w:val="69E26C8E"/>
    <w:rsid w:val="6A5F4401"/>
    <w:rsid w:val="6A81C947"/>
    <w:rsid w:val="6A9D6460"/>
    <w:rsid w:val="6AC30F5F"/>
    <w:rsid w:val="6ACC4ABF"/>
    <w:rsid w:val="6ACEEB97"/>
    <w:rsid w:val="6B426F97"/>
    <w:rsid w:val="6B79C08C"/>
    <w:rsid w:val="6C1439FB"/>
    <w:rsid w:val="6C1E2FAE"/>
    <w:rsid w:val="6D4C3326"/>
    <w:rsid w:val="6E8A261C"/>
    <w:rsid w:val="6E9E5ECF"/>
    <w:rsid w:val="6FEDF96F"/>
    <w:rsid w:val="707E2A29"/>
    <w:rsid w:val="722DDEF2"/>
    <w:rsid w:val="724C8D16"/>
    <w:rsid w:val="728D080F"/>
    <w:rsid w:val="72C3BA29"/>
    <w:rsid w:val="7313B920"/>
    <w:rsid w:val="737CD6C4"/>
    <w:rsid w:val="73B4A668"/>
    <w:rsid w:val="746B1DDF"/>
    <w:rsid w:val="749AA663"/>
    <w:rsid w:val="74A58DB0"/>
    <w:rsid w:val="74C0BF24"/>
    <w:rsid w:val="74D61C37"/>
    <w:rsid w:val="758A2EC4"/>
    <w:rsid w:val="767241BA"/>
    <w:rsid w:val="78BD6DAE"/>
    <w:rsid w:val="795E873E"/>
    <w:rsid w:val="79641535"/>
    <w:rsid w:val="7970DD0D"/>
    <w:rsid w:val="798F3A99"/>
    <w:rsid w:val="7A2E055D"/>
    <w:rsid w:val="7ADFD32E"/>
    <w:rsid w:val="7AF60351"/>
    <w:rsid w:val="7B1242A2"/>
    <w:rsid w:val="7B7952AA"/>
    <w:rsid w:val="7C4FBC58"/>
    <w:rsid w:val="7CA3FB67"/>
    <w:rsid w:val="7CADDB51"/>
    <w:rsid w:val="7CE90229"/>
    <w:rsid w:val="7DA9C2D3"/>
    <w:rsid w:val="7DABD907"/>
    <w:rsid w:val="7DED2F8D"/>
    <w:rsid w:val="7E3EFFA4"/>
    <w:rsid w:val="7F76C191"/>
    <w:rsid w:val="7FAA6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494D4C"/>
  <w15:docId w15:val="{71FE55FD-8EC8-4732-B9DE-EBD06FBC8CCA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67B12"/>
    <w:pPr>
      <w:spacing w:after="200" w:line="276" w:lineRule="auto"/>
      <w:jc w:val="both"/>
    </w:pPr>
    <w:rPr>
      <w:rFonts w:ascii="Arial" w:hAnsi="Arial" w:cs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3D305D"/>
    <w:pPr>
      <w:keepNext/>
      <w:keepLines/>
      <w:spacing w:before="240" w:after="240"/>
      <w:outlineLvl w:val="0"/>
    </w:pPr>
    <w:rPr>
      <w:rFonts w:eastAsiaTheme="majorEastAsia"/>
      <w:b/>
      <w:color w:val="000000"/>
      <w:sz w:val="44"/>
      <w:szCs w:val="36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C34DDE"/>
    <w:pPr>
      <w:outlineLvl w:val="1"/>
    </w:pPr>
    <w:rPr>
      <w:sz w:val="32"/>
      <w:szCs w:val="32"/>
      <w:lang w:eastAsia="es-ES"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0C0251"/>
    <w:pPr>
      <w:spacing w:before="200" w:after="100"/>
      <w:outlineLvl w:val="2"/>
    </w:pPr>
    <w:rPr>
      <w:sz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EncabezadoCar" w:customStyle="1">
    <w:name w:val="Encabezado Car"/>
    <w:basedOn w:val="Fuentedeprrafopredeter"/>
    <w:link w:val="Encabezado"/>
    <w:uiPriority w:val="99"/>
    <w:qFormat/>
    <w:rsid w:val="005E56A0"/>
  </w:style>
  <w:style w:type="character" w:styleId="PiedepginaCar" w:customStyle="1">
    <w:name w:val="Pie de página Car"/>
    <w:basedOn w:val="Fuentedeprrafopredeter"/>
    <w:link w:val="Piedepgina"/>
    <w:uiPriority w:val="99"/>
    <w:qFormat/>
    <w:rsid w:val="005E56A0"/>
  </w:style>
  <w:style w:type="character" w:styleId="TextodegloboCar" w:customStyle="1">
    <w:name w:val="Texto de globo Car"/>
    <w:basedOn w:val="Fuentedeprrafopredeter"/>
    <w:link w:val="Textodeglobo"/>
    <w:uiPriority w:val="99"/>
    <w:semiHidden/>
    <w:qFormat/>
    <w:rsid w:val="005E56A0"/>
    <w:rPr>
      <w:rFonts w:ascii="Tahoma" w:hAnsi="Tahoma" w:cs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qFormat/>
    <w:rsid w:val="003D305D"/>
    <w:rPr>
      <w:rFonts w:ascii="Arial" w:hAnsi="Arial" w:cs="Arial" w:eastAsiaTheme="majorEastAsia"/>
      <w:color w:val="000000" w:themeColor="text1"/>
      <w:sz w:val="44"/>
      <w:szCs w:val="36"/>
    </w:rPr>
  </w:style>
  <w:style w:type="character" w:styleId="TtuloCar" w:customStyle="1">
    <w:name w:val="Título Car"/>
    <w:basedOn w:val="Fuentedeprrafopredeter"/>
    <w:link w:val="Ttulo"/>
    <w:uiPriority w:val="10"/>
    <w:qFormat/>
    <w:rsid w:val="0066332F"/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Ttulo2Car" w:customStyle="1">
    <w:name w:val="Título 2 Car"/>
    <w:basedOn w:val="Fuentedeprrafopredeter"/>
    <w:link w:val="Ttulo2"/>
    <w:uiPriority w:val="9"/>
    <w:qFormat/>
    <w:rsid w:val="00C34DDE"/>
    <w:rPr>
      <w:rFonts w:ascii="Arial" w:hAnsi="Arial" w:cs="Arial" w:eastAsiaTheme="majorEastAsia"/>
      <w:color w:val="000000" w:themeColor="text1"/>
      <w:sz w:val="32"/>
      <w:szCs w:val="32"/>
      <w:lang w:eastAsia="es-ES"/>
    </w:rPr>
  </w:style>
  <w:style w:type="character" w:styleId="Ttulo3Car" w:customStyle="1">
    <w:name w:val="Título 3 Car"/>
    <w:basedOn w:val="Fuentedeprrafopredeter"/>
    <w:link w:val="Ttulo3"/>
    <w:uiPriority w:val="9"/>
    <w:qFormat/>
    <w:rsid w:val="000C0251"/>
    <w:rPr>
      <w:rFonts w:ascii="Arial" w:hAnsi="Arial" w:cs="Arial" w:eastAsiaTheme="majorEastAsia"/>
      <w:color w:val="000000" w:themeColor="text1"/>
      <w:sz w:val="32"/>
      <w:szCs w:val="32"/>
      <w:lang w:eastAsia="es-ES"/>
    </w:rPr>
  </w:style>
  <w:style w:type="character" w:styleId="EnlacedeInternet" w:customStyle="1">
    <w:name w:val="Enlace de Internet"/>
    <w:uiPriority w:val="99"/>
    <w:unhideWhenUsed/>
    <w:qFormat/>
    <w:rsid w:val="00AC09EB"/>
    <w:rPr>
      <w:color w:val="000080"/>
      <w:u w:val="single"/>
    </w:rPr>
  </w:style>
  <w:style w:type="character" w:styleId="MapadeldocumentoCar" w:customStyle="1">
    <w:name w:val="Mapa del documento Car"/>
    <w:basedOn w:val="Fuentedeprrafopredeter"/>
    <w:link w:val="Mapadeldocumento"/>
    <w:uiPriority w:val="99"/>
    <w:qFormat/>
    <w:rsid w:val="00F438E0"/>
    <w:rPr>
      <w:rFonts w:ascii="Tahoma" w:hAnsi="Tahoma" w:cs="Tahoma" w:eastAsiaTheme="minorEastAsia"/>
      <w:sz w:val="16"/>
      <w:szCs w:val="16"/>
      <w:lang w:eastAsia="es-ES"/>
    </w:rPr>
  </w:style>
  <w:style w:type="character" w:styleId="Enlacedelndice" w:customStyle="1">
    <w:name w:val="Enlace del índice"/>
    <w:qFormat/>
  </w:style>
  <w:style w:type="paragraph" w:styleId="Ttulo">
    <w:name w:val="Title"/>
    <w:basedOn w:val="Normal"/>
    <w:next w:val="Textoindependiente"/>
    <w:link w:val="TtuloCar"/>
    <w:uiPriority w:val="10"/>
    <w:qFormat/>
    <w:rsid w:val="0066332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Textoindependiente">
    <w:name w:val="Body Text"/>
    <w:basedOn w:val="Normal"/>
    <w:pPr>
      <w:spacing w:after="140" w:line="288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next w:val="Normal"/>
    <w:uiPriority w:val="35"/>
    <w:unhideWhenUsed/>
    <w:qFormat/>
    <w:rsid w:val="00B82A95"/>
    <w:pPr>
      <w:spacing w:before="80" w:after="160" w:line="240" w:lineRule="auto"/>
      <w:jc w:val="center"/>
    </w:pPr>
    <w:rPr>
      <w:rFonts w:ascii="Arial" w:hAnsi="Arial"/>
      <w:i/>
      <w:iCs/>
      <w:color w:val="000000"/>
      <w:sz w:val="18"/>
      <w:szCs w:val="18"/>
    </w:rPr>
  </w:style>
  <w:style w:type="paragraph" w:styleId="ndice" w:customStyle="1">
    <w:name w:val="Índice"/>
    <w:basedOn w:val="Normal"/>
    <w:qFormat/>
    <w:pPr>
      <w:suppressLineNumbers/>
    </w:pPr>
    <w:rPr>
      <w:rFonts w:cs="Lohit Devanagari"/>
    </w:rPr>
  </w:style>
  <w:style w:type="paragraph" w:styleId="Cabeceraypie" w:customStyle="1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5E56A0"/>
    <w:pPr>
      <w:tabs>
        <w:tab w:val="center" w:pos="4252"/>
        <w:tab w:val="right" w:pos="8504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5E56A0"/>
    <w:pPr>
      <w:tabs>
        <w:tab w:val="center" w:pos="4252"/>
        <w:tab w:val="right" w:pos="8504"/>
      </w:tabs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5E56A0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tuloTDC">
    <w:name w:val="TOC Heading"/>
    <w:basedOn w:val="Ttulo1"/>
    <w:next w:val="Normal"/>
    <w:uiPriority w:val="39"/>
    <w:unhideWhenUsed/>
    <w:qFormat/>
    <w:rsid w:val="00AC09EB"/>
    <w:pPr>
      <w:spacing w:after="0" w:line="259" w:lineRule="auto"/>
      <w:jc w:val="left"/>
    </w:pPr>
    <w:rPr>
      <w:rFonts w:asciiTheme="majorHAnsi" w:hAnsiTheme="majorHAnsi" w:cstheme="majorBidi"/>
      <w:color w:val="365F91" w:themeColor="accent1" w:themeShade="BF"/>
      <w:sz w:val="32"/>
      <w:szCs w:val="32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AC09E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C09EB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C09EB"/>
    <w:pPr>
      <w:spacing w:after="100"/>
      <w:ind w:left="440"/>
    </w:pPr>
  </w:style>
  <w:style w:type="paragraph" w:styleId="Prrafodelista">
    <w:name w:val="List Paragraph"/>
    <w:basedOn w:val="Normal"/>
    <w:uiPriority w:val="34"/>
    <w:qFormat/>
    <w:rsid w:val="0020312E"/>
    <w:pPr>
      <w:ind w:left="720"/>
      <w:contextualSpacing/>
    </w:pPr>
  </w:style>
  <w:style w:type="paragraph" w:styleId="Tabladeilustraciones">
    <w:name w:val="table of figures"/>
    <w:basedOn w:val="Normal"/>
    <w:next w:val="Normal"/>
    <w:uiPriority w:val="99"/>
    <w:unhideWhenUsed/>
    <w:qFormat/>
    <w:rsid w:val="002B75E8"/>
    <w:pPr>
      <w:spacing w:after="0"/>
    </w:pPr>
  </w:style>
  <w:style w:type="paragraph" w:styleId="Mapadeldocumento">
    <w:name w:val="Document Map"/>
    <w:basedOn w:val="Normal"/>
    <w:link w:val="MapadeldocumentoCar"/>
    <w:uiPriority w:val="99"/>
    <w:unhideWhenUsed/>
    <w:qFormat/>
    <w:rsid w:val="00F438E0"/>
    <w:pPr>
      <w:spacing w:after="0" w:line="240" w:lineRule="auto"/>
      <w:jc w:val="left"/>
    </w:pPr>
    <w:rPr>
      <w:rFonts w:ascii="Tahoma" w:hAnsi="Tahoma" w:cs="Tahoma" w:eastAsiaTheme="minorEastAsia"/>
      <w:sz w:val="16"/>
      <w:szCs w:val="16"/>
      <w:lang w:eastAsia="es-ES"/>
    </w:rPr>
  </w:style>
  <w:style w:type="paragraph" w:styleId="FrameContents" w:customStyle="1">
    <w:name w:val="Frame Contents"/>
    <w:basedOn w:val="Normal"/>
    <w:qFormat/>
  </w:style>
  <w:style w:type="paragraph" w:styleId="Contenidodelmarco" w:customStyle="1">
    <w:name w:val="Contenido del marco"/>
    <w:basedOn w:val="Normal"/>
    <w:qFormat/>
  </w:style>
  <w:style w:type="paragraph" w:styleId="Cabeceraizquierda" w:customStyle="1">
    <w:name w:val="Cabecera izquierda"/>
    <w:basedOn w:val="Encabezado"/>
    <w:qFormat/>
    <w:pPr>
      <w:suppressLineNumbers/>
    </w:pPr>
  </w:style>
  <w:style w:type="paragraph" w:styleId="Ttulodendice">
    <w:name w:val="index heading"/>
    <w:basedOn w:val="Ttulo"/>
    <w:pPr>
      <w:suppressLineNumbers/>
    </w:pPr>
    <w:rPr>
      <w:b/>
      <w:bCs/>
      <w:sz w:val="32"/>
      <w:szCs w:val="32"/>
    </w:rPr>
  </w:style>
  <w:style w:type="paragraph" w:styleId="Encabezadodelista">
    <w:name w:val="toa heading"/>
    <w:basedOn w:val="Ttulodendice"/>
    <w:qFormat/>
  </w:style>
  <w:style w:type="table" w:styleId="Tablaconcuadrcula">
    <w:name w:val="Table Grid"/>
    <w:basedOn w:val="Tablanormal"/>
    <w:uiPriority w:val="59"/>
    <w:rsid w:val="00E143B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vnculo">
    <w:name w:val="Hyperlink"/>
    <w:basedOn w:val="Fuentedeprrafopredeter"/>
    <w:uiPriority w:val="99"/>
    <w:unhideWhenUsed/>
    <w:rsid w:val="00C95FBD"/>
    <w:rPr>
      <w:color w:val="0000FF" w:themeColor="hyperlink"/>
      <w:u w:val="single"/>
    </w:rPr>
  </w:style>
  <w:style w:type="paragraph" w:styleId="SourceCode" w:customStyle="1">
    <w:name w:val="Source Code"/>
    <w:basedOn w:val="Normal"/>
    <w:pPr>
      <w:wordWrap w:val="0"/>
    </w:pPr>
  </w:style>
  <w:style w:type="character" w:styleId="KeywordTok" w:customStyle="1">
    <w:name w:val="KeywordTok"/>
    <w:rPr>
      <w:b/>
      <w:color w:val="007020"/>
    </w:rPr>
  </w:style>
  <w:style w:type="character" w:styleId="NormalTok" w:customStyle="1">
    <w:name w:val="NormalTok"/>
  </w:style>
  <w:style w:type="character" w:styleId="FunctionTok" w:customStyle="1">
    <w:name w:val="FunctionTok"/>
    <w:rPr>
      <w:color w:val="06287E"/>
    </w:rPr>
  </w:style>
  <w:style w:type="character" w:styleId="VariableTok" w:customStyle="1">
    <w:name w:val="VariableTok"/>
    <w:rPr>
      <w:color w:val="19177C"/>
    </w:rPr>
  </w:style>
  <w:style w:type="character" w:styleId="BuiltInTok" w:customStyle="1">
    <w:name w:val="BuiltInTok"/>
    <w:rPr>
      <w:color w:val="008000"/>
    </w:rPr>
  </w:style>
  <w:style w:type="character" w:styleId="OperatorTok" w:customStyle="1">
    <w:name w:val="OperatorTok"/>
    <w:rPr>
      <w:color w:val="666666"/>
    </w:rPr>
  </w:style>
  <w:style w:type="character" w:styleId="ControlFlowTok" w:customStyle="1">
    <w:name w:val="ControlFlowTok"/>
    <w:rPr>
      <w:b/>
      <w:color w:val="007020"/>
    </w:rPr>
  </w:style>
  <w:style w:type="character" w:styleId="ExtensionTok" w:customStyle="1">
    <w:name w:val="ExtensionTok"/>
  </w:style>
  <w:style w:type="character" w:styleId="AttributeTok" w:customStyle="1">
    <w:name w:val="AttributeTok"/>
    <w:rPr>
      <w:color w:val="7D9029"/>
    </w:rPr>
  </w:style>
  <w:style w:type="character" w:styleId="DataTypeTok" w:customStyle="1">
    <w:name w:val="DataTypeTok"/>
    <w:rPr>
      <w:color w:val="902000"/>
    </w:rPr>
  </w:style>
  <w:style w:type="character" w:styleId="StringTok" w:customStyle="1">
    <w:name w:val="StringTok"/>
    <w:rPr>
      <w:color w:val="4070A0"/>
    </w:rPr>
  </w:style>
  <w:style w:type="paragraph" w:styleId="TFMCode" w:customStyle="1">
    <w:name w:val="TFM Code"/>
    <w:basedOn w:val="Normal"/>
    <w:pPr>
      <w:spacing w:before="80" w:after="120" w:line="240" w:lineRule="auto"/>
      <w:ind w:left="142" w:right="85"/>
      <w:jc w:val="left"/>
    </w:pPr>
    <w:rPr>
      <w:rFonts w:ascii="Consolas" w:hAnsi="Consolas"/>
      <w:sz w:val="15"/>
    </w:rPr>
  </w:style>
  <w:style w:type="paragraph" w:styleId="TFMBibliography" w:customStyle="1">
    <w:name w:val="TFM Bibliography"/>
    <w:basedOn w:val="Normal"/>
    <w:pPr>
      <w:spacing w:after="120" w:line="240" w:lineRule="auto"/>
      <w:ind w:left="720" w:hanging="720"/>
    </w:pPr>
    <w:rPr>
      <w:rFonts w:ascii="Arial" w:hAnsi="Arial"/>
      <w:sz w:val="20"/>
    </w:rPr>
  </w:style>
  <w:style w:type="paragraph" w:styleId="TFMHighlight" w:customStyle="1">
    <w:name w:val="TFM Highlight"/>
    <w:basedOn w:val="Normal"/>
    <w:pPr>
      <w:spacing w:before="160" w:after="160" w:line="276" w:lineRule="auto"/>
      <w:ind w:left="397" w:right="397"/>
    </w:pPr>
    <w:rPr>
      <w:rFonts w:ascii="Arial" w:hAnsi="Arial"/>
      <w:i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hyperlink" Target="https://doi.org/10.1007/978-3-319-46723-8_49" TargetMode="External"/><Relationship Id="rId26" Type="http://schemas.openxmlformats.org/officeDocument/2006/relationships/hyperlink" Target="https://doi.org/10.1148/ryai.220231" TargetMode="External"/><Relationship Id="rId39" Type="http://schemas.openxmlformats.org/officeDocument/2006/relationships/hyperlink" Target="https://doi.org/10.1007/978-3-030-11726-9_28" TargetMode="External"/><Relationship Id="rId21" Type="http://schemas.openxmlformats.org/officeDocument/2006/relationships/hyperlink" Target="https://openreview.net/forum?id=YicbFdNTTy" TargetMode="External"/><Relationship Id="rId34" Type="http://schemas.openxmlformats.org/officeDocument/2006/relationships/hyperlink" Target="https://doi.org/10.1109/ICCV48922.2021.00986" TargetMode="External"/><Relationship Id="rId42" Type="http://schemas.openxmlformats.org/officeDocument/2006/relationships/hyperlink" Target="https://doi.org/10.1007/978-3-319-24574-4_28" TargetMode="External"/><Relationship Id="rId47" Type="http://schemas.openxmlformats.org/officeDocument/2006/relationships/hyperlink" Target="https://papers.nips.cc/paper_files/paper/2017/hash/3f5ee243547dee91fbd053c1c4a845aa-Abstract.html" TargetMode="External"/><Relationship Id="rId50" Type="http://schemas.openxmlformats.org/officeDocument/2006/relationships/hyperlink" Target="https://github.com/jesusferron/tfm-brain-tumor-segmentation" TargetMode="External"/><Relationship Id="rId55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doi.org/10.1002/mp.16321" TargetMode="External"/><Relationship Id="rId29" Type="http://schemas.openxmlformats.org/officeDocument/2006/relationships/hyperlink" Target="https://doi.org/10.1016/j.media.2016.10.004" TargetMode="External"/><Relationship Id="rId24" Type="http://schemas.openxmlformats.org/officeDocument/2006/relationships/hyperlink" Target="https://doi.org/10.1016/j.media.2016.05.004" TargetMode="External"/><Relationship Id="rId32" Type="http://schemas.openxmlformats.org/officeDocument/2006/relationships/hyperlink" Target="https://doi.org/10.1038/nrneurol.2017.44" TargetMode="External"/><Relationship Id="rId37" Type="http://schemas.openxmlformats.org/officeDocument/2006/relationships/hyperlink" Target="https://doi.org/10.1109/TMI.2014.2377694" TargetMode="External"/><Relationship Id="rId40" Type="http://schemas.openxmlformats.org/officeDocument/2006/relationships/hyperlink" Target="https://doi.org/10.48550/arXiv.1804.03999" TargetMode="External"/><Relationship Id="rId45" Type="http://schemas.openxmlformats.org/officeDocument/2006/relationships/hyperlink" Target="https://doi.org/10.1186/s12880-015-0068-x" TargetMode="External"/><Relationship Id="rId53" Type="http://schemas.openxmlformats.org/officeDocument/2006/relationships/header" Target="header2.xml"/><Relationship Id="rId5" Type="http://schemas.openxmlformats.org/officeDocument/2006/relationships/webSettings" Target="webSettings.xml"/><Relationship Id="rId19" Type="http://schemas.openxmlformats.org/officeDocument/2006/relationships/hyperlink" Target="https://doi.org/10.48550/arXiv.2405.18368" TargetMode="External"/><Relationship Id="rId4" Type="http://schemas.openxmlformats.org/officeDocument/2006/relationships/settings" Target="settings.xml"/><Relationship Id="rId14" Type="http://schemas.openxmlformats.org/officeDocument/2006/relationships/image" Target="media/image4.png"/><Relationship Id="rId22" Type="http://schemas.openxmlformats.org/officeDocument/2006/relationships/hyperlink" Target="https://doi.org/10.1001/jamanetworkopen.2022.25608" TargetMode="External"/><Relationship Id="rId27" Type="http://schemas.openxmlformats.org/officeDocument/2006/relationships/hyperlink" Target="https://doi.org/10.1109/34.232073" TargetMode="External"/><Relationship Id="rId30" Type="http://schemas.openxmlformats.org/officeDocument/2006/relationships/hyperlink" Target="https://doi.org/10.1038/s41698-024-00575-0" TargetMode="External"/><Relationship Id="rId35" Type="http://schemas.openxmlformats.org/officeDocument/2006/relationships/hyperlink" Target="https://doi.org/10.1109/CVPR.2015.7298965" TargetMode="External"/><Relationship Id="rId43" Type="http://schemas.openxmlformats.org/officeDocument/2006/relationships/hyperlink" Target="https://doi.org/10.1093/braincomms/fcad118" TargetMode="External"/><Relationship Id="rId48" Type="http://schemas.openxmlformats.org/officeDocument/2006/relationships/hyperlink" Target="https://doi.org/10.1007/978-3-030-87193-2_11" TargetMode="External"/><Relationship Id="rId56" Type="http://schemas.openxmlformats.org/officeDocument/2006/relationships/fontTable" Target="fontTable.xml"/><Relationship Id="rId8" Type="http://schemas.openxmlformats.org/officeDocument/2006/relationships/image" Target="media/image1.jpeg"/><Relationship Id="rId51" Type="http://schemas.openxmlformats.org/officeDocument/2006/relationships/hyperlink" Target="https://www.synapse.org/Synapse:syn53708249" TargetMode="External"/><Relationship Id="rId3" Type="http://schemas.openxmlformats.org/officeDocument/2006/relationships/styles" Target="styles.xml"/><Relationship Id="rId17" Type="http://schemas.openxmlformats.org/officeDocument/2006/relationships/hyperlink" Target="https://doi.org/10.48550/arXiv.2211.02701" TargetMode="External"/><Relationship Id="rId25" Type="http://schemas.openxmlformats.org/officeDocument/2006/relationships/hyperlink" Target="https://doi.org/10.1109/CVPR.2016.90" TargetMode="External"/><Relationship Id="rId33" Type="http://schemas.openxmlformats.org/officeDocument/2006/relationships/hyperlink" Target="https://doi.org/10.3389/fnins.2022.1000587" TargetMode="External"/><Relationship Id="rId38" Type="http://schemas.openxmlformats.org/officeDocument/2006/relationships/hyperlink" Target="https://doi.org/10.1109/3DV.2016.79" TargetMode="External"/><Relationship Id="rId46" Type="http://schemas.openxmlformats.org/officeDocument/2006/relationships/hyperlink" Target="https://doi.org/10.1109/CVPR52688.2022.02007" TargetMode="External"/><Relationship Id="rId20" Type="http://schemas.openxmlformats.org/officeDocument/2006/relationships/hyperlink" Target="https://doi.org/10.2307/1932409" TargetMode="External"/><Relationship Id="rId41" Type="http://schemas.openxmlformats.org/officeDocument/2006/relationships/hyperlink" Target="https://www.jmlr.org/papers/v22/20-303.html" TargetMode="External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hyperlink" Target="https://doi.org/10.1109/WACV51458.2022.00181" TargetMode="External"/><Relationship Id="rId28" Type="http://schemas.openxmlformats.org/officeDocument/2006/relationships/hyperlink" Target="https://doi.org/10.1038/s41592-020-01008-z" TargetMode="External"/><Relationship Id="rId36" Type="http://schemas.openxmlformats.org/officeDocument/2006/relationships/hyperlink" Target="https://proceedings.mlsys.org/paper_files/paper/2020/hash/411e39b117e885341f25efb8912945f7-Abstract.html" TargetMode="External"/><Relationship Id="rId49" Type="http://schemas.openxmlformats.org/officeDocument/2006/relationships/hyperlink" Target="https://doi.org/10.1016/j.patcog.2021.108417" TargetMode="External"/><Relationship Id="rId57" Type="http://schemas.openxmlformats.org/officeDocument/2006/relationships/theme" Target="theme/theme1.xml"/><Relationship Id="rId31" Type="http://schemas.openxmlformats.org/officeDocument/2006/relationships/hyperlink" Target="https://doi.org/10.1093/noajnl/vdac081" TargetMode="External"/><Relationship Id="rId44" Type="http://schemas.openxmlformats.org/officeDocument/2006/relationships/hyperlink" Target="https://doi.org/10.1109/TMI.2024.3398728" TargetMode="External"/><Relationship Id="rId52" Type="http://schemas.openxmlformats.org/officeDocument/2006/relationships/header" Target="header1.xml"/><Relationship Id="R1ca43e5aa9d74e8b" Type="http://schemas.openxmlformats.org/officeDocument/2006/relationships/header" Target="header3.xml"/><Relationship Id="R60b3f28a41e64a8f" Type="http://schemas.openxmlformats.org/officeDocument/2006/relationships/header" Target="header4.xml"/><Relationship Id="R974bbea84c934c1a" Type="http://schemas.openxmlformats.org/officeDocument/2006/relationships/footer" Target="footer3.xml"/><Relationship Id="Reacde8b01d3348db" Type="http://schemas.openxmlformats.org/officeDocument/2006/relationships/footer" Target="footer4.xml"/><Relationship Id="R27f223919ff8495d" Type="http://schemas.openxmlformats.org/officeDocument/2006/relationships/hyperlink" Target="https://github.com/Project-MONAI/MONAI" TargetMode="External"/><Relationship Id="Rdb6af17dc4504193" Type="http://schemas.openxmlformats.org/officeDocument/2006/relationships/hyperlink" Target="https://github.com/MIC-DKFZ/nnUNet" TargetMode="External"/><Relationship Id="R192708830a4c48f7" Type="http://schemas.openxmlformats.org/officeDocument/2006/relationships/hyperlink" Target="https://github.com/Rubics-Xuan/TransBTS" TargetMode="External"/><Relationship Id="R0ea53bb02b3a4f4d" Type="http://schemas.microsoft.com/office/2020/10/relationships/intelligence" Target="intelligence2.xml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F51251-26D7-4C0E-83A9-5BA2382BF72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Segmentación de tumores cerebrales en resonancia magnética multimodal mediante arquitecturas Transformer-UNet híbridas</dc:title>
  <dc:subject>Trabajo Fin de Máster</dc:subject>
  <dc:creator/>
  <keywords>segmentación 3D, resonancia magnética, BraTS-GLI 2024, fusión multimodal, deep learning</keywords>
  <dc:description/>
  <lastModifiedBy/>
  <revision>1</revision>
  <dcterms:created xsi:type="dcterms:W3CDTF">2026-07-23T12:05:19Z</dcterms:created>
  <dcterms:modified xsi:type="dcterms:W3CDTF">2026-07-23T12:05:19Z</dcterms:modified>
  <dc:language>es-ES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Hewlett-Packard Company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