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ABC43" w14:textId="77777777" w:rsidR="00906358" w:rsidRDefault="00A973DB">
      <w:pPr>
        <w:rPr>
          <w:b/>
          <w:sz w:val="52"/>
        </w:rPr>
      </w:pPr>
      <w:r>
        <w:rPr>
          <w:b/>
          <w:noProof/>
          <w:sz w:val="52"/>
        </w:rPr>
        <w:drawing>
          <wp:anchor distT="0" distB="0" distL="0" distR="0" simplePos="0" relativeHeight="43" behindDoc="1" locked="0" layoutInCell="1" allowOverlap="1" wp14:anchorId="4116A782" wp14:editId="1D250337">
            <wp:simplePos x="0" y="0"/>
            <wp:positionH relativeFrom="column">
              <wp:posOffset>-986155</wp:posOffset>
            </wp:positionH>
            <wp:positionV relativeFrom="paragraph">
              <wp:posOffset>-252095</wp:posOffset>
            </wp:positionV>
            <wp:extent cx="7555865" cy="10692130"/>
            <wp:effectExtent l="0" t="0" r="0" b="0"/>
            <wp:wrapNone/>
            <wp:docPr id="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86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55770" w14:textId="77777777" w:rsidR="00906358" w:rsidRDefault="00A973DB">
      <w:pPr>
        <w:jc w:val="left"/>
        <w:rPr>
          <w:b/>
          <w:sz w:val="52"/>
        </w:rPr>
      </w:pPr>
      <w:r>
        <w:rPr>
          <w:rFonts w:ascii="Arial" w:hAnsi="Arial" w:cs="Arial" w:eastAsia="Arial"/>
          <w:b/>
          <w:sz w:val="48"/>
        </w:rPr>
        <w:t>Segmentación de tumores cerebrales en resonancia magnética multimodal mediante arquitecturas Transformer-UNet híbridas</w:t>
      </w:r>
    </w:p>
    <w:p w14:paraId="23F862B1" w14:textId="77777777" w:rsidR="00906358" w:rsidRDefault="00906358"/>
    <w:p w14:paraId="0AEEF5A6" w14:textId="77777777" w:rsidR="00906358" w:rsidRDefault="00906358"/>
    <w:p w14:paraId="0C529083" w14:textId="77777777" w:rsidR="00906358" w:rsidRDefault="00906358"/>
    <w:p w14:paraId="567EB5B3" w14:textId="77777777" w:rsidR="00906358" w:rsidRDefault="00906358"/>
    <w:p w14:paraId="4D1371CB" w14:textId="77777777" w:rsidR="00906358" w:rsidRDefault="00906358">
      <w:pPr>
        <w:pStyle w:val="Footer"/>
        <w:rPr>
          <w:color w:val="FFFFFF" w:themeColor="background1"/>
          <w:sz w:val="20"/>
          <w:szCs w:val="20"/>
        </w:rPr>
      </w:pPr>
    </w:p>
    <w:p w14:paraId="7E01677D" w14:textId="77777777" w:rsidR="00906358" w:rsidRDefault="00906358">
      <w:pPr>
        <w:pStyle w:val="Footer"/>
        <w:rPr>
          <w:color w:val="FFFFFF" w:themeColor="background1"/>
          <w:sz w:val="20"/>
          <w:szCs w:val="20"/>
        </w:rPr>
      </w:pPr>
    </w:p>
    <w:p w14:paraId="16EC1216" w14:textId="77777777" w:rsidR="00906358" w:rsidRDefault="00906358">
      <w:pPr>
        <w:pStyle w:val="Footer"/>
        <w:rPr>
          <w:color w:val="FFFFFF" w:themeColor="background1"/>
          <w:sz w:val="20"/>
          <w:szCs w:val="20"/>
        </w:rPr>
      </w:pPr>
    </w:p>
    <w:p w14:paraId="797E8A37" w14:textId="77777777" w:rsidR="00906358" w:rsidRDefault="00906358">
      <w:pPr>
        <w:pStyle w:val="Footer"/>
        <w:rPr>
          <w:color w:val="FFFFFF" w:themeColor="background1"/>
          <w:sz w:val="20"/>
          <w:szCs w:val="20"/>
        </w:rPr>
      </w:pPr>
    </w:p>
    <w:p w14:paraId="068950FA" w14:textId="77777777" w:rsidR="00906358" w:rsidRDefault="00906358">
      <w:pPr>
        <w:pStyle w:val="Footer"/>
        <w:rPr>
          <w:color w:val="FFFFFF" w:themeColor="background1"/>
          <w:sz w:val="20"/>
          <w:szCs w:val="20"/>
        </w:rPr>
      </w:pPr>
    </w:p>
    <w:tbl>
      <w:tblPr>
        <w:tblStyle w:val="TableGrid"/>
        <w:tblpPr w:leftFromText="141" w:rightFromText="141" w:vertAnchor="text" w:horzAnchor="margin" w:tblpY="7090"/>
        <w:tblW w:w="9419" w:type="dxa"/>
        <w:tblLook w:val="04A0" w:firstRow="1" w:lastRow="0" w:firstColumn="1" w:lastColumn="0" w:noHBand="0" w:noVBand="1"/>
      </w:tblPr>
      <w:tblGrid>
        <w:gridCol w:w="3061"/>
        <w:gridCol w:w="3293"/>
        <w:gridCol w:w="3065"/>
      </w:tblGrid>
      <w:tr w:rsidR="00ED5BE2" w:rsidRPr="00ED5BE2" w14:paraId="47247683" w14:textId="77777777" w:rsidTr="00ED5BE2">
        <w:trPr>
          <w:trHeight w:val="2160"/>
        </w:trPr>
        <w:tc>
          <w:tcPr>
            <w:tcW w:w="3061" w:type="dxa"/>
            <w:tcBorders>
              <w:top w:val="nil"/>
              <w:left w:val="single" w:sz="48" w:space="0" w:color="FFFFFF"/>
              <w:bottom w:val="nil"/>
              <w:right w:val="single" w:sz="48" w:space="0" w:color="FFFFFF"/>
            </w:tcBorders>
          </w:tcPr>
          <w:p w14:paraId="5AAF53FC" w14:textId="77777777" w:rsidR="00ED5BE2" w:rsidRPr="003424CA" w:rsidRDefault="00ED5BE2" w:rsidP="00ED5BE2">
            <w:pPr>
              <w:rPr>
                <w:color w:val="FFFFFF" w:themeColor="background1"/>
              </w:rPr>
            </w:pPr>
            <w:r w:rsidRPr="003424CA">
              <w:rPr>
                <w:rFonts w:ascii="Arial" w:hAnsi="Arial" w:cs="Arial" w:eastAsia="Arial"/>
                <w:color w:val="FFFFFF"/>
                <w:sz w:val="19"/>
              </w:rPr>
              <w:t>Titulación:</w:t>
            </w:r>
          </w:p>
          <w:p w14:paraId="1335C357" w14:textId="77777777" w:rsidR="00ED5BE2" w:rsidRPr="003424CA" w:rsidRDefault="00ED5BE2" w:rsidP="00ED5BE2">
            <w:pPr>
              <w:rPr>
                <w:color w:val="FFFFFF" w:themeColor="background1"/>
              </w:rPr>
            </w:pPr>
            <w:r w:rsidRPr="003424CA">
              <w:rPr>
                <w:rFonts w:ascii="Arial" w:hAnsi="Arial" w:cs="Arial" w:eastAsia="Arial"/>
                <w:color w:val="FFFFFF"/>
                <w:sz w:val="19"/>
              </w:rPr>
              <w:t>PENDIENTE</w:t>
            </w:r>
          </w:p>
          <w:p w14:paraId="10939D73" w14:textId="77777777" w:rsidR="00ED5BE2" w:rsidRPr="003424CA" w:rsidRDefault="00ED5BE2" w:rsidP="00ED5BE2">
            <w:pPr>
              <w:rPr>
                <w:color w:val="FFFFFF" w:themeColor="background1"/>
              </w:rPr>
            </w:pPr>
            <w:r w:rsidRPr="003424CA">
              <w:rPr>
                <w:rFonts w:ascii="Arial" w:hAnsi="Arial" w:cs="Arial" w:eastAsia="Arial"/>
                <w:color w:val="FFFFFF"/>
                <w:sz w:val="19"/>
              </w:rPr>
              <w:t xml:space="preserve">Curso académico </w:t>
            </w:r>
          </w:p>
          <w:p w14:paraId="0A0C0B23" w14:textId="77777777" w:rsidR="00ED5BE2" w:rsidRPr="003424CA" w:rsidRDefault="00ED5BE2" w:rsidP="00ED5BE2">
            <w:pPr>
              <w:rPr>
                <w:color w:val="FFFFFF" w:themeColor="background1"/>
              </w:rPr>
            </w:pPr>
            <w:r w:rsidRPr="003424CA">
              <w:rPr>
                <w:rFonts w:ascii="Arial" w:hAnsi="Arial" w:cs="Arial" w:eastAsia="Arial"/>
                <w:color w:val="FFFFFF"/>
                <w:sz w:val="19"/>
              </w:rPr>
              <w:t>PENDIENTE</w:t>
            </w:r>
          </w:p>
        </w:tc>
        <w:tc>
          <w:tcPr>
            <w:tcW w:w="3293" w:type="dxa"/>
            <w:tcBorders>
              <w:top w:val="nil"/>
              <w:left w:val="single" w:sz="48" w:space="0" w:color="FFFFFF"/>
              <w:bottom w:val="nil"/>
              <w:right w:val="single" w:sz="48" w:space="0" w:color="FFFFFF"/>
            </w:tcBorders>
          </w:tcPr>
          <w:p w14:paraId="6B2C4523" w14:textId="77777777" w:rsidR="003424CA" w:rsidRDefault="00ED5BE2" w:rsidP="00ED5BE2">
            <w:pPr>
              <w:rPr>
                <w:color w:val="FFFFFF" w:themeColor="background1"/>
              </w:rPr>
            </w:pPr>
            <w:r w:rsidRPr="003424CA">
              <w:rPr>
                <w:rFonts w:ascii="Arial" w:hAnsi="Arial" w:cs="Arial" w:eastAsia="Arial"/>
                <w:color w:val="FFFFFF"/>
                <w:sz w:val="19"/>
              </w:rPr>
              <w:t xml:space="preserve">Alumno/a: </w:t>
            </w:r>
          </w:p>
          <w:p w14:paraId="0B1406B3" w14:textId="2714FCA0" w:rsidR="00ED5BE2" w:rsidRPr="003424CA" w:rsidRDefault="00ED5BE2" w:rsidP="00ED5BE2">
            <w:pPr>
              <w:rPr>
                <w:color w:val="FFFFFF" w:themeColor="background1"/>
              </w:rPr>
            </w:pPr>
            <w:r w:rsidRPr="003424CA">
              <w:rPr>
                <w:rFonts w:ascii="Arial" w:hAnsi="Arial" w:cs="Arial" w:eastAsia="Arial"/>
                <w:color w:val="FFFFFF"/>
                <w:sz w:val="19"/>
              </w:rPr>
              <w:t>PENDIENTE</w:t>
            </w:r>
            <w:proofErr w:type="spellStart"/>
            <w:r w:rsidRPr="003424CA">
              <w:rPr>
                <w:rFonts w:ascii="Arial" w:hAnsi="Arial" w:cs="Arial" w:eastAsia="Arial"/>
                <w:color w:val="FFFFFF"/>
                <w:sz w:val="19"/>
              </w:rPr>
            </w:r>
            <w:proofErr w:type="spellEnd"/>
            <w:r w:rsidRPr="003424CA">
              <w:rPr>
                <w:rFonts w:ascii="Arial" w:hAnsi="Arial" w:cs="Arial" w:eastAsia="Arial"/>
                <w:color w:val="FFFFFF"/>
                <w:sz w:val="19"/>
              </w:rPr>
            </w:r>
          </w:p>
          <w:p w14:paraId="1A51B15C" w14:textId="77777777" w:rsidR="00ED5BE2" w:rsidRPr="003424CA" w:rsidRDefault="00ED5BE2" w:rsidP="00ED5BE2">
            <w:pPr>
              <w:rPr>
                <w:color w:val="FFFFFF" w:themeColor="background1"/>
              </w:rPr>
            </w:pPr>
            <w:r w:rsidRPr="003424CA">
              <w:rPr>
                <w:rFonts w:ascii="Arial" w:hAnsi="Arial" w:cs="Arial" w:eastAsia="Arial"/>
                <w:color w:val="FFFFFF"/>
                <w:sz w:val="19"/>
              </w:rPr>
              <w:t>D.N.I.: PENDIENTE</w:t>
            </w:r>
          </w:p>
          <w:p w14:paraId="6BF023C0" w14:textId="77777777" w:rsidR="00ED5BE2" w:rsidRPr="003424CA" w:rsidRDefault="00ED5BE2" w:rsidP="00ED5BE2">
            <w:pPr>
              <w:rPr>
                <w:color w:val="FFFFFF" w:themeColor="background1"/>
              </w:rPr>
            </w:pPr>
            <w:r w:rsidRPr="003424CA">
              <w:rPr>
                <w:rFonts w:ascii="Arial" w:hAnsi="Arial" w:cs="Arial" w:eastAsia="Arial"/>
                <w:color w:val="FFFFFF"/>
                <w:sz w:val="19"/>
              </w:rPr>
              <w:t>Director/a de TFM: PENDIENTE</w:t>
            </w:r>
          </w:p>
        </w:tc>
        <w:tc>
          <w:tcPr>
            <w:tcW w:w="3065" w:type="dxa"/>
            <w:tcBorders>
              <w:top w:val="nil"/>
              <w:left w:val="single" w:sz="48" w:space="0" w:color="FFFFFF"/>
              <w:bottom w:val="nil"/>
              <w:right w:val="nil"/>
            </w:tcBorders>
          </w:tcPr>
          <w:p w14:paraId="7698619A" w14:textId="77777777" w:rsidR="00ED5BE2" w:rsidRPr="003424CA" w:rsidRDefault="00ED5BE2" w:rsidP="00ED5BE2">
            <w:pPr>
              <w:rPr>
                <w:color w:val="FFFFFF" w:themeColor="background1"/>
              </w:rPr>
            </w:pPr>
            <w:r w:rsidRPr="003424CA">
              <w:rPr>
                <w:rFonts w:ascii="Arial" w:hAnsi="Arial" w:cs="Arial" w:eastAsia="Arial"/>
                <w:color w:val="FFFFFF"/>
                <w:sz w:val="19"/>
              </w:rPr>
              <w:t>Convocatoria:</w:t>
            </w:r>
          </w:p>
          <w:p w14:paraId="4EE53DAA" w14:textId="77777777" w:rsidR="00ED5BE2" w:rsidRPr="003424CA" w:rsidRDefault="00ED5BE2" w:rsidP="00ED5BE2">
            <w:pPr>
              <w:rPr>
                <w:color w:val="FFFFFF" w:themeColor="background1"/>
              </w:rPr>
            </w:pPr>
          </w:p>
          <w:p w14:paraId="4B7B922D" w14:textId="77777777" w:rsidR="00ED5BE2" w:rsidRPr="003424CA" w:rsidRDefault="00ED5BE2" w:rsidP="00ED5BE2">
            <w:pPr>
              <w:rPr>
                <w:color w:val="FFFFFF" w:themeColor="background1"/>
              </w:rPr>
            </w:pPr>
            <w:r w:rsidRPr="003424CA">
              <w:rPr>
                <w:rFonts w:ascii="Arial" w:hAnsi="Arial" w:cs="Arial" w:eastAsia="Arial"/>
                <w:color w:val="FFFFFF"/>
                <w:sz w:val="19"/>
              </w:rPr>
              <w:t>PENDIENTE</w:t>
            </w:r>
          </w:p>
          <w:p w14:paraId="5EA3A602" w14:textId="77777777" w:rsidR="00ED5BE2" w:rsidRPr="003424CA" w:rsidRDefault="00ED5BE2" w:rsidP="00ED5BE2">
            <w:pPr>
              <w:rPr>
                <w:color w:val="FFFFFF" w:themeColor="background1"/>
              </w:rPr>
            </w:pPr>
          </w:p>
        </w:tc>
      </w:tr>
    </w:tbl>
    <w:p w14:paraId="5CF436FF" w14:textId="13AE76EC" w:rsidR="00906358" w:rsidRPr="00ED5BE2" w:rsidRDefault="00A973DB">
      <w:pPr>
        <w:pStyle w:val="Footer"/>
        <w:rPr>
          <w:sz w:val="20"/>
          <w:szCs w:val="20"/>
        </w:rPr>
      </w:pPr>
      <w:r w:rsidRPr="003424CA">
        <w:rPr>
          <w:rFonts w:ascii="Arial" w:hAnsi="Arial" w:cs="Arial" w:eastAsia="Arial"/>
          <w:sz w:val="20"/>
          <w:szCs w:val="20"/>
        </w:rPr>
        <w:t>PENDIENTE</w:t>
      </w:r>
      <w:proofErr w:type="gramStart"/>
      <w:r w:rsidRPr="003424CA">
        <w:rPr>
          <w:rFonts w:ascii="Arial" w:hAnsi="Arial" w:cs="Arial" w:eastAsia="Arial"/>
          <w:sz w:val="20"/>
          <w:szCs w:val="20"/>
        </w:rPr>
      </w:r>
      <w:proofErr w:type="gramEnd"/>
      <w:r w:rsidRPr="003424CA">
        <w:rPr>
          <w:rFonts w:ascii="Arial" w:hAnsi="Arial" w:cs="Arial" w:eastAsia="Arial"/>
          <w:sz w:val="20"/>
          <w:szCs w:val="20"/>
        </w:rPr>
      </w:r>
      <w:r w:rsidR="003424CA">
        <w:rPr>
          <w:rFonts w:ascii="Arial" w:hAnsi="Arial" w:cs="Arial" w:eastAsia="Arial"/>
          <w:sz w:val="20"/>
          <w:szCs w:val="20"/>
        </w:rPr>
      </w:r>
    </w:p>
    <w:p w14:paraId="1FEECCF9" w14:textId="77777777" w:rsidR="00906358" w:rsidRDefault="00906358">
      <w:pPr>
        <w:sectPr w:rsidR="00906358">
          <w:pgSz w:w="11906" w:h="16838"/>
          <w:pgMar w:top="708" w:right="1701" w:bottom="794" w:left="1701" w:header="0" w:footer="0" w:gutter="0"/>
          <w:pgNumType w:start="1"/>
          <w:cols w:space="720"/>
          <w:formProt w:val="0"/>
          <w:docGrid w:linePitch="360"/>
        </w:sectPr>
      </w:pPr>
    </w:p>
    <w:bookmarkStart w:id="0" w:name="resumen"/>
    <w:p>
      <w:pPr>
        <w:keepNext/>
        <w:keepLines/>
        <w:pageBreakBefore w:val="0"/>
        <w:numPr>
          <w:numId w:val="0"/>
        </w:numPr>
        <w:pStyle w:val="Heading1"/>
        <w:rPr>
          <w:lang w:val="es-ES"/>
        </w:rPr>
      </w:pPr>
      <w:r>
        <w:rPr>
          <w:lang w:val="es-ES"/>
        </w:rPr>
        <w:t xml:space="preserve">Resumen</w:t>
      </w:r>
    </w:p>
    <w:p>
      <w:pPr>
        <w:rPr>
          <w:lang w:val="es-ES"/>
        </w:rPr>
      </w:pPr>
      <w:r>
        <w:rPr>
          <w:lang w:val="es-ES"/>
        </w:rPr>
        <w:t xml:space="preserve">La segmentación automática de gliomas en resonancia magnética multimodal puede facilitar la</w:t>
      </w:r>
      <w:r>
        <w:rPr>
          <w:lang w:val="es-ES"/>
        </w:rPr>
        <w:t xml:space="preserve"> </w:t>
      </w:r>
      <w:r>
        <w:rPr>
          <w:lang w:val="es-ES"/>
        </w:rPr>
        <w:t xml:space="preserve">cuantificación de las regiones tumorales, pero exige integrar información complementaria de las</w:t>
      </w:r>
      <w:r>
        <w:rPr>
          <w:lang w:val="es-ES"/>
        </w:rPr>
        <w:t xml:space="preserve"> </w:t>
      </w:r>
      <w:r>
        <w:rPr>
          <w:lang w:val="es-ES"/>
        </w:rPr>
        <w:t xml:space="preserve">secuencias T1 nativa, T1 con contraste, T2 y FLAIR. Este Trabajo de Fin de Máster estudia si una</w:t>
      </w:r>
      <w:r>
        <w:rPr>
          <w:lang w:val="es-ES"/>
        </w:rPr>
        <w:t xml:space="preserve"> </w:t>
      </w:r>
      <w:r>
        <w:rPr>
          <w:lang w:val="es-ES"/>
        </w:rPr>
        <w:t xml:space="preserve">ponderación explícita, adaptativa y ligera de estas modalidades mejora la segmentación 3D frente a</w:t>
      </w:r>
      <w:r>
        <w:rPr>
          <w:lang w:val="es-ES"/>
        </w:rPr>
        <w:t xml:space="preserve"> </w:t>
      </w:r>
      <w:r>
        <w:rPr>
          <w:lang w:val="es-ES"/>
        </w:rPr>
        <w:t xml:space="preserve">su concatenación directa. Para ello se construyó un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reproducible basado en MONAI y</w:t>
      </w:r>
      <w:r>
        <w:rPr>
          <w:lang w:val="es-ES"/>
        </w:rPr>
        <w:t xml:space="preserve"> </w:t>
      </w:r>
      <w:r>
        <w:rPr>
          <w:lang w:val="es-ES"/>
        </w:rPr>
        <w:t xml:space="preserve">PyTorch sobre BraTS-GLI 2024, con control de calidad, particiones versionadas, entrenamiento por</w:t>
      </w:r>
      <w:r>
        <w:rPr>
          <w:lang w:val="es-ES"/>
        </w:rPr>
        <w:t xml:space="preserve"> </w:t>
      </w:r>
      <w:r>
        <w:rPr>
          <w:lang w:val="es-ES"/>
        </w:rPr>
        <w:t xml:space="preserve">parches, inferencia por ventana deslizante y evaluación mediante Dice y HD95 para el tumor</w:t>
      </w:r>
      <w:r>
        <w:rPr>
          <w:lang w:val="es-ES"/>
        </w:rPr>
        <w:t xml:space="preserve"> </w:t>
      </w:r>
      <w:r>
        <w:rPr>
          <w:lang w:val="es-ES"/>
        </w:rPr>
        <w:t xml:space="preserve">realzante (ET), el núcleo tumoral (TC) y el tumor completo (WT).</w:t>
      </w:r>
    </w:p>
    <w:p>
      <w:pPr>
        <w:rPr>
          <w:lang w:val="es-ES"/>
        </w:rPr>
      </w:pPr>
      <w:r>
        <w:rPr>
          <w:lang w:val="es-ES"/>
        </w:rPr>
        <w:t xml:space="preserve">La comparación principal mantuvo fija una Residual U-Net 3D y evaluó, con tres semillas y un</w:t>
      </w:r>
      <w:r>
        <w:rPr>
          <w:lang w:val="es-ES"/>
        </w:rPr>
        <w:t xml:space="preserve"> </w:t>
      </w:r>
      <w:r>
        <w:rPr>
          <w:lang w:val="es-ES"/>
        </w:rPr>
        <w:t xml:space="preserve">presupuesto común de 15.000 pasos, la concatenación, una ponderación global estática y dos</w:t>
      </w:r>
      <w:r>
        <w:rPr>
          <w:lang w:val="es-ES"/>
        </w:rPr>
        <w:t xml:space="preserve"> </w:t>
      </w:r>
      <w:r>
        <w:rPr>
          <w:lang w:val="es-ES"/>
        </w:rPr>
        <w:t xml:space="preserve">compuertas adaptativas. La concatenación alcanzó un Dice medio de 0,706 ± 0,005 y la ponderación</w:t>
      </w:r>
      <w:r>
        <w:rPr>
          <w:lang w:val="es-ES"/>
        </w:rPr>
        <w:t xml:space="preserve"> </w:t>
      </w:r>
      <w:r>
        <w:rPr>
          <w:lang w:val="es-ES"/>
        </w:rPr>
        <w:t xml:space="preserve">global 0,706 ± 0,006. Las variantes adaptativas obtuvieron 0,586 ± 0,169 y 0,592 ± 0,171,</w:t>
      </w:r>
      <w:r>
        <w:rPr>
          <w:lang w:val="es-ES"/>
        </w:rPr>
        <w:t xml:space="preserve"> </w:t>
      </w:r>
      <w:r>
        <w:rPr>
          <w:lang w:val="es-ES"/>
        </w:rPr>
        <w:t xml:space="preserve">respectivamente; en cada una apareció una corrida de bajo rendimiento entre las tres repeticiones.</w:t>
      </w:r>
      <w:r>
        <w:rPr>
          <w:lang w:val="es-ES"/>
        </w:rPr>
        <w:t xml:space="preserve"> </w:t>
      </w:r>
      <w:r>
        <w:rPr>
          <w:lang w:val="es-ES"/>
        </w:rPr>
        <w:t xml:space="preserve">Por tanto, en las condiciones evaluadas no se obtuvo evidencia de que las compuertas propuestas</w:t>
      </w:r>
      <w:r>
        <w:rPr>
          <w:lang w:val="es-ES"/>
        </w:rPr>
        <w:t xml:space="preserve"> </w:t>
      </w:r>
      <w:r>
        <w:rPr>
          <w:lang w:val="es-ES"/>
        </w:rPr>
        <w:t xml:space="preserve">mejoren de forma consistente la concatenación. El análisis de sus pesos mostró además muy poca</w:t>
      </w:r>
      <w:r>
        <w:rPr>
          <w:lang w:val="es-ES"/>
        </w:rPr>
        <w:t xml:space="preserve"> </w:t>
      </w:r>
      <w:r>
        <w:rPr>
          <w:lang w:val="es-ES"/>
        </w:rPr>
        <w:t xml:space="preserve">variación entre estudios, resultado compatible con una señal de condicionamiento limitada, aunque</w:t>
      </w:r>
      <w:r>
        <w:rPr>
          <w:lang w:val="es-ES"/>
        </w:rPr>
        <w:t xml:space="preserve"> </w:t>
      </w:r>
      <w:r>
        <w:rPr>
          <w:lang w:val="es-ES"/>
        </w:rPr>
        <w:t xml:space="preserve">no permite establecer la causa del rendimiento observado.</w:t>
      </w:r>
    </w:p>
    <w:p>
      <w:pPr>
        <w:rPr>
          <w:lang w:val="es-ES"/>
        </w:rPr>
      </w:pPr>
      <w:r>
        <w:rPr>
          <w:lang w:val="es-ES"/>
        </w:rPr>
        <w:t xml:space="preserve">Como contextualización arquitectónica, Swin-UNETR obtuvo 0,752 ± 0,017 y Attention U-Net</w:t>
      </w:r>
      <w:r>
        <w:rPr>
          <w:lang w:val="es-ES"/>
        </w:rPr>
        <w:t xml:space="preserve"> </w:t>
      </w:r>
      <w:r>
        <w:rPr>
          <w:lang w:val="es-ES"/>
        </w:rPr>
        <w:t xml:space="preserve">0,735 ± 0,006. Una única corrida de nnU-Net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3d_fullres</w:t>
      </w:r>
      <w:r>
        <w:rPr>
          <w:lang w:val="es-ES"/>
        </w:rPr>
        <w:t xml:space="preserve">, empleada como referencia externa, alcanzó</w:t>
      </w:r>
      <w:r>
        <w:rPr>
          <w:lang w:val="es-ES"/>
        </w:rPr>
        <w:t xml:space="preserve"> </w:t>
      </w:r>
      <w:r>
        <w:rPr>
          <w:lang w:val="es-ES"/>
        </w:rPr>
        <w:t xml:space="preserve">0,829. Estas cifras se interpretan descriptivamente porque nnU-Net utiliza un protocolo propio y</w:t>
      </w:r>
      <w:r>
        <w:rPr>
          <w:lang w:val="es-ES"/>
        </w:rPr>
        <w:t xml:space="preserve"> </w:t>
      </w:r>
      <w:r>
        <w:rPr>
          <w:lang w:val="es-ES"/>
        </w:rPr>
        <w:t xml:space="preserve">porque no todas las familias comparten exactamente el entorno y la inferencia. La partición de</w:t>
      </w:r>
      <w:r>
        <w:rPr>
          <w:lang w:val="es-ES"/>
        </w:rPr>
        <w:t xml:space="preserve"> </w:t>
      </w:r>
      <w:r>
        <w:rPr>
          <w:lang w:val="es-ES"/>
        </w:rPr>
        <w:t xml:space="preserve">evaluación se generó por estudio, no por sujeto, por lo que existe solapamiento longitudinal de</w:t>
      </w:r>
      <w:r>
        <w:rPr>
          <w:lang w:val="es-ES"/>
        </w:rPr>
        <w:t xml:space="preserve"> </w:t>
      </w:r>
      <w:r>
        <w:rPr>
          <w:lang w:val="es-ES"/>
        </w:rPr>
        <w:t xml:space="preserve">sujetos entre particiones y los resultados no representan una estimación independiente de</w:t>
      </w:r>
      <w:r>
        <w:rPr>
          <w:lang w:val="es-ES"/>
        </w:rPr>
        <w:t xml:space="preserve"> </w:t>
      </w:r>
      <w:r>
        <w:rPr>
          <w:lang w:val="es-ES"/>
        </w:rPr>
        <w:t xml:space="preserve">generalización a pacientes nuevos. Esto no invalida la comparación interna bajo el reparto común,</w:t>
      </w:r>
      <w:r>
        <w:rPr>
          <w:lang w:val="es-ES"/>
        </w:rPr>
        <w:t xml:space="preserve"> </w:t>
      </w:r>
      <w:r>
        <w:rPr>
          <w:lang w:val="es-ES"/>
        </w:rPr>
        <w:t xml:space="preserve">pero limita la interpretación clínica de sus valores. La conclusión se restringe a los mecanismos</w:t>
      </w:r>
      <w:r>
        <w:rPr>
          <w:lang w:val="es-ES"/>
        </w:rPr>
        <w:t xml:space="preserve"> </w:t>
      </w:r>
      <w:r>
        <w:rPr>
          <w:lang w:val="es-ES"/>
        </w:rPr>
        <w:t xml:space="preserve">de fusión temprana y al protocolo analizado: la concatenación fue la alternativa más parsimoniosa y</w:t>
      </w:r>
      <w:r>
        <w:rPr>
          <w:lang w:val="es-ES"/>
        </w:rPr>
        <w:t xml:space="preserve"> </w:t>
      </w:r>
      <w:r>
        <w:rPr>
          <w:lang w:val="es-ES"/>
        </w:rPr>
        <w:t xml:space="preserve">una de las de menor variabilidad, sin que ello implique que otras formulaciones de fusión adaptativa</w:t>
      </w:r>
      <w:r>
        <w:rPr>
          <w:lang w:val="es-ES"/>
        </w:rPr>
        <w:t xml:space="preserve"> </w:t>
      </w:r>
      <w:r>
        <w:rPr>
          <w:lang w:val="es-ES"/>
        </w:rPr>
        <w:t xml:space="preserve">sean ineficaces.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Palabras clave:</w:t>
      </w:r>
      <w:r>
        <w:rPr>
          <w:lang w:val="es-ES"/>
        </w:rPr>
        <w:t xml:space="preserve"> </w:t>
      </w:r>
      <w:r>
        <w:rPr>
          <w:lang w:val="es-ES"/>
        </w:rPr>
        <w:t xml:space="preserve">segmentación de gliomas; resonancia magnética multimodal; BraTS-GLI 2024;</w:t>
      </w:r>
      <w:r>
        <w:rPr>
          <w:lang w:val="es-ES"/>
        </w:rPr>
        <w:t xml:space="preserve"> </w:t>
      </w:r>
      <w:r>
        <w:rPr>
          <w:lang w:val="es-ES"/>
        </w:rPr>
        <w:t xml:space="preserve">aprendizaje profundo; fusión adaptativa; MONAI; segmentación 3D.</w:t>
      </w:r>
    </w:p>
    <w:bookmarkEnd w:id="0"/>
    <w:bookmarkStart w:id="1" w:name="abstract"/>
    <w:p>
      <w:pPr>
        <w:keepNext/>
        <w:keepLines/>
        <w:pageBreakBefore/>
        <w:numPr>
          <w:numId w:val="0"/>
        </w:numPr>
        <w:pStyle w:val="Heading1"/>
        <w:rPr>
          <w:lang w:val="en-US"/>
        </w:rPr>
      </w:pPr>
      <w:r>
        <w:rPr>
          <w:lang w:val="en-US"/>
        </w:rPr>
        <w:t xml:space="preserve">Abstract</w:t>
      </w:r>
    </w:p>
    <w:p>
      <w:pPr>
        <w:rPr>
          <w:lang w:val="en-US"/>
        </w:rPr>
      </w:pPr>
      <w:r>
        <w:rPr>
          <w:lang w:val="en-US"/>
        </w:rPr>
        <w:t xml:space="preserve">Automatic glioma segmentation from multimodal magnetic resonance imaging may support quantitative</w:t>
      </w:r>
      <w:r>
        <w:rPr>
          <w:lang w:val="en-US"/>
        </w:rPr>
        <w:t xml:space="preserve"> </w:t>
      </w:r>
      <w:r>
        <w:rPr>
          <w:lang w:val="en-US"/>
        </w:rPr>
        <w:t xml:space="preserve">assessment of tumour regions, but it requires integrating complementary information from native T1,</w:t>
      </w:r>
      <w:r>
        <w:rPr>
          <w:lang w:val="en-US"/>
        </w:rPr>
        <w:t xml:space="preserve"> </w:t>
      </w:r>
      <w:r>
        <w:rPr>
          <w:lang w:val="en-US"/>
        </w:rPr>
        <w:t xml:space="preserve">contrast-enhanced T1, T2, and FLAIR sequences. This Master’s Thesis investigates whether an</w:t>
      </w:r>
      <w:r>
        <w:rPr>
          <w:lang w:val="en-US"/>
        </w:rPr>
        <w:t xml:space="preserve"> </w:t>
      </w:r>
      <w:r>
        <w:rPr>
          <w:lang w:val="en-US"/>
        </w:rPr>
        <w:t xml:space="preserve">explicit, lightweight, input-conditioned weighting of these modalities improves 3D segmentation</w:t>
      </w:r>
      <w:r>
        <w:rPr>
          <w:lang w:val="en-US"/>
        </w:rPr>
        <w:t xml:space="preserve"> </w:t>
      </w:r>
      <w:r>
        <w:rPr>
          <w:lang w:val="en-US"/>
        </w:rPr>
        <w:t xml:space="preserve">over direct channel concatenation. A reproducible MONAI- and PyTorch-based pipeline was developed</w:t>
      </w:r>
      <w:r>
        <w:rPr>
          <w:lang w:val="en-US"/>
        </w:rPr>
        <w:t xml:space="preserve"> </w:t>
      </w:r>
      <w:r>
        <w:rPr>
          <w:lang w:val="en-US"/>
        </w:rPr>
        <w:t xml:space="preserve">for BraTS-GLI 2024, covering quality control, versioned data partitions, patch-based training,</w:t>
      </w:r>
      <w:r>
        <w:rPr>
          <w:lang w:val="en-US"/>
        </w:rPr>
        <w:t xml:space="preserve"> </w:t>
      </w:r>
      <w:r>
        <w:rPr>
          <w:lang w:val="en-US"/>
        </w:rPr>
        <w:t xml:space="preserve">sliding-window inference, and evaluation with Dice and HD95 for enhancing tumour (ET), tumour core</w:t>
      </w:r>
      <w:r>
        <w:rPr>
          <w:lang w:val="en-US"/>
        </w:rPr>
        <w:t xml:space="preserve"> </w:t>
      </w:r>
      <w:r>
        <w:rPr>
          <w:lang w:val="en-US"/>
        </w:rPr>
        <w:t xml:space="preserve">(TC), and whole tumour (WT).</w:t>
      </w:r>
    </w:p>
    <w:p>
      <w:pPr>
        <w:rPr>
          <w:lang w:val="en-US"/>
        </w:rPr>
      </w:pPr>
      <w:r>
        <w:rPr>
          <w:lang w:val="en-US"/>
        </w:rPr>
        <w:t xml:space="preserve">The main comparison kept a 3D Residual U-Net fixed and evaluated direct concatenation, static global</w:t>
      </w:r>
      <w:r>
        <w:rPr>
          <w:lang w:val="en-US"/>
        </w:rPr>
        <w:t xml:space="preserve"> </w:t>
      </w:r>
      <w:r>
        <w:rPr>
          <w:lang w:val="en-US"/>
        </w:rPr>
        <w:t xml:space="preserve">weighting, and two adaptive gates using three seeds and a common budget of 15,000 training steps.</w:t>
      </w:r>
      <w:r>
        <w:rPr>
          <w:lang w:val="en-US"/>
        </w:rPr>
        <w:t xml:space="preserve"> </w:t>
      </w:r>
      <w:r>
        <w:rPr>
          <w:lang w:val="en-US"/>
        </w:rPr>
        <w:t xml:space="preserve">Concatenation achieved a mean Dice of 0.706 ± 0.005, while static global weighting achieved</w:t>
      </w:r>
      <w:r>
        <w:rPr>
          <w:lang w:val="en-US"/>
        </w:rPr>
        <w:t xml:space="preserve"> </w:t>
      </w:r>
      <w:r>
        <w:rPr>
          <w:lang w:val="en-US"/>
        </w:rPr>
        <w:t xml:space="preserve">0.706 ± 0.006. The two adaptive variants reached 0.586 ± 0.169 and 0.592 ± 0.171, respectively;</w:t>
      </w:r>
      <w:r>
        <w:rPr>
          <w:lang w:val="en-US"/>
        </w:rPr>
        <w:t xml:space="preserve"> </w:t>
      </w:r>
      <w:r>
        <w:rPr>
          <w:lang w:val="en-US"/>
        </w:rPr>
        <w:t xml:space="preserve">each exhibited one low-performance run among the three repetitions. Under the evaluated conditions,</w:t>
      </w:r>
      <w:r>
        <w:rPr>
          <w:lang w:val="en-US"/>
        </w:rPr>
        <w:t xml:space="preserve"> </w:t>
      </w:r>
      <w:r>
        <w:rPr>
          <w:lang w:val="en-US"/>
        </w:rPr>
        <w:t xml:space="preserve">the experiments therefore provided no evidence that the proposed gates consistently improve upon</w:t>
      </w:r>
      <w:r>
        <w:rPr>
          <w:lang w:val="en-US"/>
        </w:rPr>
        <w:t xml:space="preserve"> </w:t>
      </w:r>
      <w:r>
        <w:rPr>
          <w:lang w:val="en-US"/>
        </w:rPr>
        <w:t xml:space="preserve">concatenation. Their learned weights also varied very little across studies, which is compatible</w:t>
      </w:r>
      <w:r>
        <w:rPr>
          <w:lang w:val="en-US"/>
        </w:rPr>
        <w:t xml:space="preserve"> </w:t>
      </w:r>
      <w:r>
        <w:rPr>
          <w:lang w:val="en-US"/>
        </w:rPr>
        <w:t xml:space="preserve">with a limited conditioning signal but does not establish the cause of the observed performance.</w:t>
      </w:r>
    </w:p>
    <w:p>
      <w:pPr>
        <w:rPr>
          <w:lang w:val="en-US"/>
        </w:rPr>
      </w:pPr>
      <w:r>
        <w:rPr>
          <w:lang w:val="en-US"/>
        </w:rPr>
        <w:t xml:space="preserve">For architectural context, Swin-UNETR achieved 0.752 ± 0.017 and Attention U-Net 0.735 ± 0.006. A</w:t>
      </w:r>
      <w:r>
        <w:rPr>
          <w:lang w:val="en-US"/>
        </w:rPr>
        <w:t xml:space="preserve"> </w:t>
      </w:r>
      <w:r>
        <w:rPr>
          <w:lang w:val="en-US"/>
        </w:rPr>
        <w:t xml:space="preserve">single nnU-Net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3d_fullres</w:t>
      </w:r>
      <w:r>
        <w:rPr>
          <w:lang w:val="en-US"/>
        </w:rPr>
        <w:t xml:space="preserve"> </w:t>
      </w:r>
      <w:r>
        <w:rPr>
          <w:lang w:val="en-US"/>
        </w:rPr>
        <w:t xml:space="preserve">run, used as an external reference, achieved 0.829. These results are</w:t>
      </w:r>
      <w:r>
        <w:rPr>
          <w:lang w:val="en-US"/>
        </w:rPr>
        <w:t xml:space="preserve"> </w:t>
      </w:r>
      <w:r>
        <w:rPr>
          <w:lang w:val="en-US"/>
        </w:rPr>
        <w:t xml:space="preserve">interpreted descriptively because nnU-Net follows its own pipeline and the model families do not all</w:t>
      </w:r>
      <w:r>
        <w:rPr>
          <w:lang w:val="en-US"/>
        </w:rPr>
        <w:t xml:space="preserve"> </w:t>
      </w:r>
      <w:r>
        <w:rPr>
          <w:lang w:val="en-US"/>
        </w:rPr>
        <w:t xml:space="preserve">share exactly the same execution and inference settings. The evaluation partition was created at</w:t>
      </w:r>
      <w:r>
        <w:rPr>
          <w:lang w:val="en-US"/>
        </w:rPr>
        <w:t xml:space="preserve"> </w:t>
      </w:r>
      <w:r>
        <w:rPr>
          <w:lang w:val="en-US"/>
        </w:rPr>
        <w:t xml:space="preserve">the study level rather than the subject level; longitudinal subject overlap therefore exists across</w:t>
      </w:r>
      <w:r>
        <w:rPr>
          <w:lang w:val="en-US"/>
        </w:rPr>
        <w:t xml:space="preserve"> </w:t>
      </w:r>
      <w:r>
        <w:rPr>
          <w:lang w:val="en-US"/>
        </w:rPr>
        <w:t xml:space="preserve">partitions, and the reported values are not an independent estimate of generalisation to unseen</w:t>
      </w:r>
      <w:r>
        <w:rPr>
          <w:lang w:val="en-US"/>
        </w:rPr>
        <w:t xml:space="preserve"> </w:t>
      </w:r>
      <w:r>
        <w:rPr>
          <w:lang w:val="en-US"/>
        </w:rPr>
        <w:t xml:space="preserve">patients. This does not invalidate the internal comparison under the common split, but it limits the</w:t>
      </w:r>
      <w:r>
        <w:rPr>
          <w:lang w:val="en-US"/>
        </w:rPr>
        <w:t xml:space="preserve"> </w:t>
      </w:r>
      <w:r>
        <w:rPr>
          <w:lang w:val="en-US"/>
        </w:rPr>
        <w:t xml:space="preserve">clinical interpretation of those values. The conclusion is restricted to the early-fusion</w:t>
      </w:r>
      <w:r>
        <w:rPr>
          <w:lang w:val="en-US"/>
        </w:rPr>
        <w:t xml:space="preserve"> </w:t>
      </w:r>
      <w:r>
        <w:rPr>
          <w:lang w:val="en-US"/>
        </w:rPr>
        <w:t xml:space="preserve">mechanisms and protocol examined here: concatenation was the most parsimonious option and one of the</w:t>
      </w:r>
      <w:r>
        <w:rPr>
          <w:lang w:val="en-US"/>
        </w:rPr>
        <w:t xml:space="preserve"> </w:t>
      </w:r>
      <w:r>
        <w:rPr>
          <w:lang w:val="en-US"/>
        </w:rPr>
        <w:t xml:space="preserve">least variable, without implying that other adaptive-fusion formulations are ineffective.</w:t>
      </w:r>
    </w:p>
    <w:p>
      <w:pPr>
        <w:rPr>
          <w:lang w:val="en-US"/>
        </w:rPr>
      </w:pPr>
      <w:r>
        <w:rPr>
          <w:b/>
          <w:bCs/>
          <w:lang w:val="en-US"/>
        </w:rPr>
        <w:t xml:space="preserve">Keywords:</w:t>
      </w:r>
      <w:r>
        <w:rPr>
          <w:lang w:val="en-US"/>
        </w:rPr>
        <w:t xml:space="preserve"> </w:t>
      </w:r>
      <w:r>
        <w:rPr>
          <w:lang w:val="en-US"/>
        </w:rPr>
        <w:t xml:space="preserve">glioma segmentation; multimodal magnetic resonance imaging; BraTS-GLI 2024; deep</w:t>
      </w:r>
      <w:r>
        <w:rPr>
          <w:lang w:val="en-US"/>
        </w:rPr>
        <w:t xml:space="preserve"> </w:t>
      </w:r>
      <w:r>
        <w:rPr>
          <w:lang w:val="en-US"/>
        </w:rPr>
        <w:t xml:space="preserve">learning; adaptive fusion; MONAI; 3D segmentation.</w:t>
      </w:r>
    </w:p>
    <w:bookmarkEnd w:id="1"/>
    <w:bookmarkStart w:id="2" w:name="introducción"/>
    <w:p>
      <w:pPr>
        <w:pStyle w:val="TOCHeading"/>
        <w:keepNext/>
        <w:pageBreakBefore/>
        <w:spacing w:after="240"/>
      </w:pPr>
      <w:r>
        <w:t>Índice general</w:t>
      </w:r>
    </w:p>
    <w:p>
      <w:pPr>
        <w:jc w:val="left"/>
        <w:rPr>
          <w:lang w:val="es-ES"/>
        </w:rPr>
      </w:pPr>
      <w:r>
        <w:rPr>
          <w:lang w:val="es-ES"/>
        </w:rPr>
        <w:fldChar w:fldCharType="begin" w:dirty="true"/>
      </w:r>
      <w:r>
        <w:rPr>
          <w:lang w:val="es-ES"/>
        </w:rPr>
        <w:instrText xml:space="preserve"> TOC \o "1-3" \h \z \u </w:instrText>
      </w:r>
      <w:r>
        <w:rPr>
          <w:lang w:val="es-ES"/>
        </w:rPr>
        <w:fldChar w:fldCharType="separate"/>
      </w:r>
      <w:r>
        <w:rPr>
          <w:color w:val="7F7F7F"/>
          <w:i/>
          <w:lang w:val="es-ES"/>
        </w:rPr>
        <w:t>Actualizar este índice en Microsoft Word (Ctrl+A y F9).</w:t>
      </w:r>
      <w:r>
        <w:rPr>
          <w:lang w:val="es-ES"/>
        </w:rPr>
        <w:fldChar w:fldCharType="end"/>
      </w:r>
    </w:p>
    <w:p>
      <w:pPr>
        <w:pStyle w:val="TOCHeading"/>
        <w:keepNext/>
        <w:pageBreakBefore/>
        <w:spacing w:after="240"/>
      </w:pPr>
      <w:r>
        <w:t>Índice de figuras</w:t>
      </w:r>
    </w:p>
    <w:p>
      <w:pPr>
        <w:jc w:val="left"/>
        <w:rPr>
          <w:lang w:val="es-ES"/>
        </w:rPr>
      </w:pPr>
      <w:r>
        <w:rPr>
          <w:lang w:val="es-ES"/>
        </w:rPr>
        <w:fldChar w:fldCharType="begin" w:dirty="true"/>
      </w:r>
      <w:r>
        <w:rPr>
          <w:lang w:val="es-ES"/>
        </w:rPr>
        <w:instrText xml:space="preserve"> TOC \c "Figura" \h \z </w:instrText>
      </w:r>
      <w:r>
        <w:rPr>
          <w:lang w:val="es-ES"/>
        </w:rPr>
        <w:fldChar w:fldCharType="separate"/>
      </w:r>
      <w:r>
        <w:rPr>
          <w:color w:val="7F7F7F"/>
          <w:i/>
          <w:lang w:val="es-ES"/>
        </w:rPr>
        <w:t>Actualizar este índice en Microsoft Word (Ctrl+A y F9).</w:t>
      </w:r>
      <w:r>
        <w:rPr>
          <w:lang w:val="es-ES"/>
        </w:rPr>
        <w:fldChar w:fldCharType="end"/>
      </w:r>
    </w:p>
    <w:p>
      <w:pPr>
        <w:pStyle w:val="TOCHeading"/>
        <w:keepNext/>
        <w:pageBreakBefore/>
        <w:spacing w:after="240"/>
      </w:pPr>
      <w:r>
        <w:t>Índice de tablas</w:t>
      </w:r>
    </w:p>
    <w:p>
      <w:pPr>
        <w:jc w:val="left"/>
        <w:rPr>
          <w:lang w:val="es-ES"/>
        </w:rPr>
      </w:pPr>
      <w:r>
        <w:rPr>
          <w:lang w:val="es-ES"/>
        </w:rPr>
        <w:fldChar w:fldCharType="begin" w:dirty="true"/>
      </w:r>
      <w:r>
        <w:rPr>
          <w:lang w:val="es-ES"/>
        </w:rPr>
        <w:instrText xml:space="preserve"> TOC \c "Tabla" \h \z </w:instrText>
      </w:r>
      <w:r>
        <w:rPr>
          <w:lang w:val="es-ES"/>
        </w:rPr>
        <w:fldChar w:fldCharType="separate"/>
      </w:r>
      <w:r>
        <w:rPr>
          <w:color w:val="7F7F7F"/>
          <w:i/>
          <w:lang w:val="es-ES"/>
        </w:rPr>
        <w:t>Actualizar este índice en Microsoft Word (Ctrl+A y F9).</w:t>
      </w:r>
      <w:r>
        <w:rPr>
          <w:lang w:val="es-ES"/>
        </w:rPr>
        <w:fldChar w:fldCharType="end"/>
      </w:r>
    </w:p>
    <w:p>
      <w:pPr>
        <w:keepNext/>
        <w:keepLines/>
        <w:pageBreakBefore/>
        <w:numPr>
          <w:numId w:val="0"/>
        </w:numPr>
        <w:pStyle w:val="Heading1"/>
        <w:rPr>
          <w:lang w:val="es-ES"/>
        </w:rPr>
      </w:pPr>
      <w:r>
        <w:rPr>
          <w:lang w:val="es-ES"/>
        </w:rPr>
        <w:t xml:space="preserve">1. Introducción</w:t>
      </w:r>
    </w:p>
    <w:p>
      <w:pPr>
        <w:rPr>
          <w:lang w:val="es-ES"/>
        </w:rPr>
      </w:pPr>
      <w:r>
        <w:rPr>
          <w:lang w:val="es-ES"/>
        </w:rPr>
        <w:t xml:space="preserve">El diagnóstico apoyado en técnicas de imagen médica constituye uno de los pilares de la práctica</w:t>
      </w:r>
      <w:r>
        <w:rPr>
          <w:lang w:val="es-ES"/>
        </w:rPr>
        <w:t xml:space="preserve"> </w:t>
      </w:r>
      <w:r>
        <w:rPr>
          <w:lang w:val="es-ES"/>
        </w:rPr>
        <w:t xml:space="preserve">clínica moderna. Modalidades como la radiografía, la tomografía computarizada, la resonancia</w:t>
      </w:r>
      <w:r>
        <w:rPr>
          <w:lang w:val="es-ES"/>
        </w:rPr>
        <w:t xml:space="preserve"> </w:t>
      </w:r>
      <w:r>
        <w:rPr>
          <w:lang w:val="es-ES"/>
        </w:rPr>
        <w:t xml:space="preserve">magnética o la tomografía por emisión de positrones permiten examinar de forma no invasiva la</w:t>
      </w:r>
      <w:r>
        <w:rPr>
          <w:lang w:val="es-ES"/>
        </w:rPr>
        <w:t xml:space="preserve"> </w:t>
      </w:r>
      <w:r>
        <w:rPr>
          <w:lang w:val="es-ES"/>
        </w:rPr>
        <w:t xml:space="preserve">anatomía y determinadas propiedades fisiológicas o metabólicas de los tejidos. En oncología, estas</w:t>
      </w:r>
      <w:r>
        <w:rPr>
          <w:lang w:val="es-ES"/>
        </w:rPr>
        <w:t xml:space="preserve"> </w:t>
      </w:r>
      <w:r>
        <w:rPr>
          <w:lang w:val="es-ES"/>
        </w:rPr>
        <w:t xml:space="preserve">técnicas intervienen en la detección y caracterización de lesiones, la planificación terapéutica,</w:t>
      </w:r>
      <w:r>
        <w:rPr>
          <w:lang w:val="es-ES"/>
        </w:rPr>
        <w:t xml:space="preserve"> </w:t>
      </w:r>
      <w:r>
        <w:rPr>
          <w:lang w:val="es-ES"/>
        </w:rPr>
        <w:t xml:space="preserve">la evaluación de la respuesta al tratamiento y el seguimiento longitudinal. No obstante, sus</w:t>
      </w:r>
      <w:r>
        <w:rPr>
          <w:lang w:val="es-ES"/>
        </w:rPr>
        <w:t xml:space="preserve"> </w:t>
      </w:r>
      <w:r>
        <w:rPr>
          <w:lang w:val="es-ES"/>
        </w:rPr>
        <w:t xml:space="preserve">resultados no deben interpretarse de forma aislada, sino integrarse con la información clínica,</w:t>
      </w:r>
      <w:r>
        <w:rPr>
          <w:lang w:val="es-ES"/>
        </w:rPr>
        <w:t xml:space="preserve"> </w:t>
      </w:r>
      <w:r>
        <w:rPr>
          <w:lang w:val="es-ES"/>
        </w:rPr>
        <w:t xml:space="preserve">histopatológica y molecular del paciente.</w:t>
      </w:r>
    </w:p>
    <w:bookmarkStart w:id="3" w:name="contexto-y-motivación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1.1. Contexto y motivación</w:t>
      </w:r>
    </w:p>
    <w:p>
      <w:pPr>
        <w:rPr>
          <w:lang w:val="es-ES"/>
        </w:rPr>
      </w:pPr>
      <w:r>
        <w:rPr>
          <w:lang w:val="es-ES"/>
        </w:rPr>
        <w:t xml:space="preserve">En particular, la imagen médica desempeña una función central en neuro-oncología, debido a la</w:t>
      </w:r>
      <w:r>
        <w:rPr>
          <w:lang w:val="es-ES"/>
        </w:rPr>
        <w:t xml:space="preserve"> </w:t>
      </w:r>
      <w:r>
        <w:rPr>
          <w:lang w:val="es-ES"/>
        </w:rPr>
        <w:t xml:space="preserve">complejidad anatómica del sistema nervioso central, la heterogeneidad de los tumores cerebrales y la</w:t>
      </w:r>
      <w:r>
        <w:rPr>
          <w:lang w:val="es-ES"/>
        </w:rPr>
        <w:t xml:space="preserve"> </w:t>
      </w:r>
      <w:r>
        <w:rPr>
          <w:lang w:val="es-ES"/>
        </w:rPr>
        <w:t xml:space="preserve">necesidad de preservar estructuras funcionales durante el tratamiento. Entre estos tumores, los</w:t>
      </w:r>
      <w:r>
        <w:rPr>
          <w:lang w:val="es-ES"/>
        </w:rPr>
        <w:t xml:space="preserve"> </w:t>
      </w:r>
      <w:r>
        <w:rPr>
          <w:lang w:val="es-ES"/>
        </w:rPr>
        <w:t xml:space="preserve">gliomas constituyen un grupo heterogéneo con diferentes características biológicas, grados de</w:t>
      </w:r>
      <w:r>
        <w:rPr>
          <w:lang w:val="es-ES"/>
        </w:rPr>
        <w:t xml:space="preserve"> </w:t>
      </w:r>
      <w:r>
        <w:rPr>
          <w:lang w:val="es-ES"/>
        </w:rPr>
        <w:t xml:space="preserve">agresividad y pronósticos. La resonancia magnética (MRI, por sus siglas en inglés) es la principal</w:t>
      </w:r>
      <w:r>
        <w:rPr>
          <w:lang w:val="es-ES"/>
        </w:rPr>
        <w:t xml:space="preserve"> </w:t>
      </w:r>
      <w:r>
        <w:rPr>
          <w:lang w:val="es-ES"/>
        </w:rPr>
        <w:t xml:space="preserve">técnica de imagen empleada en su evaluación, ya que proporciona un elevado contraste entre tejidos</w:t>
      </w:r>
      <w:r>
        <w:rPr>
          <w:lang w:val="es-ES"/>
        </w:rPr>
        <w:t xml:space="preserve"> </w:t>
      </w:r>
      <w:r>
        <w:rPr>
          <w:lang w:val="es-ES"/>
        </w:rPr>
        <w:t xml:space="preserve">blandos y aporta información relevante para la caracterización de la lesión, la planificación</w:t>
      </w:r>
      <w:r>
        <w:rPr>
          <w:lang w:val="es-ES"/>
        </w:rPr>
        <w:t xml:space="preserve"> </w:t>
      </w:r>
      <w:r>
        <w:rPr>
          <w:lang w:val="es-ES"/>
        </w:rPr>
        <w:t xml:space="preserve">quirúrgica y radioterápica y el seguimiento de la enfermedad (Langen et al., 2017; Khalighi et al.,</w:t>
      </w:r>
      <w:r>
        <w:rPr>
          <w:lang w:val="es-ES"/>
        </w:rPr>
        <w:t xml:space="preserve"> </w:t>
      </w:r>
      <w:r>
        <w:rPr>
          <w:lang w:val="es-ES"/>
        </w:rPr>
        <w:t xml:space="preserve">2024).</w:t>
      </w:r>
    </w:p>
    <w:p>
      <w:pPr>
        <w:rPr>
          <w:lang w:val="es-ES"/>
        </w:rPr>
      </w:pPr>
      <w:r>
        <w:rPr>
          <w:lang w:val="es-ES"/>
        </w:rPr>
        <w:t xml:space="preserve">La evaluación de los gliomas mediante MRI tiene un carácter multiparamétrico. En segmentación</w:t>
      </w:r>
      <w:r>
        <w:rPr>
          <w:lang w:val="es-ES"/>
        </w:rPr>
        <w:t xml:space="preserve"> </w:t>
      </w:r>
      <w:r>
        <w:rPr>
          <w:lang w:val="es-ES"/>
        </w:rPr>
        <w:t xml:space="preserve">automática se emplean habitualmente cuatro secuencias convencionales: T1 nativa (T1n), T1 con</w:t>
      </w:r>
      <w:r>
        <w:rPr>
          <w:lang w:val="es-ES"/>
        </w:rPr>
        <w:t xml:space="preserve"> </w:t>
      </w:r>
      <w:r>
        <w:rPr>
          <w:lang w:val="es-ES"/>
        </w:rPr>
        <w:t xml:space="preserve">contraste (T1c), T2 ponderada (T2w) y recuperación de la inversión atenuada por fluido (FLAIR). La</w:t>
      </w:r>
      <w:r>
        <w:rPr>
          <w:lang w:val="es-ES"/>
        </w:rPr>
        <w:t xml:space="preserve"> </w:t>
      </w:r>
      <w:r>
        <w:rPr>
          <w:lang w:val="es-ES"/>
        </w:rPr>
        <w:t xml:space="preserve">secuencia T1n proporciona una referencia anatómica de base, mientras que T1c permite identificar las</w:t>
      </w:r>
      <w:r>
        <w:rPr>
          <w:lang w:val="es-ES"/>
        </w:rPr>
        <w:t xml:space="preserve"> </w:t>
      </w:r>
      <w:r>
        <w:rPr>
          <w:lang w:val="es-ES"/>
        </w:rPr>
        <w:t xml:space="preserve">regiones que realzan tras la administración de contraste, asociado al aumento de permeabilidad de la</w:t>
      </w:r>
      <w:r>
        <w:rPr>
          <w:lang w:val="es-ES"/>
        </w:rPr>
        <w:t xml:space="preserve"> </w:t>
      </w:r>
      <w:r>
        <w:rPr>
          <w:lang w:val="es-ES"/>
        </w:rPr>
        <w:t xml:space="preserve">barrera hematoencefálica; sin embargo, ese realce no representa por sí solo toda la extensión del</w:t>
      </w:r>
      <w:r>
        <w:rPr>
          <w:lang w:val="es-ES"/>
        </w:rPr>
        <w:t xml:space="preserve"> </w:t>
      </w:r>
      <w:r>
        <w:rPr>
          <w:lang w:val="es-ES"/>
        </w:rPr>
        <w:t xml:space="preserve">tejido tumoral biológicamente activo. Las secuencias T2w y FLAIR son sensibles al aumento del</w:t>
      </w:r>
      <w:r>
        <w:rPr>
          <w:lang w:val="es-ES"/>
        </w:rPr>
        <w:t xml:space="preserve"> </w:t>
      </w:r>
      <w:r>
        <w:rPr>
          <w:lang w:val="es-ES"/>
        </w:rPr>
        <w:t xml:space="preserve">contenido de agua; en particular, FLAIR suprime la señal del líquido cefalorraquídeo y facilita la</w:t>
      </w:r>
      <w:r>
        <w:rPr>
          <w:lang w:val="es-ES"/>
        </w:rPr>
        <w:t xml:space="preserve"> </w:t>
      </w:r>
      <w:r>
        <w:rPr>
          <w:lang w:val="es-ES"/>
        </w:rPr>
        <w:t xml:space="preserve">visualización de alteraciones peritumorales que pueden incluir edema e infiltración. Ninguna</w:t>
      </w:r>
      <w:r>
        <w:rPr>
          <w:lang w:val="es-ES"/>
        </w:rPr>
        <w:t xml:space="preserve"> </w:t>
      </w:r>
      <w:r>
        <w:rPr>
          <w:lang w:val="es-ES"/>
        </w:rPr>
        <w:t xml:space="preserve">modalidad describe por sí sola toda la lesión: su combinación proporciona información complementaria</w:t>
      </w:r>
      <w:r>
        <w:rPr>
          <w:lang w:val="es-ES"/>
        </w:rPr>
        <w:t xml:space="preserve"> </w:t>
      </w:r>
      <w:r>
        <w:rPr>
          <w:lang w:val="es-ES"/>
        </w:rPr>
        <w:t xml:space="preserve">para delimitar el tumor y sus subregiones (Langen et al., 2017; Kouli et al., 2022).</w:t>
      </w:r>
    </w:p>
    <w:p>
      <w:pPr>
        <w:rPr>
          <w:lang w:val="es-ES"/>
        </w:rPr>
      </w:pPr>
      <w:r>
        <w:rPr>
          <w:lang w:val="es-ES"/>
        </w:rPr>
        <w:t xml:space="preserve">Cuando se requiere una cuantificación volumétrica, la delimitación manual de estas regiones por</w:t>
      </w:r>
      <w:r>
        <w:rPr>
          <w:lang w:val="es-ES"/>
        </w:rPr>
        <w:t xml:space="preserve"> </w:t>
      </w:r>
      <w:r>
        <w:rPr>
          <w:lang w:val="es-ES"/>
        </w:rPr>
        <w:t xml:space="preserve">especialistas resulta compleja y costosa. Los límites difusos, la heterogeneidad de intensidades y</w:t>
      </w:r>
      <w:r>
        <w:rPr>
          <w:lang w:val="es-ES"/>
        </w:rPr>
        <w:t xml:space="preserve"> </w:t>
      </w:r>
      <w:r>
        <w:rPr>
          <w:lang w:val="es-ES"/>
        </w:rPr>
        <w:t xml:space="preserve">la extensión tridimensional favorecen la variabilidad entre observadores e incluso entre anotaciones</w:t>
      </w:r>
      <w:r>
        <w:rPr>
          <w:lang w:val="es-ES"/>
        </w:rPr>
        <w:t xml:space="preserve"> </w:t>
      </w:r>
      <w:r>
        <w:rPr>
          <w:lang w:val="es-ES"/>
        </w:rPr>
        <w:t xml:space="preserve">de un mismo profesional, además de consumir un tiempo considerable. La segmentación automática se</w:t>
      </w:r>
      <w:r>
        <w:rPr>
          <w:lang w:val="es-ES"/>
        </w:rPr>
        <w:t xml:space="preserve"> </w:t>
      </w:r>
      <w:r>
        <w:rPr>
          <w:lang w:val="es-ES"/>
        </w:rPr>
        <w:t xml:space="preserve">plantea, por tanto, como herramienta de apoyo capaz de reducir la carga de trabajo y proporcionar</w:t>
      </w:r>
      <w:r>
        <w:rPr>
          <w:lang w:val="es-ES"/>
        </w:rPr>
        <w:t xml:space="preserve"> </w:t>
      </w:r>
      <w:r>
        <w:rPr>
          <w:lang w:val="es-ES"/>
        </w:rPr>
        <w:t xml:space="preserve">estimaciones más consistentes. Aun así, el problema no está completamente resuelto: el rendimiento</w:t>
      </w:r>
      <w:r>
        <w:rPr>
          <w:lang w:val="es-ES"/>
        </w:rPr>
        <w:t xml:space="preserve"> </w:t>
      </w:r>
      <w:r>
        <w:rPr>
          <w:lang w:val="es-ES"/>
        </w:rPr>
        <w:t xml:space="preserve">disminuye en algunas subregiones y la generalización a imágenes de otros centros sigue siendo un</w:t>
      </w:r>
      <w:r>
        <w:rPr>
          <w:lang w:val="es-ES"/>
        </w:rPr>
        <w:t xml:space="preserve"> </w:t>
      </w:r>
      <w:r>
        <w:rPr>
          <w:lang w:val="es-ES"/>
        </w:rPr>
        <w:t xml:space="preserve">reto (Kouli et al., 2022); asimismo, unas métricas favorables no garantizan por sí solas la utilidad</w:t>
      </w:r>
      <w:r>
        <w:rPr>
          <w:lang w:val="es-ES"/>
        </w:rPr>
        <w:t xml:space="preserve"> </w:t>
      </w:r>
      <w:r>
        <w:rPr>
          <w:lang w:val="es-ES"/>
        </w:rPr>
        <w:t xml:space="preserve">clínica de una segmentación, lo que hace necesaria su evaluación por especialistas (Hoebel et al.,</w:t>
      </w:r>
      <w:r>
        <w:rPr>
          <w:lang w:val="es-ES"/>
        </w:rPr>
        <w:t xml:space="preserve"> </w:t>
      </w:r>
      <w:r>
        <w:rPr>
          <w:lang w:val="es-ES"/>
        </w:rPr>
        <w:t xml:space="preserve">2024).</w:t>
      </w:r>
    </w:p>
    <w:p>
      <w:pPr>
        <w:rPr>
          <w:lang w:val="es-ES"/>
        </w:rPr>
      </w:pPr>
      <w:r>
        <w:rPr>
          <w:lang w:val="es-ES"/>
        </w:rPr>
        <w:t xml:space="preserve">En los últimos años, el aprendizaje profundo ha ampliado sus aplicaciones en neuro-oncología</w:t>
      </w:r>
      <w:r>
        <w:rPr>
          <w:lang w:val="es-ES"/>
        </w:rPr>
        <w:t xml:space="preserve"> </w:t>
      </w:r>
      <w:r>
        <w:rPr>
          <w:lang w:val="es-ES"/>
        </w:rPr>
        <w:t xml:space="preserve">(detección y clasificación de tumores, segmentación de lesiones, predicción de características</w:t>
      </w:r>
      <w:r>
        <w:rPr>
          <w:lang w:val="es-ES"/>
        </w:rPr>
        <w:t xml:space="preserve"> </w:t>
      </w:r>
      <w:r>
        <w:rPr>
          <w:lang w:val="es-ES"/>
        </w:rPr>
        <w:t xml:space="preserve">moleculares y estimación del pronóstico), con estudios que respaldan su potencial como apoyo a la</w:t>
      </w:r>
      <w:r>
        <w:rPr>
          <w:lang w:val="es-ES"/>
        </w:rPr>
        <w:t xml:space="preserve"> </w:t>
      </w:r>
      <w:r>
        <w:rPr>
          <w:lang w:val="es-ES"/>
        </w:rPr>
        <w:t xml:space="preserve">interpretación radiológica (Gao et al., 2022). Sin embargo, su incorporación a la práctica clínica</w:t>
      </w:r>
      <w:r>
        <w:rPr>
          <w:lang w:val="es-ES"/>
        </w:rPr>
        <w:t xml:space="preserve"> </w:t>
      </w:r>
      <w:r>
        <w:rPr>
          <w:lang w:val="es-ES"/>
        </w:rPr>
        <w:t xml:space="preserve">exige modelos robustos ante variaciones en escáneres, protocolos y poblaciones, además de validación</w:t>
      </w:r>
      <w:r>
        <w:rPr>
          <w:lang w:val="es-ES"/>
        </w:rPr>
        <w:t xml:space="preserve"> </w:t>
      </w:r>
      <w:r>
        <w:rPr>
          <w:lang w:val="es-ES"/>
        </w:rPr>
        <w:t xml:space="preserve">externa, interpretabilidad e integración en los flujos de trabajo (Khalighi et al., 2024).</w:t>
      </w:r>
    </w:p>
    <w:p>
      <w:pPr>
        <w:rPr>
          <w:lang w:val="es-ES"/>
        </w:rPr>
      </w:pPr>
      <w:r>
        <w:rPr>
          <w:lang w:val="es-ES"/>
        </w:rPr>
        <w:t xml:space="preserve">Dentro de este contexto, el presente Trabajo de Fin de Máster se centra en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segmentación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automática tridimensional de gliomas a partir de imágenes MRI multimodales</w:t>
      </w:r>
      <w:r>
        <w:rPr>
          <w:lang w:val="es-ES"/>
        </w:rPr>
        <w:t xml:space="preserve">. El sistema se aplica</w:t>
      </w:r>
      <w:r>
        <w:rPr>
          <w:lang w:val="es-ES"/>
        </w:rPr>
        <w:t xml:space="preserve"> </w:t>
      </w:r>
      <w:r>
        <w:rPr>
          <w:lang w:val="es-ES"/>
        </w:rPr>
        <w:t xml:space="preserve">exclusivamente a pacientes previamente diagnosticados y no pretende realizar cribado, determinar la</w:t>
      </w:r>
      <w:r>
        <w:rPr>
          <w:lang w:val="es-ES"/>
        </w:rPr>
        <w:t xml:space="preserve"> </w:t>
      </w:r>
      <w:r>
        <w:rPr>
          <w:lang w:val="es-ES"/>
        </w:rPr>
        <w:t xml:space="preserve">presencia de un tumor ni diferenciar los gliomas de otras patologías. La investigación estudia cómo</w:t>
      </w:r>
      <w:r>
        <w:rPr>
          <w:lang w:val="es-ES"/>
        </w:rPr>
        <w:t xml:space="preserve"> </w:t>
      </w:r>
      <w:r>
        <w:rPr>
          <w:lang w:val="es-ES"/>
        </w:rPr>
        <w:t xml:space="preserve">combinar la información complementaria de las secuencias T1n, T1c, T2w y FLAIR; concretamente,</w:t>
      </w:r>
      <w:r>
        <w:rPr>
          <w:lang w:val="es-ES"/>
        </w:rPr>
        <w:t xml:space="preserve"> </w:t>
      </w:r>
      <w:r>
        <w:rPr>
          <w:lang w:val="es-ES"/>
        </w:rPr>
        <w:t xml:space="preserve">analiza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 un mecanismo de fusión adaptativa mejora la delimitación de las subregiones tumorales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frente a la concatenación convencional de modalidades</w:t>
      </w:r>
      <w:r>
        <w:rPr>
          <w:lang w:val="es-ES"/>
        </w:rPr>
        <w:t xml:space="preserve">, manteniendo un coste computacional</w:t>
      </w:r>
      <w:r>
        <w:rPr>
          <w:lang w:val="es-ES"/>
        </w:rPr>
        <w:t xml:space="preserve"> </w:t>
      </w:r>
      <w:r>
        <w:rPr>
          <w:lang w:val="es-ES"/>
        </w:rPr>
        <w:t xml:space="preserve">asumible.</w:t>
      </w:r>
    </w:p>
    <w:bookmarkEnd w:id="2"/>
    <w:bookmarkStart w:id="4" w:name="planteamiento-del-problema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1.2. Planteamiento del problema</w:t>
      </w:r>
    </w:p>
    <w:p>
      <w:pPr>
        <w:rPr>
          <w:lang w:val="es-ES"/>
        </w:rPr>
      </w:pPr>
      <w:r>
        <w:rPr>
          <w:lang w:val="es-ES"/>
        </w:rPr>
        <w:t xml:space="preserve">Las modalidades T1n, T1c, T2w y FLAIR proporcionan contrastes complementarios, pero su contribución</w:t>
      </w:r>
      <w:r>
        <w:rPr>
          <w:lang w:val="es-ES"/>
        </w:rPr>
        <w:t xml:space="preserve"> </w:t>
      </w:r>
      <w:r>
        <w:rPr>
          <w:lang w:val="es-ES"/>
        </w:rPr>
        <w:t xml:space="preserve">a la segmentación no es uniforme ni existe una correspondencia exclusiva entre una modalidad y una</w:t>
      </w:r>
      <w:r>
        <w:rPr>
          <w:lang w:val="es-ES"/>
        </w:rPr>
        <w:t xml:space="preserve"> </w:t>
      </w:r>
      <w:r>
        <w:rPr>
          <w:lang w:val="es-ES"/>
        </w:rPr>
        <w:t xml:space="preserve">región tumoral. Algunas estructuras resultan más visibles en determinadas secuencias, mientras que</w:t>
      </w:r>
      <w:r>
        <w:rPr>
          <w:lang w:val="es-ES"/>
        </w:rPr>
        <w:t xml:space="preserve"> </w:t>
      </w:r>
      <w:r>
        <w:rPr>
          <w:lang w:val="es-ES"/>
        </w:rPr>
        <w:t xml:space="preserve">la información de las restantes puede ser parcialmente redundante o ayudar a resolver ambigüedades.</w:t>
      </w:r>
      <w:r>
        <w:rPr>
          <w:lang w:val="es-ES"/>
        </w:rPr>
        <w:t xml:space="preserve"> </w:t>
      </w:r>
      <w:r>
        <w:rPr>
          <w:lang w:val="es-ES"/>
        </w:rPr>
        <w:t xml:space="preserve">Estudios recientes muestran, por ejemplo, una mayor relevancia de FLAIR para delimitar la extensión</w:t>
      </w:r>
      <w:r>
        <w:rPr>
          <w:lang w:val="es-ES"/>
        </w:rPr>
        <w:t xml:space="preserve"> </w:t>
      </w:r>
      <w:r>
        <w:rPr>
          <w:lang w:val="es-ES"/>
        </w:rPr>
        <w:t xml:space="preserve">hiperintensa peritumoral y de T1c para identificar tejido realzante, aunque la combinación de</w:t>
      </w:r>
      <w:r>
        <w:rPr>
          <w:lang w:val="es-ES"/>
        </w:rPr>
        <w:t xml:space="preserve"> </w:t>
      </w:r>
      <w:r>
        <w:rPr>
          <w:lang w:val="es-ES"/>
        </w:rPr>
        <w:t xml:space="preserve">modalidades suele proporcionar resultados más robustos (Ruffle et al., 2023). Esta complementariedad</w:t>
      </w:r>
      <w:r>
        <w:rPr>
          <w:lang w:val="es-ES"/>
        </w:rPr>
        <w:t xml:space="preserve"> </w:t>
      </w:r>
      <w:r>
        <w:rPr>
          <w:lang w:val="es-ES"/>
        </w:rPr>
        <w:t xml:space="preserve">es la base del enfoque multimodal de BraTS-GLI 2024, conjunto empleado en este trabajo, que</w:t>
      </w:r>
      <w:r>
        <w:rPr>
          <w:lang w:val="es-ES"/>
        </w:rPr>
        <w:t xml:space="preserve"> </w:t>
      </w:r>
      <w:r>
        <w:rPr>
          <w:lang w:val="es-ES"/>
        </w:rPr>
        <w:t xml:space="preserve">proporciona MRI multiparamétrica y anotaciones expertas para evaluar algoritmos de segmentación</w:t>
      </w:r>
      <w:r>
        <w:rPr>
          <w:lang w:val="es-ES"/>
        </w:rPr>
        <w:t xml:space="preserve"> </w:t>
      </w:r>
      <w:r>
        <w:rPr>
          <w:lang w:val="es-ES"/>
        </w:rPr>
        <w:t xml:space="preserve">(de Verdier et al., 2024).</w:t>
      </w:r>
    </w:p>
    <w:p>
      <w:pPr>
        <w:rPr>
          <w:lang w:val="es-ES"/>
        </w:rPr>
      </w:pPr>
      <w:r>
        <w:rPr>
          <w:lang w:val="es-ES"/>
        </w:rPr>
        <w:t xml:space="preserve">Una estrategia habitual para integrar estas secuencias consiste en alinearlas y concatenarlas como</w:t>
      </w:r>
      <w:r>
        <w:rPr>
          <w:lang w:val="es-ES"/>
        </w:rPr>
        <w:t xml:space="preserve"> </w:t>
      </w:r>
      <w:r>
        <w:rPr>
          <w:lang w:val="es-ES"/>
        </w:rPr>
        <w:t xml:space="preserve">canales de un único tensor de entrada. Esta fusión temprana es sencilla, introduce un coste</w:t>
      </w:r>
      <w:r>
        <w:rPr>
          <w:lang w:val="es-ES"/>
        </w:rPr>
        <w:t xml:space="preserve"> </w:t>
      </w:r>
      <w:r>
        <w:rPr>
          <w:lang w:val="es-ES"/>
        </w:rPr>
        <w:t xml:space="preserve">computacional mínimo y permite que las primeras capas convolucionales aprendan filtros distintos por</w:t>
      </w:r>
      <w:r>
        <w:rPr>
          <w:lang w:val="es-ES"/>
        </w:rPr>
        <w:t xml:space="preserve"> </w:t>
      </w:r>
      <w:r>
        <w:rPr>
          <w:lang w:val="es-ES"/>
        </w:rPr>
        <w:t xml:space="preserve">canal; por tanto, no es correcto afirmar que asigne necesariamente el mismo peso a todas las</w:t>
      </w:r>
      <w:r>
        <w:rPr>
          <w:lang w:val="es-ES"/>
        </w:rPr>
        <w:t xml:space="preserve"> </w:t>
      </w:r>
      <w:r>
        <w:rPr>
          <w:lang w:val="es-ES"/>
        </w:rPr>
        <w:t xml:space="preserve">modalidades. Su limitación es que no incorpora un mecanismo explícito que estime y reajuste la</w:t>
      </w:r>
      <w:r>
        <w:rPr>
          <w:lang w:val="es-ES"/>
        </w:rPr>
        <w:t xml:space="preserve"> </w:t>
      </w:r>
      <w:r>
        <w:rPr>
          <w:lang w:val="es-ES"/>
        </w:rPr>
        <w:t xml:space="preserve">contribución relativa de cada modalidad en función del contenido de la entrada: dicha contribución</w:t>
      </w:r>
      <w:r>
        <w:rPr>
          <w:lang w:val="es-ES"/>
        </w:rPr>
        <w:t xml:space="preserve"> </w:t>
      </w:r>
      <w:r>
        <w:rPr>
          <w:lang w:val="es-ES"/>
        </w:rPr>
        <w:t xml:space="preserve">queda representada de forma implícita en los filtros aprendidos.</w:t>
      </w:r>
    </w:p>
    <w:p>
      <w:pPr>
        <w:rPr>
          <w:lang w:val="es-ES"/>
        </w:rPr>
      </w:pPr>
      <w:r>
        <w:rPr>
          <w:lang w:val="es-ES"/>
        </w:rPr>
        <w:t xml:space="preserve">La literatura ha explorado mecanismos de fusión más elaborados para aprovechar las relaciones entre</w:t>
      </w:r>
      <w:r>
        <w:rPr>
          <w:lang w:val="es-ES"/>
        </w:rPr>
        <w:t xml:space="preserve"> </w:t>
      </w:r>
      <w:r>
        <w:rPr>
          <w:lang w:val="es-ES"/>
        </w:rPr>
        <w:t xml:space="preserve">modalidades, como la combinación en distintos niveles de la red o los módulos de atención que</w:t>
      </w:r>
      <w:r>
        <w:rPr>
          <w:lang w:val="es-ES"/>
        </w:rPr>
        <w:t xml:space="preserve"> </w:t>
      </w:r>
      <w:r>
        <w:rPr>
          <w:lang w:val="es-ES"/>
        </w:rPr>
        <w:t xml:space="preserve">recalibran las representaciones. Liu et al. (2022) combinaron fusión a nivel de imagen y de</w:t>
      </w:r>
      <w:r>
        <w:rPr>
          <w:lang w:val="es-ES"/>
        </w:rPr>
        <w:t xml:space="preserve"> </w:t>
      </w:r>
      <w:r>
        <w:rPr>
          <w:lang w:val="es-ES"/>
        </w:rPr>
        <w:t xml:space="preserve">características, y Zhou et al. (2022) propusieron un mecanismo de atención que modela la relevancia de</w:t>
      </w:r>
      <w:r>
        <w:rPr>
          <w:lang w:val="es-ES"/>
        </w:rPr>
        <w:t xml:space="preserve"> </w:t>
      </w:r>
      <w:r>
        <w:rPr>
          <w:lang w:val="es-ES"/>
        </w:rPr>
        <w:t xml:space="preserve">las modalidades, su distribución espacial y sus correlaciones. Estos trabajos respaldan el interés</w:t>
      </w:r>
      <w:r>
        <w:rPr>
          <w:lang w:val="es-ES"/>
        </w:rPr>
        <w:t xml:space="preserve"> </w:t>
      </w:r>
      <w:r>
        <w:rPr>
          <w:lang w:val="es-ES"/>
        </w:rPr>
        <w:t xml:space="preserve">por una integración adaptativa, aunque sus arquitecturas son más complejas y no permiten concluir</w:t>
      </w:r>
      <w:r>
        <w:rPr>
          <w:lang w:val="es-ES"/>
        </w:rPr>
        <w:t xml:space="preserve"> </w:t>
      </w:r>
      <w:r>
        <w:rPr>
          <w:lang w:val="es-ES"/>
        </w:rPr>
        <w:t xml:space="preserve">que cualquier mecanismo de atención supere necesariamente a la concatenación (Liu et al., 2022; Zhou</w:t>
      </w:r>
      <w:r>
        <w:rPr>
          <w:lang w:val="es-ES"/>
        </w:rPr>
        <w:t xml:space="preserve"> </w:t>
      </w:r>
      <w:r>
        <w:rPr>
          <w:lang w:val="es-ES"/>
        </w:rPr>
        <w:t xml:space="preserve">et al., 2022).</w:t>
      </w:r>
    </w:p>
    <w:p>
      <w:pPr>
        <w:rPr>
          <w:lang w:val="es-ES"/>
        </w:rPr>
      </w:pPr>
      <w:r>
        <w:rPr>
          <w:lang w:val="es-ES"/>
        </w:rPr>
        <w:t xml:space="preserve">La problemática central de este TFM consiste, por tanto, 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determinar si una ponderación explícita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y ligera de las modalidades aporta una mejora medible cuando se mantiene fija la arquitectura de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segmentación</w:t>
      </w:r>
      <w:r>
        <w:rPr>
          <w:lang w:val="es-ES"/>
        </w:rPr>
        <w:t xml:space="preserve">. Para aislar esta variable se utiliza la misma Residual U-Net 3D y el mismo protocolo</w:t>
      </w:r>
      <w:r>
        <w:rPr>
          <w:lang w:val="es-ES"/>
        </w:rPr>
        <w:t xml:space="preserve"> </w:t>
      </w:r>
      <w:r>
        <w:rPr>
          <w:lang w:val="es-ES"/>
        </w:rPr>
        <w:t xml:space="preserve">de entrenamiento en cuatro configuraciones: concatenación directa, ponderación global estática,</w:t>
      </w:r>
      <w:r>
        <w:rPr>
          <w:lang w:val="es-ES"/>
        </w:rPr>
        <w:t xml:space="preserve"> </w:t>
      </w:r>
      <w:r>
        <w:rPr>
          <w:lang w:val="es-ES"/>
        </w:rPr>
        <w:t xml:space="preserve">compuerta adaptativa basada en la media y una extensión condicionada por la media y la desviación</w:t>
      </w:r>
      <w:r>
        <w:rPr>
          <w:lang w:val="es-ES"/>
        </w:rPr>
        <w:t xml:space="preserve"> </w:t>
      </w:r>
      <w:r>
        <w:rPr>
          <w:lang w:val="es-ES"/>
        </w:rPr>
        <w:t xml:space="preserve">típica de cada modalidad. La ponderación global aprende un coeficiente por modalidad compartido por</w:t>
      </w:r>
      <w:r>
        <w:rPr>
          <w:lang w:val="es-ES"/>
        </w:rPr>
        <w:t xml:space="preserve"> </w:t>
      </w:r>
      <w:r>
        <w:rPr>
          <w:lang w:val="es-ES"/>
        </w:rPr>
        <w:t xml:space="preserve">todas las entradas, mientras que las compuertas adaptativas generan los coeficientes a partir del</w:t>
      </w:r>
      <w:r>
        <w:rPr>
          <w:lang w:val="es-ES"/>
        </w:rPr>
        <w:t xml:space="preserve"> </w:t>
      </w:r>
      <w:r>
        <w:rPr>
          <w:lang w:val="es-ES"/>
        </w:rPr>
        <w:t xml:space="preserve">tensor tridimensional procesado. Esos coeficientes se aplican antes del codificador y permanecen</w:t>
      </w:r>
      <w:r>
        <w:rPr>
          <w:lang w:val="es-ES"/>
        </w:rPr>
        <w:t xml:space="preserve"> </w:t>
      </w:r>
      <w:r>
        <w:rPr>
          <w:lang w:val="es-ES"/>
        </w:rPr>
        <w:t xml:space="preserve">constantes en el espacio dentro de cada parche o ventana de inferencia; por tanto, el mecanismo es</w:t>
      </w:r>
      <w:r>
        <w:rPr>
          <w:lang w:val="es-ES"/>
        </w:rPr>
        <w:t xml:space="preserve"> </w:t>
      </w:r>
      <w:r>
        <w:rPr>
          <w:lang w:val="es-ES"/>
        </w:rPr>
        <w:t xml:space="preserve">dependiente de la entrada, pero no constituye una atención espacial ni específica por subregión. La</w:t>
      </w:r>
      <w:r>
        <w:rPr>
          <w:lang w:val="es-ES"/>
        </w:rPr>
        <w:t xml:space="preserve"> </w:t>
      </w:r>
      <w:r>
        <w:rPr>
          <w:lang w:val="es-ES"/>
        </w:rPr>
        <w:t xml:space="preserve">inclusión de la ponderación global permite distinguir dos efectos posibles: si basta con aprender</w:t>
      </w:r>
      <w:r>
        <w:rPr>
          <w:lang w:val="es-ES"/>
        </w:rPr>
        <w:t xml:space="preserve"> </w:t>
      </w:r>
      <w:r>
        <w:rPr>
          <w:lang w:val="es-ES"/>
        </w:rPr>
        <w:t xml:space="preserve">una jerarquía general entre modalidades o si resulta beneficioso adaptar dicha ponderación al</w:t>
      </w:r>
      <w:r>
        <w:rPr>
          <w:lang w:val="es-ES"/>
        </w:rPr>
        <w:t xml:space="preserve"> </w:t>
      </w:r>
      <w:r>
        <w:rPr>
          <w:lang w:val="es-ES"/>
        </w:rPr>
        <w:t xml:space="preserve">contenido de cada muestra.</w:t>
      </w:r>
    </w:p>
    <w:p>
      <w:pPr>
        <w:rPr>
          <w:lang w:val="es-ES"/>
        </w:rPr>
      </w:pPr>
      <w:r>
        <w:rPr>
          <w:lang w:val="es-ES"/>
        </w:rPr>
        <w:t xml:space="preserve">A partir de este planteamiento, la pregunta de investigación se formula así:</w:t>
      </w:r>
    </w:p>
    <w:p>
      <w:pPr>
        <w:pStyle w:val="TFMHighlight"/>
        <w:shd w:val="clear" w:fill="FCE4D6"/>
        <w:pBdr>
          <w:left w:val="single" w:sz="18" w:space="8" w:color="ED7D31"/>
        </w:pBdr>
        <w:rPr>
          <w:lang w:val="es-ES"/>
        </w:rPr>
      </w:pPr>
      <w:r>
        <w:rPr>
          <w:lang w:val="es-ES"/>
        </w:rPr>
        <w:t xml:space="preserve">¿Puede una ponderación explícita y ligera de las modalidades T1n, T1c, T2w y FLAIR —en particular,</w:t>
      </w:r>
      <w:r>
        <w:rPr>
          <w:lang w:val="es-ES"/>
        </w:rPr>
        <w:t xml:space="preserve"> </w:t>
      </w:r>
      <w:r>
        <w:rPr>
          <w:lang w:val="es-ES"/>
        </w:rPr>
        <w:t xml:space="preserve">una compuerta adaptativa condicionada por la entrada— mejorar de forma consistente la segmentación</w:t>
      </w:r>
      <w:r>
        <w:rPr>
          <w:lang w:val="es-ES"/>
        </w:rPr>
        <w:t xml:space="preserve"> </w:t>
      </w:r>
      <w:r>
        <w:rPr>
          <w:lang w:val="es-ES"/>
        </w:rPr>
        <w:t xml:space="preserve">3D de ET, TC y WT en BraTS-GLI 2024 frente a la concatenación directa de canales, manteniendo fija</w:t>
      </w:r>
      <w:r>
        <w:rPr>
          <w:lang w:val="es-ES"/>
        </w:rPr>
        <w:t xml:space="preserve"> </w:t>
      </w:r>
      <w:r>
        <w:rPr>
          <w:lang w:val="es-ES"/>
        </w:rPr>
        <w:t xml:space="preserve">la arquitectura Residual U-Net 3D y un coste computacional asumible?</w:t>
      </w:r>
    </w:p>
    <w:p>
      <w:pPr>
        <w:rPr>
          <w:lang w:val="es-ES"/>
        </w:rPr>
      </w:pPr>
      <w:r>
        <w:rPr>
          <w:lang w:val="es-ES"/>
        </w:rPr>
        <w:t xml:space="preserve">La evaluación se realiza mediante el coeficiente Dice y la distancia de Hausdorff al percentil 95</w:t>
      </w:r>
      <w:r>
        <w:rPr>
          <w:lang w:val="es-ES"/>
        </w:rPr>
        <w:t xml:space="preserve"> </w:t>
      </w:r>
      <w:r>
        <w:rPr>
          <w:lang w:val="es-ES"/>
        </w:rPr>
        <w:t xml:space="preserve">(HD95) para ET, TC y WT. La huella computacional se analiza mediante el número de parámetros y los</w:t>
      </w:r>
      <w:r>
        <w:rPr>
          <w:lang w:val="es-ES"/>
        </w:rPr>
        <w:t xml:space="preserve"> </w:t>
      </w:r>
      <w:r>
        <w:rPr>
          <w:lang w:val="es-ES"/>
        </w:rPr>
        <w:t xml:space="preserve">registros disponibles de tiempo de entrenamiento y memoria, explicitando las diferencias entre</w:t>
      </w:r>
      <w:r>
        <w:rPr>
          <w:lang w:val="es-ES"/>
        </w:rPr>
        <w:t xml:space="preserve"> </w:t>
      </w:r>
      <w:r>
        <w:rPr>
          <w:lang w:val="es-ES"/>
        </w:rPr>
        <w:t xml:space="preserve">entornos. Este aspecto resulta especialmente relevante en segmentación volumétrica, donde el</w:t>
      </w:r>
      <w:r>
        <w:rPr>
          <w:lang w:val="es-ES"/>
        </w:rPr>
        <w:t xml:space="preserve"> </w:t>
      </w:r>
      <w:r>
        <w:rPr>
          <w:lang w:val="es-ES"/>
        </w:rPr>
        <w:t xml:space="preserve">incremento de complejidad de los mecanismos de atención puede traducirse en un consumo considerable</w:t>
      </w:r>
      <w:r>
        <w:rPr>
          <w:lang w:val="es-ES"/>
        </w:rPr>
        <w:t xml:space="preserve"> </w:t>
      </w:r>
      <w:r>
        <w:rPr>
          <w:lang w:val="es-ES"/>
        </w:rPr>
        <w:t xml:space="preserve">de memoria y tiempo (Shaker et al., 2024).</w:t>
      </w:r>
    </w:p>
    <w:p>
      <w:pPr>
        <w:rPr>
          <w:lang w:val="es-ES"/>
        </w:rPr>
      </w:pPr>
      <w:r>
        <w:rPr>
          <w:lang w:val="es-ES"/>
        </w:rPr>
        <w:t xml:space="preserve">El alcance experimental se limita a las imágenes post-tratamiento de BraTS-GLI 2024 que contienen las</w:t>
      </w:r>
      <w:r>
        <w:rPr>
          <w:lang w:val="es-ES"/>
        </w:rPr>
        <w:t xml:space="preserve"> </w:t>
      </w:r>
      <w:r>
        <w:rPr>
          <w:lang w:val="es-ES"/>
        </w:rPr>
        <w:t xml:space="preserve">cuatro modalidades requeridas.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modelo no se ha entrenado ni validado para realizar cribado,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diagnosticar la presencia de un tumor, diferenciar los gliomas de otras patologías o trabajar con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secuencias ausentes</w:t>
      </w:r>
      <w:r>
        <w:rPr>
          <w:lang w:val="es-ES"/>
        </w:rPr>
        <w:t xml:space="preserve">, y sus resultados deben interpretarse dentro del entorno controlado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benchmark</w:t>
      </w:r>
      <w:r>
        <w:rPr>
          <w:lang w:val="es-ES"/>
        </w:rPr>
        <w:t xml:space="preserve">: la evidencia muestra que el rendimiento sobre datos BraTS puede disminuir al aplicar los</w:t>
      </w:r>
      <w:r>
        <w:rPr>
          <w:lang w:val="es-ES"/>
        </w:rPr>
        <w:t xml:space="preserve"> </w:t>
      </w:r>
      <w:r>
        <w:rPr>
          <w:lang w:val="es-ES"/>
        </w:rPr>
        <w:t xml:space="preserve">modelos a imágenes clínicas externas con distintas resoluciones o protocolos (Berkley et al., 2023).</w:t>
      </w:r>
      <w:r>
        <w:rPr>
          <w:lang w:val="es-ES"/>
        </w:rPr>
        <w:t xml:space="preserve"> </w:t>
      </w:r>
      <w:r>
        <w:rPr>
          <w:lang w:val="es-ES"/>
        </w:rPr>
        <w:t xml:space="preserve">En consecuencia, el trabajo evalúa una estrategia computacional de segmentación y no una herramienta</w:t>
      </w:r>
      <w:r>
        <w:rPr>
          <w:lang w:val="es-ES"/>
        </w:rPr>
        <w:t xml:space="preserve"> </w:t>
      </w:r>
      <w:r>
        <w:rPr>
          <w:lang w:val="es-ES"/>
        </w:rPr>
        <w:t xml:space="preserve">lista para uso clínico.</w:t>
      </w:r>
    </w:p>
    <w:bookmarkEnd w:id="3"/>
    <w:bookmarkStart w:id="5" w:name="objetivos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1.3. Objetivos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Objetivo principal.</w:t>
      </w:r>
      <w:r>
        <w:rPr>
          <w:lang w:val="es-ES"/>
        </w:rPr>
        <w:t xml:space="preserve"> </w:t>
      </w:r>
      <w:r>
        <w:rPr>
          <w:lang w:val="es-ES"/>
        </w:rPr>
        <w:t xml:space="preserve">Diseñar, implementar y evaluar un sistema reproducible de segmentación</w:t>
      </w:r>
      <w:r>
        <w:rPr>
          <w:lang w:val="es-ES"/>
        </w:rPr>
        <w:t xml:space="preserve"> </w:t>
      </w:r>
      <w:r>
        <w:rPr>
          <w:lang w:val="es-ES"/>
        </w:rPr>
        <w:t xml:space="preserve">tridimensional basado en aprendizaje profundo para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determinar si</w:t>
      </w:r>
      <w:r>
        <w:rPr>
          <w:lang w:val="es-ES"/>
        </w:rPr>
        <w:t xml:space="preserve"> </w:t>
      </w:r>
      <w:r>
        <w:rPr>
          <w:lang w:val="es-ES"/>
        </w:rPr>
        <w:t xml:space="preserve">una ponderación adaptativa y</w:t>
      </w:r>
      <w:r>
        <w:rPr>
          <w:lang w:val="es-ES"/>
        </w:rPr>
        <w:t xml:space="preserve"> </w:t>
      </w:r>
      <w:r>
        <w:rPr>
          <w:lang w:val="es-ES"/>
        </w:rPr>
        <w:t xml:space="preserve">ligera de las modalidades T1n, T1c, T2w y FLAIR mejora la delimitación de las regiones ET, TC y WT en</w:t>
      </w:r>
      <w:r>
        <w:rPr>
          <w:lang w:val="es-ES"/>
        </w:rPr>
        <w:t xml:space="preserve"> </w:t>
      </w:r>
      <w:r>
        <w:rPr>
          <w:lang w:val="es-ES"/>
        </w:rPr>
        <w:t xml:space="preserve">BraTS-GLI 2024 frente a la concatenación directa de canales, considerando tanto el rendimiento de</w:t>
      </w:r>
      <w:r>
        <w:rPr>
          <w:lang w:val="es-ES"/>
        </w:rPr>
        <w:t xml:space="preserve"> </w:t>
      </w:r>
      <w:r>
        <w:rPr>
          <w:lang w:val="es-ES"/>
        </w:rPr>
        <w:t xml:space="preserve">segmentación como el coste computacional.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Objetivos específicos:</w:t>
      </w:r>
    </w:p>
    <w:p>
      <w:pPr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Construir un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reproducible con MONAI para cargar los volúmenes MRI multimodales,</w:t>
      </w:r>
      <w:r>
        <w:rPr>
          <w:lang w:val="es-ES"/>
        </w:rPr>
        <w:t xml:space="preserve"> </w:t>
      </w:r>
      <w:r>
        <w:rPr>
          <w:lang w:val="es-ES"/>
        </w:rPr>
        <w:t xml:space="preserve">transformar las etiquetas en las regiones objetivo, normalizar las intensidades por modalidad y</w:t>
      </w:r>
      <w:r>
        <w:rPr>
          <w:lang w:val="es-ES"/>
        </w:rPr>
        <w:t xml:space="preserve"> </w:t>
      </w:r>
      <w:r>
        <w:rPr>
          <w:lang w:val="es-ES"/>
        </w:rPr>
        <w:t xml:space="preserve">aplicar aumento de datos durante el entrenamiento.</w:t>
      </w:r>
    </w:p>
    <w:p>
      <w:pPr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Implementar y entrenar una Residual U-Net 3D que reciba las cuatro modalidades concatenadas como</w:t>
      </w:r>
      <w:r>
        <w:rPr>
          <w:lang w:val="es-ES"/>
        </w:rPr>
        <w:t xml:space="preserve"> </w:t>
      </w:r>
      <w:r>
        <w:rPr>
          <w:lang w:val="es-ES"/>
        </w:rPr>
        <w:t xml:space="preserve">canales de entrada, estableciendo el modelo base de las comparaciones.</w:t>
      </w:r>
    </w:p>
    <w:p>
      <w:pPr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Diseñar e integrar, antes del codificador, una compuerta adaptativa ligera que estime un peso por</w:t>
      </w:r>
      <w:r>
        <w:rPr>
          <w:lang w:val="es-ES"/>
        </w:rPr>
        <w:t xml:space="preserve"> </w:t>
      </w:r>
      <w:r>
        <w:rPr>
          <w:lang w:val="es-ES"/>
        </w:rPr>
        <w:t xml:space="preserve">modalidad en función del contenido de la entrada y lo aplique a los canales.</w:t>
      </w:r>
    </w:p>
    <w:p>
      <w:pPr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Realizar un estudio de ablación controlado que compare concatenación directa, ponderación global</w:t>
      </w:r>
      <w:r>
        <w:rPr>
          <w:lang w:val="es-ES"/>
        </w:rPr>
        <w:t xml:space="preserve"> </w:t>
      </w:r>
      <w:r>
        <w:rPr>
          <w:lang w:val="es-ES"/>
        </w:rPr>
        <w:t xml:space="preserve">estática y dos variantes de ponderación adaptativa —basadas en la media y en</w:t>
      </w:r>
      <w:r>
        <w:rPr>
          <w:lang w:val="es-ES"/>
        </w:rPr>
        <w:t xml:space="preserve"> </w:t>
      </w:r>
      <w:r>
        <w:rPr>
          <w:lang w:val="es-ES"/>
        </w:rPr>
        <w:t xml:space="preserve">media+desviación—, manteniendo constantes la arquitectura base, las particiones y el protocolo de</w:t>
      </w:r>
      <w:r>
        <w:rPr>
          <w:lang w:val="es-ES"/>
        </w:rPr>
        <w:t xml:space="preserve"> </w:t>
      </w:r>
      <w:r>
        <w:rPr>
          <w:lang w:val="es-ES"/>
        </w:rPr>
        <w:t xml:space="preserve">entrenamiento.</w:t>
      </w:r>
    </w:p>
    <w:p>
      <w:pPr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Evaluar las variantes de fusión mediante Dice y HD95 para ET, TC y WT, y analizar su huella</w:t>
      </w:r>
      <w:r>
        <w:rPr>
          <w:lang w:val="es-ES"/>
        </w:rPr>
        <w:t xml:space="preserve"> </w:t>
      </w:r>
      <w:r>
        <w:rPr>
          <w:lang w:val="es-ES"/>
        </w:rPr>
        <w:t xml:space="preserve">computacional a partir del número de parámetros y de los registros disponibles de tiempo y</w:t>
      </w:r>
      <w:r>
        <w:rPr>
          <w:lang w:val="es-ES"/>
        </w:rPr>
        <w:t xml:space="preserve"> </w:t>
      </w:r>
      <w:r>
        <w:rPr>
          <w:lang w:val="es-ES"/>
        </w:rPr>
        <w:t xml:space="preserve">memoria.</w:t>
      </w:r>
    </w:p>
    <w:p>
      <w:pPr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Contextualizar los resultados comparándolos con arquitecturas de referencia de mayor complejidad</w:t>
      </w:r>
      <w:r>
        <w:rPr>
          <w:lang w:val="es-ES"/>
        </w:rPr>
        <w:t xml:space="preserve"> </w:t>
      </w:r>
      <w:r>
        <w:rPr>
          <w:lang w:val="es-ES"/>
        </w:rPr>
        <w:t xml:space="preserve">(Attention U-Net y Swin-UNETR) y con 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baseline</w:t>
      </w:r>
      <w:r>
        <w:rPr>
          <w:lang w:val="es-ES"/>
        </w:rPr>
        <w:t xml:space="preserve"> </w:t>
      </w:r>
      <w:r>
        <w:rPr>
          <w:lang w:val="es-ES"/>
        </w:rPr>
        <w:t xml:space="preserve">externo nnU-Net.</w:t>
      </w:r>
    </w:p>
    <w:p>
      <w:pPr>
        <w:rPr>
          <w:lang w:val="es-ES"/>
        </w:rPr>
      </w:pPr>
      <w:r>
        <w:rPr>
          <w:lang w:val="es-ES"/>
        </w:rPr>
        <w:t xml:space="preserve">Los objetivos se formulan de manera neutra respecto al signo del resultado: el trabajo persigue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responder</w:t>
      </w:r>
      <w:r>
        <w:rPr>
          <w:lang w:val="es-ES"/>
        </w:rPr>
        <w:t xml:space="preserve"> </w:t>
      </w:r>
      <w:r>
        <w:rPr>
          <w:lang w:val="es-ES"/>
        </w:rPr>
        <w:t xml:space="preserve">la pregunta de investigación, sea la respuesta afirmativa o negativa.</w:t>
      </w:r>
    </w:p>
    <w:bookmarkEnd w:id="4"/>
    <w:bookmarkStart w:id="6" w:name="organización-del-documento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1.4. Organización del documento</w:t>
      </w:r>
    </w:p>
    <w:p>
      <w:pPr>
        <w:rPr>
          <w:lang w:val="es-ES"/>
        </w:rPr>
      </w:pPr>
      <w:r>
        <w:rPr>
          <w:lang w:val="es-ES"/>
        </w:rPr>
        <w:t xml:space="preserve">La memoria se estructura en seis capítulos que avanzan desde la contextualización del problema hasta</w:t>
      </w:r>
      <w:r>
        <w:rPr>
          <w:lang w:val="es-ES"/>
        </w:rPr>
        <w:t xml:space="preserve"> </w:t>
      </w:r>
      <w:r>
        <w:rPr>
          <w:lang w:val="es-ES"/>
        </w:rPr>
        <w:t xml:space="preserve">la evaluación experimental de la solución.</w:t>
      </w:r>
    </w:p>
    <w:p>
      <w:pPr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 xml:space="preserve">Capítulo 1, Introducción.</w:t>
      </w:r>
      <w:r>
        <w:rPr>
          <w:lang w:val="es-ES"/>
        </w:rPr>
        <w:t xml:space="preserve"> </w:t>
      </w:r>
      <w:r>
        <w:rPr>
          <w:lang w:val="es-ES"/>
        </w:rPr>
        <w:t xml:space="preserve">Presenta el papel de la imagen médica y la inteligencia artificial en</w:t>
      </w:r>
      <w:r>
        <w:rPr>
          <w:lang w:val="es-ES"/>
        </w:rPr>
        <w:t xml:space="preserve"> </w:t>
      </w:r>
      <w:r>
        <w:rPr>
          <w:lang w:val="es-ES"/>
        </w:rPr>
        <w:t xml:space="preserve">neuro-oncología, delimita el problema, formula la pregunta de investigación y fija los objetivos.</w:t>
      </w:r>
    </w:p>
    <w:p>
      <w:pPr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 xml:space="preserve">Capítulo 2, Marco teórico y estado del arte.</w:t>
      </w:r>
      <w:r>
        <w:rPr>
          <w:lang w:val="es-ES"/>
        </w:rPr>
        <w:t xml:space="preserve"> </w:t>
      </w:r>
      <w:r>
        <w:rPr>
          <w:lang w:val="es-ES"/>
        </w:rPr>
        <w:t xml:space="preserve">Desarrolla los fundamentos: segmentación 3D de</w:t>
      </w:r>
      <w:r>
        <w:rPr>
          <w:lang w:val="es-ES"/>
        </w:rPr>
        <w:t xml:space="preserve"> </w:t>
      </w:r>
      <w:r>
        <w:rPr>
          <w:lang w:val="es-ES"/>
        </w:rPr>
        <w:t xml:space="preserve">imagen médica, arquitecturas U-Net y variantes, mecanismos de atención, modelos basados en</w:t>
      </w:r>
      <w:r>
        <w:rPr>
          <w:lang w:val="es-ES"/>
        </w:rPr>
        <w:t xml:space="preserve"> </w:t>
      </w:r>
      <w:r>
        <w:rPr>
          <w:lang w:val="es-ES"/>
        </w:rPr>
        <w:t xml:space="preserve">Transformers y estrategias de fusión multimodal; presenta 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benchmark</w:t>
      </w:r>
      <w:r>
        <w:rPr>
          <w:lang w:val="es-ES"/>
        </w:rPr>
        <w:t xml:space="preserve"> </w:t>
      </w:r>
      <w:r>
        <w:rPr>
          <w:lang w:val="es-ES"/>
        </w:rPr>
        <w:t xml:space="preserve">BraTS y formaliza las</w:t>
      </w:r>
      <w:r>
        <w:rPr>
          <w:lang w:val="es-ES"/>
        </w:rPr>
        <w:t xml:space="preserve"> </w:t>
      </w:r>
      <w:r>
        <w:rPr>
          <w:lang w:val="es-ES"/>
        </w:rPr>
        <w:t xml:space="preserve">métricas Dice y HD95.</w:t>
      </w:r>
    </w:p>
    <w:p>
      <w:pPr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 xml:space="preserve">Capítulo 3, Metodología.</w:t>
      </w:r>
      <w:r>
        <w:rPr>
          <w:lang w:val="es-ES"/>
        </w:rPr>
        <w:t xml:space="preserve"> </w:t>
      </w:r>
      <w:r>
        <w:rPr>
          <w:lang w:val="es-ES"/>
        </w:rPr>
        <w:t xml:space="preserve">Expone las fases de alto nivel del trabajo (familiarización, análisis y</w:t>
      </w:r>
      <w:r>
        <w:rPr>
          <w:lang w:val="es-ES"/>
        </w:rPr>
        <w:t xml:space="preserve"> </w:t>
      </w:r>
      <w:r>
        <w:rPr>
          <w:lang w:val="es-ES"/>
        </w:rPr>
        <w:t xml:space="preserve">preparación de datos, diseño e implementación, experimentación y evaluación), centrándose en el</w:t>
      </w:r>
      <w:r>
        <w:rPr>
          <w:lang w:val="es-ES"/>
        </w:rPr>
        <w:t xml:space="preserve"> </w:t>
      </w:r>
      <w:r>
        <w:rPr>
          <w:lang w:val="es-ES"/>
        </w:rPr>
        <w:t xml:space="preserve">proceso y dejando el detalle técnico para el capítulo siguiente.</w:t>
      </w:r>
    </w:p>
    <w:p>
      <w:pPr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 xml:space="preserve">Capítulo 4, Desarrollo.</w:t>
      </w:r>
      <w:r>
        <w:rPr>
          <w:lang w:val="es-ES"/>
        </w:rPr>
        <w:t xml:space="preserve"> </w:t>
      </w:r>
      <w:r>
        <w:rPr>
          <w:lang w:val="es-ES"/>
        </w:rPr>
        <w:t xml:space="preserve">Describe la materialización técnica de cada fase: organización del</w:t>
      </w:r>
      <w:r>
        <w:rPr>
          <w:lang w:val="es-ES"/>
        </w:rPr>
        <w:t xml:space="preserve"> </w:t>
      </w:r>
      <w:r>
        <w:rPr>
          <w:lang w:val="es-ES"/>
        </w:rPr>
        <w:t xml:space="preserve">repositorio,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MONAI, arquitecturas, mecanismos de fusión, configuración del entrenamiento,</w:t>
      </w:r>
      <w:r>
        <w:rPr>
          <w:lang w:val="es-ES"/>
        </w:rPr>
        <w:t xml:space="preserve"> </w:t>
      </w:r>
      <w:r>
        <w:rPr>
          <w:lang w:val="es-ES"/>
        </w:rPr>
        <w:t xml:space="preserve">inferencia por ventana deslizante y medidas de reproducibilidad.</w:t>
      </w:r>
    </w:p>
    <w:p>
      <w:pPr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 xml:space="preserve">Capítulo 5, Resultados.</w:t>
      </w:r>
      <w:r>
        <w:rPr>
          <w:lang w:val="es-ES"/>
        </w:rPr>
        <w:t xml:space="preserve"> </w:t>
      </w:r>
      <w:r>
        <w:rPr>
          <w:lang w:val="es-ES"/>
        </w:rPr>
        <w:t xml:space="preserve">Compara las estrategias de fusión y las arquitecturas mediante Dice y</w:t>
      </w:r>
      <w:r>
        <w:rPr>
          <w:lang w:val="es-ES"/>
        </w:rPr>
        <w:t xml:space="preserve"> </w:t>
      </w:r>
      <w:r>
        <w:rPr>
          <w:lang w:val="es-ES"/>
        </w:rPr>
        <w:t xml:space="preserve">HD95 por región sobre el conjunto de test, y examina el coste computacional.</w:t>
      </w:r>
    </w:p>
    <w:p>
      <w:pPr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 xml:space="preserve">Capítulo 6, Conclusiones.</w:t>
      </w:r>
      <w:r>
        <w:rPr>
          <w:lang w:val="es-ES"/>
        </w:rPr>
        <w:t xml:space="preserve"> </w:t>
      </w:r>
      <w:r>
        <w:rPr>
          <w:lang w:val="es-ES"/>
        </w:rPr>
        <w:t xml:space="preserve">Sintetiza los hallazgos, responde a la pregunta de investigación,</w:t>
      </w:r>
      <w:r>
        <w:rPr>
          <w:lang w:val="es-ES"/>
        </w:rPr>
        <w:t xml:space="preserve"> </w:t>
      </w:r>
      <w:r>
        <w:rPr>
          <w:lang w:val="es-ES"/>
        </w:rPr>
        <w:t xml:space="preserve">valora el cumplimiento de los objetivos y expone limitaciones y líneas de trabajo futuro.</w:t>
      </w:r>
    </w:p>
    <w:p>
      <w:pPr>
        <w:rPr>
          <w:lang w:val="es-ES"/>
        </w:rPr>
      </w:pPr>
      <w:r>
        <w:rPr>
          <w:lang w:val="es-ES"/>
        </w:rPr>
        <w:t xml:space="preserve">Tras estos capítulos se incluyen la relación completa de referencias bibliográficas y un apéndice de</w:t>
      </w:r>
      <w:r>
        <w:rPr>
          <w:lang w:val="es-ES"/>
        </w:rPr>
        <w:t xml:space="preserve"> </w:t>
      </w:r>
      <w:r>
        <w:rPr>
          <w:lang w:val="es-ES"/>
        </w:rPr>
        <w:t xml:space="preserve">reproducibilidad.</w:t>
      </w:r>
    </w:p>
    <w:bookmarkEnd w:id="5"/>
    <w:bookmarkEnd w:id="6"/>
    <w:bookmarkStart w:id="7" w:name="marco-teórico-y-estado-del-arte"/>
    <w:p>
      <w:pPr>
        <w:keepNext/>
        <w:keepLines/>
        <w:pageBreakBefore/>
        <w:numPr>
          <w:numId w:val="0"/>
        </w:numPr>
        <w:pStyle w:val="Heading1"/>
        <w:rPr>
          <w:lang w:val="es-ES"/>
        </w:rPr>
      </w:pPr>
      <w:r>
        <w:rPr>
          <w:lang w:val="es-ES"/>
        </w:rPr>
        <w:t xml:space="preserve">2. Marco teórico y estado del arte</w:t>
      </w:r>
    </w:p>
    <w:p>
      <w:pPr>
        <w:rPr>
          <w:lang w:val="es-ES"/>
        </w:rPr>
      </w:pPr>
      <w:r>
        <w:rPr>
          <w:lang w:val="es-ES"/>
        </w:rPr>
        <w:t xml:space="preserve">Este capítulo presenta los fundamentos necesarios para situar la aportación del TFM. Primero se</w:t>
      </w:r>
      <w:r>
        <w:rPr>
          <w:lang w:val="es-ES"/>
        </w:rPr>
        <w:t xml:space="preserve"> </w:t>
      </w:r>
      <w:r>
        <w:rPr>
          <w:lang w:val="es-ES"/>
        </w:rPr>
        <w:t xml:space="preserve">describe la evolución desde las redes completamente convolucionales hasta las arquitecturas 3D con</w:t>
      </w:r>
      <w:r>
        <w:rPr>
          <w:lang w:val="es-ES"/>
        </w:rPr>
        <w:t xml:space="preserve"> </w:t>
      </w:r>
      <w:r>
        <w:rPr>
          <w:lang w:val="es-ES"/>
        </w:rPr>
        <w:t xml:space="preserve">conexiones residuales, atención y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Transformers</w:t>
      </w:r>
      <w:r>
        <w:rPr>
          <w:lang w:val="es-ES"/>
        </w:rPr>
        <w:t xml:space="preserve">. A continuación se ordena la literatura sobre</w:t>
      </w:r>
      <w:r>
        <w:rPr>
          <w:lang w:val="es-ES"/>
        </w:rPr>
        <w:t xml:space="preserve"> </w:t>
      </w:r>
      <w:r>
        <w:rPr>
          <w:lang w:val="es-ES"/>
        </w:rPr>
        <w:t xml:space="preserve">fusión multimodal distinguiendo dos decisiones que a menudo se confunden: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 qué etapa</w:t>
      </w:r>
      <w:r>
        <w:rPr>
          <w:lang w:val="es-ES"/>
        </w:rPr>
        <w:t xml:space="preserve"> </w:t>
      </w:r>
      <w:r>
        <w:rPr>
          <w:lang w:val="es-ES"/>
        </w:rPr>
        <w:t xml:space="preserve">se</w:t>
      </w:r>
      <w:r>
        <w:rPr>
          <w:lang w:val="es-ES"/>
        </w:rPr>
        <w:t xml:space="preserve"> </w:t>
      </w:r>
      <w:r>
        <w:rPr>
          <w:lang w:val="es-ES"/>
        </w:rPr>
        <w:t xml:space="preserve">integran las modalidades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mediante qué regla</w:t>
      </w:r>
      <w:r>
        <w:rPr>
          <w:lang w:val="es-ES"/>
        </w:rPr>
        <w:t xml:space="preserve"> </w:t>
      </w:r>
      <w:r>
        <w:rPr>
          <w:lang w:val="es-ES"/>
        </w:rPr>
        <w:t xml:space="preserve">se combinan. Por último, se introduce 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benchmark</w:t>
      </w:r>
      <w:r>
        <w:rPr>
          <w:lang w:val="es-ES"/>
        </w:rPr>
        <w:t xml:space="preserve"> </w:t>
      </w:r>
      <w:r>
        <w:rPr>
          <w:lang w:val="es-ES"/>
        </w:rPr>
        <w:t xml:space="preserve">BraTS-GLI 2024, se formalizan las métricas de evaluación, se delimita el análisis de</w:t>
      </w:r>
      <w:r>
        <w:rPr>
          <w:lang w:val="es-ES"/>
        </w:rPr>
        <w:t xml:space="preserve"> </w:t>
      </w:r>
      <w:r>
        <w:rPr>
          <w:lang w:val="es-ES"/>
        </w:rPr>
        <w:t xml:space="preserve">coste computacional y se justifican las implementaciones consideradas en el trabajo. Esta revisión</w:t>
      </w:r>
      <w:r>
        <w:rPr>
          <w:lang w:val="es-ES"/>
        </w:rPr>
        <w:t xml:space="preserve"> </w:t>
      </w:r>
      <w:r>
        <w:rPr>
          <w:lang w:val="es-ES"/>
        </w:rPr>
        <w:t xml:space="preserve">permite concretar la brecha abordada: comprobar de forma controlada si una ponderación ligera y</w:t>
      </w:r>
      <w:r>
        <w:rPr>
          <w:lang w:val="es-ES"/>
        </w:rPr>
        <w:t xml:space="preserve"> </w:t>
      </w:r>
      <w:r>
        <w:rPr>
          <w:lang w:val="es-ES"/>
        </w:rPr>
        <w:t xml:space="preserve">dependiente de la entrada aporta ventajas frente a la concatenación, sin cambiar la red de</w:t>
      </w:r>
      <w:r>
        <w:rPr>
          <w:lang w:val="es-ES"/>
        </w:rPr>
        <w:t xml:space="preserve"> </w:t>
      </w:r>
      <w:r>
        <w:rPr>
          <w:lang w:val="es-ES"/>
        </w:rPr>
        <w:t xml:space="preserve">segmentación que recibe las modalidades.</w:t>
      </w:r>
    </w:p>
    <w:bookmarkStart w:id="8" w:name="X9010270f9f72e6f804ec0f269a51884fc378487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2.1. De las redes completamente convolucionales a U-Net 3D</w:t>
      </w:r>
    </w:p>
    <w:p>
      <w:pPr>
        <w:rPr>
          <w:lang w:val="es-ES"/>
        </w:rPr>
      </w:pPr>
      <w:r>
        <w:rPr>
          <w:lang w:val="es-ES"/>
        </w:rPr>
        <w:t xml:space="preserve">La segmentación semántica asigna una clase a cada elemento de una imagen. En MRI volumétrica, la</w:t>
      </w:r>
      <w:r>
        <w:rPr>
          <w:lang w:val="es-ES"/>
        </w:rPr>
        <w:t xml:space="preserve"> </w:t>
      </w:r>
      <w:r>
        <w:rPr>
          <w:lang w:val="es-ES"/>
        </w:rPr>
        <w:t xml:space="preserve">entrada puede representarse como un tensor con</w:t>
      </w:r>
      <w:r>
        <w:rPr>
          <w:lang w:val="es-ES"/>
        </w:rPr>
        <w:t xml:space="preserve"> </w:t>
      </w:r>
      <m:oMath>
        <m:r>
          <m:t>M</m:t>
        </m:r>
      </m:oMath>
      <w:r>
        <w:rPr>
          <w:lang w:val="es-ES"/>
        </w:rPr>
        <w:t xml:space="preserve"> </w:t>
      </w:r>
      <w:r>
        <w:rPr>
          <w:lang w:val="es-ES"/>
        </w:rPr>
        <w:t xml:space="preserve">modalidades y tres dimensiones espaciales, y</w:t>
      </w:r>
      <w:r>
        <w:rPr>
          <w:lang w:val="es-ES"/>
        </w:rPr>
        <w:t xml:space="preserve"> </w:t>
      </w:r>
      <w:r>
        <w:rPr>
          <w:lang w:val="es-ES"/>
        </w:rPr>
        <w:t xml:space="preserve">la salida como uno o varios mapas de probabilidad con la misma correspondencia anatómica. Las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redes completamente convolucionales</w:t>
      </w:r>
      <w:r>
        <w:rPr>
          <w:lang w:val="es-ES"/>
        </w:rPr>
        <w:t xml:space="preserve"> </w:t>
      </w:r>
      <w:r>
        <w:rPr>
          <w:lang w:val="es-ES"/>
        </w:rPr>
        <w:t xml:space="preserve">(FCN) sustituyeron las capas densas finales de los</w:t>
      </w:r>
      <w:r>
        <w:rPr>
          <w:lang w:val="es-ES"/>
        </w:rPr>
        <w:t xml:space="preserve"> </w:t>
      </w:r>
      <w:r>
        <w:rPr>
          <w:lang w:val="es-ES"/>
        </w:rPr>
        <w:t xml:space="preserve">clasificadores por operadores convolucionales y mecanismos de remuestreo, haciendo posible una</w:t>
      </w:r>
      <w:r>
        <w:rPr>
          <w:lang w:val="es-ES"/>
        </w:rPr>
        <w:t xml:space="preserve"> </w:t>
      </w:r>
      <w:r>
        <w:rPr>
          <w:lang w:val="es-ES"/>
        </w:rPr>
        <w:t xml:space="preserve">predicción densa de extremo a extremo (Long et al., 2015). Su principal dificultad era recuperar</w:t>
      </w:r>
      <w:r>
        <w:rPr>
          <w:lang w:val="es-ES"/>
        </w:rPr>
        <w:t xml:space="preserve"> </w:t>
      </w:r>
      <w:r>
        <w:rPr>
          <w:lang w:val="es-ES"/>
        </w:rPr>
        <w:t xml:space="preserve">con precisión la localización espacial después de las sucesivas reducciones de resolución del</w:t>
      </w:r>
      <w:r>
        <w:rPr>
          <w:lang w:val="es-ES"/>
        </w:rPr>
        <w:t xml:space="preserve"> </w:t>
      </w:r>
      <w:r>
        <w:rPr>
          <w:lang w:val="es-ES"/>
        </w:rPr>
        <w:t xml:space="preserve">codificador.</w:t>
      </w:r>
    </w:p>
    <w:p>
      <w:pPr>
        <w:rPr>
          <w:lang w:val="es-ES"/>
        </w:rPr>
      </w:pPr>
      <w:r>
        <w:rPr>
          <w:lang w:val="es-ES"/>
        </w:rPr>
        <w:t xml:space="preserve">U-Net respondió a ese problema con una estructura aproximadamente simétrica formada por un camino</w:t>
      </w:r>
      <w:r>
        <w:rPr>
          <w:lang w:val="es-ES"/>
        </w:rPr>
        <w:t xml:space="preserve"> </w:t>
      </w:r>
      <w:r>
        <w:rPr>
          <w:lang w:val="es-ES"/>
        </w:rPr>
        <w:t xml:space="preserve">de contracción y otro de expansión. Las conexiones de salto trasladan al decodificador</w:t>
      </w:r>
      <w:r>
        <w:rPr>
          <w:lang w:val="es-ES"/>
        </w:rPr>
        <w:t xml:space="preserve"> </w:t>
      </w:r>
      <w:r>
        <w:rPr>
          <w:lang w:val="es-ES"/>
        </w:rPr>
        <w:t xml:space="preserve">características de alta resolución producidas por el codificador, de forma que la decisión final</w:t>
      </w:r>
      <w:r>
        <w:rPr>
          <w:lang w:val="es-ES"/>
        </w:rPr>
        <w:t xml:space="preserve"> </w:t>
      </w:r>
      <w:r>
        <w:rPr>
          <w:lang w:val="es-ES"/>
        </w:rPr>
        <w:t xml:space="preserve">combina contexto semántico y detalle espacial (Ronneberger et al., 2015). Esta organización resulta</w:t>
      </w:r>
      <w:r>
        <w:rPr>
          <w:lang w:val="es-ES"/>
        </w:rPr>
        <w:t xml:space="preserve"> </w:t>
      </w:r>
      <w:r>
        <w:rPr>
          <w:lang w:val="es-ES"/>
        </w:rPr>
        <w:t xml:space="preserve">especialmente adecuada para imagen biomédica, donde las estructuras de interés pueden ser pequeñas</w:t>
      </w:r>
      <w:r>
        <w:rPr>
          <w:lang w:val="es-ES"/>
        </w:rPr>
        <w:t xml:space="preserve"> </w:t>
      </w:r>
      <w:r>
        <w:rPr>
          <w:lang w:val="es-ES"/>
        </w:rPr>
        <w:t xml:space="preserve">y el número de ejemplos anotados suele ser limitado.</w:t>
      </w:r>
    </w:p>
    <w:p>
      <w:pPr>
        <w:rPr>
          <w:lang w:val="es-ES"/>
        </w:rPr>
      </w:pPr>
      <w:r>
        <w:rPr>
          <w:lang w:val="es-ES"/>
        </w:rPr>
        <w:t xml:space="preserve">La extensión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U-Net 3D</w:t>
      </w:r>
      <w:r>
        <w:rPr>
          <w:lang w:val="es-ES"/>
        </w:rPr>
        <w:t xml:space="preserve"> </w:t>
      </w:r>
      <w:r>
        <w:rPr>
          <w:lang w:val="es-ES"/>
        </w:rPr>
        <w:t xml:space="preserve">reemplaza los operadores bidimensionales por convoluciones, normalizaciones</w:t>
      </w:r>
      <w:r>
        <w:rPr>
          <w:lang w:val="es-ES"/>
        </w:rPr>
        <w:t xml:space="preserve"> </w:t>
      </w:r>
      <w:r>
        <w:rPr>
          <w:lang w:val="es-ES"/>
        </w:rPr>
        <w:t xml:space="preserve">y remuestreos tridimensionales. Así se modela la continuidad entre cortes en lugar de tratar cada</w:t>
      </w:r>
      <w:r>
        <w:rPr>
          <w:lang w:val="es-ES"/>
        </w:rPr>
        <w:t xml:space="preserve"> </w:t>
      </w:r>
      <w:r>
        <w:rPr>
          <w:lang w:val="es-ES"/>
        </w:rPr>
        <w:t xml:space="preserve">plano como una observación independiente. Çiçek et al. (2016) mostraron que esta formulación permite</w:t>
      </w:r>
      <w:r>
        <w:rPr>
          <w:lang w:val="es-ES"/>
        </w:rPr>
        <w:t xml:space="preserve"> </w:t>
      </w:r>
      <w:r>
        <w:rPr>
          <w:lang w:val="es-ES"/>
        </w:rPr>
        <w:t xml:space="preserve">aprender segmentación volumétrica incluso a partir de anotaciones escasas, mientras que V-Net</w:t>
      </w:r>
      <w:r>
        <w:rPr>
          <w:lang w:val="es-ES"/>
        </w:rPr>
        <w:t xml:space="preserve"> </w:t>
      </w:r>
      <w:r>
        <w:rPr>
          <w:lang w:val="es-ES"/>
        </w:rPr>
        <w:t xml:space="preserve">desarrolló otra arquitectura completamente convolucional 3D e introdujo una función objetivo basada</w:t>
      </w:r>
      <w:r>
        <w:rPr>
          <w:lang w:val="es-ES"/>
        </w:rPr>
        <w:t xml:space="preserve"> </w:t>
      </w:r>
      <w:r>
        <w:rPr>
          <w:lang w:val="es-ES"/>
        </w:rPr>
        <w:t xml:space="preserve">en Dice para afrontar el fuerte desequilibrio entre fondo y lesión (Milletari et al., 2016).</w:t>
      </w:r>
    </w:p>
    <w:p>
      <w:pPr>
        <w:rPr>
          <w:lang w:val="es-ES"/>
        </w:rPr>
      </w:pPr>
      <w:r>
        <w:rPr>
          <w:lang w:val="es-ES"/>
        </w:rPr>
        <w:t xml:space="preserve">El procesamiento 3D conserva más contexto anatómico, pero incrementa de manera pronunciada la</w:t>
      </w:r>
      <w:r>
        <w:rPr>
          <w:lang w:val="es-ES"/>
        </w:rPr>
        <w:t xml:space="preserve"> </w:t>
      </w:r>
      <w:r>
        <w:rPr>
          <w:lang w:val="es-ES"/>
        </w:rPr>
        <w:t xml:space="preserve">memoria ocupada por las activaciones. Por ello, los sistemas volumétricos suelen entrenarse sobre</w:t>
      </w:r>
      <w:r>
        <w:rPr>
          <w:lang w:val="es-ES"/>
        </w:rPr>
        <w:t xml:space="preserve"> </w:t>
      </w:r>
      <w:r>
        <w:rPr>
          <w:lang w:val="es-ES"/>
        </w:rPr>
        <w:t xml:space="preserve">parches y reconstruir la predicción completa mediante ventanas solapadas. El tamaño de parche pasa a</w:t>
      </w:r>
      <w:r>
        <w:rPr>
          <w:lang w:val="es-ES"/>
        </w:rPr>
        <w:t xml:space="preserve"> </w:t>
      </w:r>
      <w:r>
        <w:rPr>
          <w:lang w:val="es-ES"/>
        </w:rPr>
        <w:t xml:space="preserve">ser una decisión conjunta de contexto, resolución y memoria: un parche mayor aporta más información</w:t>
      </w:r>
      <w:r>
        <w:rPr>
          <w:lang w:val="es-ES"/>
        </w:rPr>
        <w:t xml:space="preserve"> </w:t>
      </w:r>
      <w:r>
        <w:rPr>
          <w:lang w:val="es-ES"/>
        </w:rPr>
        <w:t xml:space="preserve">global, pero limita el tamaño de lote o la capacidad de la red. Esta tensión explica por qué una</w:t>
      </w:r>
      <w:r>
        <w:rPr>
          <w:lang w:val="es-ES"/>
        </w:rPr>
        <w:t xml:space="preserve"> </w:t>
      </w:r>
      <w:r>
        <w:rPr>
          <w:lang w:val="es-ES"/>
        </w:rPr>
        <w:t xml:space="preserve">arquitectura teóricamente más expresiva no es necesariamente la mejor bajo un presupuesto de</w:t>
      </w:r>
      <w:r>
        <w:rPr>
          <w:lang w:val="es-ES"/>
        </w:rPr>
        <w:t xml:space="preserve"> </w:t>
      </w:r>
      <w:r>
        <w:rPr>
          <w:lang w:val="es-ES"/>
        </w:rPr>
        <w:t xml:space="preserve">cómputo fijo.</w:t>
      </w:r>
    </w:p>
    <w:bookmarkEnd w:id="7"/>
    <w:bookmarkStart w:id="9" w:name="Xe31c1bec1939cbc5814166bf703a3cb495ca098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2.2. Refinamientos convolucionales: residuos, atención y auto-configuración</w:t>
      </w:r>
    </w:p>
    <w:bookmarkStart w:id="10" w:name="conexiones-residuales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2.2.1. Conexiones residuales</w:t>
      </w:r>
    </w:p>
    <w:p>
      <w:pPr>
        <w:rPr>
          <w:lang w:val="es-ES"/>
        </w:rPr>
      </w:pPr>
      <w:r>
        <w:rPr>
          <w:lang w:val="es-ES"/>
        </w:rPr>
        <w:t xml:space="preserve">Las redes profundas pueden resultar difíciles de optimizar porque cada bloque debe aprender una</w:t>
      </w:r>
      <w:r>
        <w:rPr>
          <w:lang w:val="es-ES"/>
        </w:rPr>
        <w:t xml:space="preserve"> </w:t>
      </w:r>
      <w:r>
        <w:rPr>
          <w:lang w:val="es-ES"/>
        </w:rPr>
        <w:t xml:space="preserve">transformación completa y el gradiente atraviesa una cadena larga de operaciones. Una conexión</w:t>
      </w:r>
      <w:r>
        <w:rPr>
          <w:lang w:val="es-ES"/>
        </w:rPr>
        <w:t xml:space="preserve"> </w:t>
      </w:r>
      <w:r>
        <w:rPr>
          <w:lang w:val="es-ES"/>
        </w:rPr>
        <w:t xml:space="preserve">residual reformula un bloque como</w:t>
      </w:r>
    </w:p>
    <w:p>
      <w:pPr>
        <w:rPr>
          <w:lang w:val="es-ES"/>
        </w:rPr>
      </w:pPr>
      <m:oMathPara>
        <m:oMathParaPr>
          <m:jc m:val="center"/>
        </m:oMathParaPr>
        <m:oMath>
          <m:r>
            <m:rPr>
              <m:sty m:val="bi"/>
            </m:rPr>
            <m:t>y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;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</m:oMath>
      </m:oMathPara>
    </w:p>
    <w:p>
      <w:pPr>
        <w:rPr>
          <w:lang w:val="es-ES"/>
        </w:rPr>
      </w:pPr>
      <w:r>
        <w:rPr>
          <w:lang w:val="es-ES"/>
        </w:rPr>
        <w:t xml:space="preserve">donde</w:t>
      </w:r>
      <w:r>
        <w:rPr>
          <w:lang w:val="es-ES"/>
        </w:rPr>
        <w:t xml:space="preserve"> </w:t>
      </w:r>
      <m:oMath>
        <m:r>
          <m:rPr>
            <m:scr m:val="script"/>
            <m:sty m:val="p"/>
          </m:rPr>
          <m:t>F</m:t>
        </m:r>
      </m:oMath>
      <w:r>
        <w:rPr>
          <w:lang w:val="es-ES"/>
        </w:rPr>
        <w:t xml:space="preserve"> </w:t>
      </w:r>
      <w:r>
        <w:rPr>
          <w:lang w:val="es-ES"/>
        </w:rPr>
        <w:t xml:space="preserve">aprende el residuo respecto de la identidad. Este camino directo facilita la</w:t>
      </w:r>
      <w:r>
        <w:rPr>
          <w:lang w:val="es-ES"/>
        </w:rPr>
        <w:t xml:space="preserve"> </w:t>
      </w:r>
      <w:r>
        <w:rPr>
          <w:lang w:val="es-ES"/>
        </w:rPr>
        <w:t xml:space="preserve">propagación de información y gradientes y permitió entrenar redes considerablemente más profundas</w:t>
      </w:r>
      <w:r>
        <w:rPr>
          <w:lang w:val="es-ES"/>
        </w:rPr>
        <w:t xml:space="preserve"> </w:t>
      </w:r>
      <w:r>
        <w:rPr>
          <w:lang w:val="es-ES"/>
        </w:rPr>
        <w:t xml:space="preserve">(He et al., 2016). En una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Residual U-Net</w:t>
      </w:r>
      <w:r>
        <w:rPr>
          <w:lang w:val="es-ES"/>
        </w:rPr>
        <w:t xml:space="preserve">, estos bloques se incorporan al codificador y al</w:t>
      </w:r>
      <w:r>
        <w:rPr>
          <w:lang w:val="es-ES"/>
        </w:rPr>
        <w:t xml:space="preserve"> </w:t>
      </w:r>
      <w:r>
        <w:rPr>
          <w:lang w:val="es-ES"/>
        </w:rPr>
        <w:t xml:space="preserve">decodificador sin eliminar las conexiones de salto entre ambos caminos. Se preserva así la</w:t>
      </w:r>
      <w:r>
        <w:rPr>
          <w:lang w:val="es-ES"/>
        </w:rPr>
        <w:t xml:space="preserve"> </w:t>
      </w:r>
      <w:r>
        <w:rPr>
          <w:lang w:val="es-ES"/>
        </w:rPr>
        <w:t xml:space="preserve">estructura multiescala de U-Net y se mejora la optimización interna de cada nivel.</w:t>
      </w:r>
    </w:p>
    <w:p>
      <w:pPr>
        <w:rPr>
          <w:lang w:val="es-ES"/>
        </w:rPr>
      </w:pPr>
      <w:r>
        <w:rPr>
          <w:lang w:val="es-ES"/>
        </w:rPr>
        <w:t xml:space="preserve">Las conexiones residuales no deben confundirse con una estrategia de fusión multimodal. Un bloque</w:t>
      </w:r>
      <w:r>
        <w:rPr>
          <w:lang w:val="es-ES"/>
        </w:rPr>
        <w:t xml:space="preserve"> </w:t>
      </w:r>
      <w:r>
        <w:rPr>
          <w:lang w:val="es-ES"/>
        </w:rPr>
        <w:t xml:space="preserve">residual modifica cómo se transforman las características dentro de la red; la fusión determina</w:t>
      </w:r>
      <w:r>
        <w:rPr>
          <w:lang w:val="es-ES"/>
        </w:rPr>
        <w:t xml:space="preserve"> </w:t>
      </w:r>
      <w:r>
        <w:rPr>
          <w:lang w:val="es-ES"/>
        </w:rPr>
        <w:t xml:space="preserve">cómo llegan al modelo las distintas secuencias MRI. Esta independencia permite mantener fija una</w:t>
      </w:r>
      <w:r>
        <w:rPr>
          <w:lang w:val="es-ES"/>
        </w:rPr>
        <w:t xml:space="preserve"> </w:t>
      </w:r>
      <w:r>
        <w:rPr>
          <w:lang w:val="es-ES"/>
        </w:rPr>
        <w:t xml:space="preserve">Residual U-Net 3D y cambiar únicamente la regla de combinación de modalidades, que es el diseño del</w:t>
      </w:r>
      <w:r>
        <w:rPr>
          <w:lang w:val="es-ES"/>
        </w:rPr>
        <w:t xml:space="preserve"> </w:t>
      </w:r>
      <w:r>
        <w:rPr>
          <w:lang w:val="es-ES"/>
        </w:rPr>
        <w:t xml:space="preserve">estudio de ablación de este TFM.</w:t>
      </w:r>
    </w:p>
    <w:bookmarkEnd w:id="8"/>
    <w:bookmarkStart w:id="11" w:name="compuertas-de-atención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2.2.2. Compuertas de atención</w:t>
      </w:r>
    </w:p>
    <w:p>
      <w:pPr>
        <w:rPr>
          <w:lang w:val="es-ES"/>
        </w:rPr>
      </w:pPr>
      <w:r>
        <w:rPr>
          <w:lang w:val="es-ES"/>
        </w:rPr>
        <w:t xml:space="preserve">Las conexiones de salto de U-Net transmiten tanto señales relevantes como activaciones de fondo.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Attention U-Net</w:t>
      </w:r>
      <w:r>
        <w:rPr>
          <w:lang w:val="es-ES"/>
        </w:rPr>
        <w:t xml:space="preserve"> </w:t>
      </w:r>
      <w:r>
        <w:rPr>
          <w:lang w:val="es-ES"/>
        </w:rPr>
        <w:t xml:space="preserve">incorpora compuertas que utilizan una señal de contexto procedente del</w:t>
      </w:r>
      <w:r>
        <w:rPr>
          <w:lang w:val="es-ES"/>
        </w:rPr>
        <w:t xml:space="preserve"> </w:t>
      </w:r>
      <w:r>
        <w:rPr>
          <w:lang w:val="es-ES"/>
        </w:rPr>
        <w:t xml:space="preserve">decodificador para modular espacialmente las características del codificador antes de combinarlas</w:t>
      </w:r>
      <w:r>
        <w:rPr>
          <w:lang w:val="es-ES"/>
        </w:rPr>
        <w:t xml:space="preserve"> </w:t>
      </w:r>
      <w:r>
        <w:rPr>
          <w:lang w:val="es-ES"/>
        </w:rPr>
        <w:t xml:space="preserve">(Oktay et al., 2018). El mecanismo dirige capacidad hacia regiones compatibles con el objetivo y</w:t>
      </w:r>
      <w:r>
        <w:rPr>
          <w:lang w:val="es-ES"/>
        </w:rPr>
        <w:t xml:space="preserve"> </w:t>
      </w:r>
      <w:r>
        <w:rPr>
          <w:lang w:val="es-ES"/>
        </w:rPr>
        <w:t xml:space="preserve">puede reducir respuestas irrelevantes sin exigir una red de localización separada. El trabajo</w:t>
      </w:r>
      <w:r>
        <w:rPr>
          <w:lang w:val="es-ES"/>
        </w:rPr>
        <w:t xml:space="preserve"> </w:t>
      </w:r>
      <w:r>
        <w:rPr>
          <w:lang w:val="es-ES"/>
        </w:rPr>
        <w:t xml:space="preserve">original se validó sobre segmentación abdominal; su utilidad en gliomas debe, por tanto, evaluarse</w:t>
      </w:r>
      <w:r>
        <w:rPr>
          <w:lang w:val="es-ES"/>
        </w:rPr>
        <w:t xml:space="preserve"> </w:t>
      </w:r>
      <w:r>
        <w:rPr>
          <w:lang w:val="es-ES"/>
        </w:rPr>
        <w:t xml:space="preserve">experimentalmente y no asumirse por traslación directa entre dominios.</w:t>
      </w:r>
    </w:p>
    <w:p>
      <w:pPr>
        <w:rPr>
          <w:lang w:val="es-ES"/>
        </w:rPr>
      </w:pPr>
      <w:r>
        <w:rPr>
          <w:lang w:val="es-ES"/>
        </w:rPr>
        <w:t xml:space="preserve">Esta atención sobre conexiones de salto tampoco equivale a ponderar modalidades. La primera asigna</w:t>
      </w:r>
      <w:r>
        <w:rPr>
          <w:lang w:val="es-ES"/>
        </w:rPr>
        <w:t xml:space="preserve"> </w:t>
      </w:r>
      <w:r>
        <w:rPr>
          <w:lang w:val="es-ES"/>
        </w:rPr>
        <w:t xml:space="preserve">relevancia a posiciones y características internas; una compuerta de modalidad decide cuánto</w:t>
      </w:r>
      <w:r>
        <w:rPr>
          <w:lang w:val="es-ES"/>
        </w:rPr>
        <w:t xml:space="preserve"> </w:t>
      </w:r>
      <w:r>
        <w:rPr>
          <w:lang w:val="es-ES"/>
        </w:rPr>
        <w:t xml:space="preserve">contribuye cada secuencia de entrada. Attention U-Net se incluye en este TFM como referencia</w:t>
      </w:r>
      <w:r>
        <w:rPr>
          <w:lang w:val="es-ES"/>
        </w:rPr>
        <w:t xml:space="preserve"> </w:t>
      </w:r>
      <w:r>
        <w:rPr>
          <w:lang w:val="es-ES"/>
        </w:rPr>
        <w:t xml:space="preserve">arquitectónica contextual, mientras que la hipótesis principal se estudia sobre una red residual</w:t>
      </w:r>
      <w:r>
        <w:rPr>
          <w:lang w:val="es-ES"/>
        </w:rPr>
        <w:t xml:space="preserve"> </w:t>
      </w:r>
      <w:r>
        <w:rPr>
          <w:lang w:val="es-ES"/>
        </w:rPr>
        <w:t xml:space="preserve">fija.</w:t>
      </w:r>
    </w:p>
    <w:bookmarkEnd w:id="9"/>
    <w:bookmarkStart w:id="12" w:name="nnu-net-como-pipeline-auto-configurable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2.2.3. nnU-Net como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auto-configurable</w:t>
      </w:r>
    </w:p>
    <w:p>
      <w:pPr>
        <w:rPr>
          <w:lang w:val="es-ES"/>
        </w:rPr>
      </w:pPr>
      <w:r>
        <w:rPr>
          <w:lang w:val="es-ES"/>
        </w:rPr>
        <w:t xml:space="preserve">nnU-Net no es solamente una nueva variante de U-Net. Es un método auto-configurable que obtiene una</w:t>
      </w:r>
      <w:r>
        <w:rPr>
          <w:lang w:val="es-ES"/>
        </w:rPr>
        <w:t xml:space="preserve"> </w:t>
      </w:r>
      <w:r>
        <w:rPr>
          <w:lang w:val="es-ES"/>
        </w:rPr>
        <w:t xml:space="preserve">«huella» del conjunto de datos y, a partir de ella, adapta el preprocesamiento, la configuración 2D</w:t>
      </w:r>
      <w:r>
        <w:rPr>
          <w:lang w:val="es-ES"/>
        </w:rPr>
        <w:t xml:space="preserve"> </w:t>
      </w:r>
      <w:r>
        <w:rPr>
          <w:lang w:val="es-ES"/>
        </w:rPr>
        <w:t xml:space="preserve">o 3D, el tamaño de parche y de lote, el entrenamiento, el posprocesado y la inferencia. Su propuesta</w:t>
      </w:r>
      <w:r>
        <w:rPr>
          <w:lang w:val="es-ES"/>
        </w:rPr>
        <w:t xml:space="preserve"> </w:t>
      </w:r>
      <w:r>
        <w:rPr>
          <w:lang w:val="es-ES"/>
        </w:rPr>
        <w:t xml:space="preserve">es que una parte sustancial del rendimiento depende de decisiones de ingeniería coherentes con cada</w:t>
      </w:r>
      <w:r>
        <w:rPr>
          <w:lang w:val="es-ES"/>
        </w:rPr>
        <w:t xml:space="preserve"> </w:t>
      </w:r>
      <w:r>
        <w:rPr>
          <w:lang w:val="es-ES"/>
        </w:rPr>
        <w:t xml:space="preserve">conjunto de datos, no solo de introducir módulos arquitectónicos novedosos (Isensee et al., 2021).</w:t>
      </w:r>
    </w:p>
    <w:p>
      <w:pPr>
        <w:rPr>
          <w:lang w:val="es-ES"/>
        </w:rPr>
      </w:pPr>
      <w:r>
        <w:rPr>
          <w:lang w:val="es-ES"/>
        </w:rPr>
        <w:t xml:space="preserve">Esta distinción es relevante para interpretar comparaciones. Un resultado de nnU-Net refleja un</w:t>
      </w:r>
      <w:r>
        <w:rPr>
          <w:lang w:val="es-ES"/>
        </w:rPr>
        <w:t xml:space="preserve"> </w:t>
      </w:r>
      <w:r>
        <w:rPr>
          <w:lang w:val="es-ES"/>
        </w:rPr>
        <w:t xml:space="preserve">sistema completo auto-configurado, mientras que las variantes de fusión del TFM comparten un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MONAI y modifican una única variable. nnU-Net constituye por ello un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baseline</w:t>
      </w:r>
      <w:r>
        <w:rPr>
          <w:lang w:val="es-ES"/>
        </w:rPr>
        <w:t xml:space="preserve"> </w:t>
      </w:r>
      <w:r>
        <w:rPr>
          <w:lang w:val="es-ES"/>
        </w:rPr>
        <w:t xml:space="preserve">externo</w:t>
      </w:r>
      <w:r>
        <w:rPr>
          <w:lang w:val="es-ES"/>
        </w:rPr>
        <w:t xml:space="preserve"> </w:t>
      </w:r>
      <w:r>
        <w:rPr>
          <w:lang w:val="es-ES"/>
        </w:rPr>
        <w:t xml:space="preserve">fuerte para contextualizar el nivel alcanzado, pero no forma parte de la ablación causal entre</w:t>
      </w:r>
      <w:r>
        <w:rPr>
          <w:lang w:val="es-ES"/>
        </w:rPr>
        <w:t xml:space="preserve"> </w:t>
      </w:r>
      <w:r>
        <w:rPr>
          <w:lang w:val="es-ES"/>
        </w:rPr>
        <w:t xml:space="preserve">reglas de fusión.</w:t>
      </w:r>
    </w:p>
    <w:bookmarkEnd w:id="10"/>
    <w:bookmarkEnd w:id="11"/>
    <w:bookmarkStart w:id="13" w:name="X470e97582000ff0f795e13d04c441976014b6ac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2.3.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Transformers</w:t>
      </w:r>
      <w:r>
        <w:rPr>
          <w:lang w:val="es-ES"/>
        </w:rPr>
        <w:t xml:space="preserve"> </w:t>
      </w:r>
      <w:r>
        <w:rPr>
          <w:lang w:val="es-ES"/>
        </w:rPr>
        <w:t xml:space="preserve">y arquitecturas híbridas para segmentación 3D</w:t>
      </w:r>
    </w:p>
    <w:p>
      <w:pPr>
        <w:rPr>
          <w:lang w:val="es-ES"/>
        </w:rPr>
      </w:pPr>
      <w:r>
        <w:rPr>
          <w:lang w:val="es-ES"/>
        </w:rPr>
        <w:t xml:space="preserve">El mecanismo de autoatención de los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Transformers</w:t>
      </w:r>
      <w:r>
        <w:rPr>
          <w:lang w:val="es-ES"/>
        </w:rPr>
        <w:t xml:space="preserve"> </w:t>
      </w:r>
      <w:r>
        <w:rPr>
          <w:lang w:val="es-ES"/>
        </w:rPr>
        <w:t xml:space="preserve">relaciona cada elemento de una secuencia con los</w:t>
      </w:r>
      <w:r>
        <w:rPr>
          <w:lang w:val="es-ES"/>
        </w:rPr>
        <w:t xml:space="preserve"> </w:t>
      </w:r>
      <w:r>
        <w:rPr>
          <w:lang w:val="es-ES"/>
        </w:rPr>
        <w:t xml:space="preserve">demás y facilita el modelado de dependencias de largo alcance (Vaswani et al., 2017). Vision</w:t>
      </w:r>
      <w:r>
        <w:rPr>
          <w:lang w:val="es-ES"/>
        </w:rPr>
        <w:t xml:space="preserve"> </w:t>
      </w:r>
      <w:r>
        <w:rPr>
          <w:lang w:val="es-ES"/>
        </w:rPr>
        <w:t xml:space="preserve">Transformer trasladó esta idea a imágenes al dividirlas en parches, proyectarlos como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tokens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lang w:val="es-ES"/>
        </w:rPr>
        <w:t xml:space="preserve">procesarlos mediante un codificador Transformer (Dosovitskiy et al., 2021). En segmentación médica</w:t>
      </w:r>
      <w:r>
        <w:rPr>
          <w:lang w:val="es-ES"/>
        </w:rPr>
        <w:t xml:space="preserve"> </w:t>
      </w:r>
      <w:r>
        <w:rPr>
          <w:lang w:val="es-ES"/>
        </w:rPr>
        <w:t xml:space="preserve">3D, la ventaja potencial es incorporar contexto distribuido por el volumen; la contrapartida es que</w:t>
      </w:r>
      <w:r>
        <w:rPr>
          <w:lang w:val="es-ES"/>
        </w:rPr>
        <w:t xml:space="preserve"> </w:t>
      </w:r>
      <w:r>
        <w:rPr>
          <w:lang w:val="es-ES"/>
        </w:rPr>
        <w:t xml:space="preserve">la autoatención global crece cuadráticamente con el número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tokens</w:t>
      </w:r>
      <w:r>
        <w:rPr>
          <w:lang w:val="es-ES"/>
        </w:rPr>
        <w:t xml:space="preserve">, que puede ser muy elevado en</w:t>
      </w:r>
      <w:r>
        <w:rPr>
          <w:lang w:val="es-ES"/>
        </w:rPr>
        <w:t xml:space="preserve"> </w:t>
      </w:r>
      <w:r>
        <w:rPr>
          <w:lang w:val="es-ES"/>
        </w:rPr>
        <w:t xml:space="preserve">datos volumétricos.</w:t>
      </w:r>
    </w:p>
    <w:p>
      <w:pPr>
        <w:rPr>
          <w:lang w:val="es-ES"/>
        </w:rPr>
      </w:pPr>
      <w:r>
        <w:rPr>
          <w:lang w:val="es-ES"/>
        </w:rPr>
        <w:t xml:space="preserve">Swin Transformer limita la atención a ventanas locales y desplaza esas ventanas entre bloques para</w:t>
      </w:r>
      <w:r>
        <w:rPr>
          <w:lang w:val="es-ES"/>
        </w:rPr>
        <w:t xml:space="preserve"> </w:t>
      </w:r>
      <w:r>
        <w:rPr>
          <w:lang w:val="es-ES"/>
        </w:rPr>
        <w:t xml:space="preserve">permitir intercambio de información entre regiones vecinas. Además, construye una jerarquía de</w:t>
      </w:r>
      <w:r>
        <w:rPr>
          <w:lang w:val="es-ES"/>
        </w:rPr>
        <w:t xml:space="preserve"> </w:t>
      </w:r>
      <w:r>
        <w:rPr>
          <w:lang w:val="es-ES"/>
        </w:rPr>
        <w:t xml:space="preserve">características con distintas resoluciones, apropiada para tareas densas y con una complejidad más</w:t>
      </w:r>
      <w:r>
        <w:rPr>
          <w:lang w:val="es-ES"/>
        </w:rPr>
        <w:t xml:space="preserve"> </w:t>
      </w:r>
      <w:r>
        <w:rPr>
          <w:lang w:val="es-ES"/>
        </w:rPr>
        <w:t xml:space="preserve">controlada respecto al número de elementos de la imagen (Liu et al., 2021). Esta combinación de</w:t>
      </w:r>
      <w:r>
        <w:rPr>
          <w:lang w:val="es-ES"/>
        </w:rPr>
        <w:t xml:space="preserve"> </w:t>
      </w:r>
      <w:r>
        <w:rPr>
          <w:lang w:val="es-ES"/>
        </w:rPr>
        <w:t xml:space="preserve">jerarquía y ventanas desplazadas acerca el comportamiento de un Transformer a la representación</w:t>
      </w:r>
      <w:r>
        <w:rPr>
          <w:lang w:val="es-ES"/>
        </w:rPr>
        <w:t xml:space="preserve"> </w:t>
      </w:r>
      <w:r>
        <w:rPr>
          <w:lang w:val="es-ES"/>
        </w:rPr>
        <w:t xml:space="preserve">multiescala que requieren los decodificadores tipo U-Net.</w:t>
      </w:r>
    </w:p>
    <w:p>
      <w:pPr>
        <w:rPr>
          <w:lang w:val="es-ES"/>
        </w:rPr>
      </w:pPr>
      <w:r>
        <w:rPr>
          <w:lang w:val="es-ES"/>
        </w:rPr>
        <w:t xml:space="preserve">En imagen médica se han propuesto varias formas de integrar este paradigma.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UNETR</w:t>
      </w:r>
      <w:r>
        <w:rPr>
          <w:lang w:val="es-ES"/>
        </w:rPr>
        <w:t xml:space="preserve"> </w:t>
      </w:r>
      <w:r>
        <w:rPr>
          <w:lang w:val="es-ES"/>
        </w:rPr>
        <w:t xml:space="preserve">emplea un</w:t>
      </w:r>
      <w:r>
        <w:rPr>
          <w:lang w:val="es-ES"/>
        </w:rPr>
        <w:t xml:space="preserve"> </w:t>
      </w:r>
      <w:r>
        <w:rPr>
          <w:lang w:val="es-ES"/>
        </w:rPr>
        <w:t xml:space="preserve">Transformer como codificador de una secuencia de parches volumétricos y conecta representaciones de</w:t>
      </w:r>
      <w:r>
        <w:rPr>
          <w:lang w:val="es-ES"/>
        </w:rPr>
        <w:t xml:space="preserve"> </w:t>
      </w:r>
      <w:r>
        <w:rPr>
          <w:lang w:val="es-ES"/>
        </w:rPr>
        <w:t xml:space="preserve">distintas profundidades con un decodificador convolucional (Hatamizadeh et al., 2022).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Swin UNETR</w:t>
      </w:r>
      <w:r>
        <w:rPr>
          <w:lang w:val="es-ES"/>
        </w:rPr>
        <w:t xml:space="preserve"> </w:t>
      </w:r>
      <w:r>
        <w:rPr>
          <w:lang w:val="es-ES"/>
        </w:rPr>
        <w:t xml:space="preserve">reemplaza ese codificador por una jerarquía Swin 3D y conserva un decodificador con conexiones de</w:t>
      </w:r>
      <w:r>
        <w:rPr>
          <w:lang w:val="es-ES"/>
        </w:rPr>
        <w:t xml:space="preserve"> </w:t>
      </w:r>
      <w:r>
        <w:rPr>
          <w:lang w:val="es-ES"/>
        </w:rPr>
        <w:t xml:space="preserve">salto; fue presentado por Tang et al. (2022) dentro de un marco de preentrenamiento autosupervisado.</w:t>
      </w:r>
      <w:r>
        <w:rPr>
          <w:lang w:val="es-ES"/>
        </w:rPr>
        <w:t xml:space="preserve"> </w:t>
      </w:r>
      <w:r>
        <w:rPr>
          <w:lang w:val="es-ES"/>
        </w:rPr>
        <w:t xml:space="preserve">La implementación utilizada en este TFM corresponde a la arquitectura disponible en MONAI y se</w:t>
      </w:r>
      <w:r>
        <w:rPr>
          <w:lang w:val="es-ES"/>
        </w:rPr>
        <w:t xml:space="preserve"> </w:t>
      </w:r>
      <w:r>
        <w:rPr>
          <w:lang w:val="es-ES"/>
        </w:rPr>
        <w:t xml:space="preserve">entrena con el protocolo definido para el proyecto, sin atribuirle por ello los resultados del</w:t>
      </w:r>
      <w:r>
        <w:rPr>
          <w:lang w:val="es-ES"/>
        </w:rPr>
        <w:t xml:space="preserve"> </w:t>
      </w:r>
      <w:r>
        <w:rPr>
          <w:lang w:val="es-ES"/>
        </w:rPr>
        <w:t xml:space="preserve">preentrenamiento del artículo original.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TransBTS</w:t>
      </w:r>
      <w:r>
        <w:rPr>
          <w:lang w:val="es-ES"/>
        </w:rPr>
        <w:t xml:space="preserve"> </w:t>
      </w:r>
      <w:r>
        <w:rPr>
          <w:lang w:val="es-ES"/>
        </w:rPr>
        <w:t xml:space="preserve">adopta otra solución híbrida: una CNN extrae representaciones espaciales 3D y un</w:t>
      </w:r>
      <w:r>
        <w:rPr>
          <w:lang w:val="es-ES"/>
        </w:rPr>
        <w:t xml:space="preserve"> </w:t>
      </w:r>
      <w:r>
        <w:rPr>
          <w:lang w:val="es-ES"/>
        </w:rPr>
        <w:t xml:space="preserve">Transformer situado en la parte profunda modela relaciones globales antes de la decodificación</w:t>
      </w:r>
      <w:r>
        <w:rPr>
          <w:lang w:val="es-ES"/>
        </w:rPr>
        <w:t xml:space="preserve"> </w:t>
      </w:r>
      <w:r>
        <w:rPr>
          <w:lang w:val="es-ES"/>
        </w:rPr>
        <w:t xml:space="preserve">(Wang et al., 2021). En paralelo, propuestas como UNETR++ buscan reducir el coste de la atención 3D</w:t>
      </w:r>
      <w:r>
        <w:rPr>
          <w:lang w:val="es-ES"/>
        </w:rPr>
        <w:t xml:space="preserve"> </w:t>
      </w:r>
      <w:r>
        <w:rPr>
          <w:lang w:val="es-ES"/>
        </w:rPr>
        <w:t xml:space="preserve">mediante bloques más eficientes (Shaker et al., 2024). En conjunto, estas arquitecturas amplían el</w:t>
      </w:r>
      <w:r>
        <w:rPr>
          <w:lang w:val="es-ES"/>
        </w:rPr>
        <w:t xml:space="preserve"> </w:t>
      </w:r>
      <w:r>
        <w:rPr>
          <w:lang w:val="es-ES"/>
        </w:rPr>
        <w:t xml:space="preserve">campo receptivo y la capacidad de modelar contexto, pero suelen exigir más parámetros, memoria o</w:t>
      </w:r>
      <w:r>
        <w:rPr>
          <w:lang w:val="es-ES"/>
        </w:rPr>
        <w:t xml:space="preserve"> </w:t>
      </w:r>
      <w:r>
        <w:rPr>
          <w:lang w:val="es-ES"/>
        </w:rPr>
        <w:t xml:space="preserve">tiempo que una U-Net compacta. Por ello, CNN, modelos híbridos y Transformers puros deben compararse</w:t>
      </w:r>
      <w:r>
        <w:rPr>
          <w:lang w:val="es-ES"/>
        </w:rPr>
        <w:t xml:space="preserve"> </w:t>
      </w:r>
      <w:r>
        <w:rPr>
          <w:lang w:val="es-ES"/>
        </w:rPr>
        <w:t xml:space="preserve">bajo datos, presupuesto y protocolo compatibles; la familia arquitectónica, por sí sola, no</w:t>
      </w:r>
      <w:r>
        <w:rPr>
          <w:lang w:val="es-ES"/>
        </w:rPr>
        <w:t xml:space="preserve"> </w:t>
      </w:r>
      <w:r>
        <w:rPr>
          <w:lang w:val="es-ES"/>
        </w:rPr>
        <w:t xml:space="preserve">garantiza un resultado superior.</w:t>
      </w:r>
    </w:p>
    <w:bookmarkEnd w:id="12"/>
    <w:bookmarkStart w:id="14" w:name="fusión-multimodal-en-mri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2.4. Fusión multimodal en MRI</w:t>
      </w:r>
    </w:p>
    <w:p>
      <w:pPr>
        <w:rPr>
          <w:lang w:val="es-ES"/>
        </w:rPr>
      </w:pPr>
      <w:r>
        <w:rPr>
          <w:lang w:val="es-ES"/>
        </w:rPr>
        <w:t xml:space="preserve">Las secuencias T1n, T1c, T2w y FLAIR observan el mismo volumen desde contrastes complementarios. La</w:t>
      </w:r>
      <w:r>
        <w:rPr>
          <w:lang w:val="es-ES"/>
        </w:rPr>
        <w:t xml:space="preserve"> </w:t>
      </w:r>
      <w:r>
        <w:rPr>
          <w:lang w:val="es-ES"/>
        </w:rPr>
        <w:t xml:space="preserve">fusión multimodal especifica cómo se ponen en relación esas fuentes. Para ordenar sus variantes es</w:t>
      </w:r>
      <w:r>
        <w:rPr>
          <w:lang w:val="es-ES"/>
        </w:rPr>
        <w:t xml:space="preserve"> </w:t>
      </w:r>
      <w:r>
        <w:rPr>
          <w:lang w:val="es-ES"/>
        </w:rPr>
        <w:t xml:space="preserve">necesario separar dos ejes: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etapa de fusión</w:t>
      </w:r>
      <w:r>
        <w:rPr>
          <w:lang w:val="es-ES"/>
        </w:rPr>
        <w:t xml:space="preserve">, es decir, el punto del flujo en el que se unen las</w:t>
      </w:r>
      <w:r>
        <w:rPr>
          <w:lang w:val="es-ES"/>
        </w:rPr>
        <w:t xml:space="preserve"> </w:t>
      </w:r>
      <w:r>
        <w:rPr>
          <w:lang w:val="es-ES"/>
        </w:rPr>
        <w:t xml:space="preserve">modalidades, y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 de combinación</w:t>
      </w:r>
      <w:r>
        <w:rPr>
          <w:lang w:val="es-ES"/>
        </w:rPr>
        <w:t xml:space="preserve">, que define la operación concreta aplicada en ese punto.</w:t>
      </w:r>
      <w:r>
        <w:rPr>
          <w:lang w:val="es-ES"/>
        </w:rPr>
        <w:t xml:space="preserve"> </w:t>
      </w:r>
      <w:r>
        <w:rPr>
          <w:lang w:val="es-ES"/>
        </w:rPr>
        <w:t xml:space="preserve">«Adaptativa» describe una regla dependiente de los datos, no una etapa por sí misma.</w:t>
      </w:r>
    </w:p>
    <w:p>
      <w:pPr>
        <w:rPr>
          <w:lang w:val="es-ES"/>
        </w:rPr>
      </w:pPr>
      <w:r>
        <w:rPr>
          <w:lang w:val="es-ES"/>
        </w:rPr>
        <w:t xml:space="preserve">Según la etapa, se distinguen tres categorías principales. En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fusión temprana</w:t>
      </w:r>
      <w:r>
        <w:rPr>
          <w:lang w:val="es-ES"/>
        </w:rPr>
        <w:t xml:space="preserve">, las</w:t>
      </w:r>
      <w:r>
        <w:rPr>
          <w:lang w:val="es-ES"/>
        </w:rPr>
        <w:t xml:space="preserve"> </w:t>
      </w:r>
      <w:r>
        <w:rPr>
          <w:lang w:val="es-ES"/>
        </w:rPr>
        <w:t xml:space="preserve">modalidades se combinan antes del extractor o en sus primeras capas; es eficiente y permite aprender</w:t>
      </w:r>
      <w:r>
        <w:rPr>
          <w:lang w:val="es-ES"/>
        </w:rPr>
        <w:t xml:space="preserve"> </w:t>
      </w:r>
      <w:r>
        <w:rPr>
          <w:lang w:val="es-ES"/>
        </w:rPr>
        <w:t xml:space="preserve">interacciones desde el inicio, aunque normalmente presupone que todas las secuencias están</w:t>
      </w:r>
      <w:r>
        <w:rPr>
          <w:lang w:val="es-ES"/>
        </w:rPr>
        <w:t xml:space="preserve"> </w:t>
      </w:r>
      <w:r>
        <w:rPr>
          <w:lang w:val="es-ES"/>
        </w:rPr>
        <w:t xml:space="preserve">disponibles y alineadas. En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fusión intermedia</w:t>
      </w:r>
      <w:r>
        <w:rPr>
          <w:lang w:val="es-ES"/>
        </w:rPr>
        <w:t xml:space="preserve">, cada modalidad dispone de una rama propia —o</w:t>
      </w:r>
      <w:r>
        <w:rPr>
          <w:lang w:val="es-ES"/>
        </w:rPr>
        <w:t xml:space="preserve"> </w:t>
      </w:r>
      <w:r>
        <w:rPr>
          <w:lang w:val="es-ES"/>
        </w:rPr>
        <w:t xml:space="preserve">de un procesamiento parcialmente separado— y las características se integran en uno o varios</w:t>
      </w:r>
      <w:r>
        <w:rPr>
          <w:lang w:val="es-ES"/>
        </w:rPr>
        <w:t xml:space="preserve"> </w:t>
      </w:r>
      <w:r>
        <w:rPr>
          <w:lang w:val="es-ES"/>
        </w:rPr>
        <w:t xml:space="preserve">niveles. Esta opción puede preservar representaciones específicas de cada contraste, a cambio de</w:t>
      </w:r>
      <w:r>
        <w:rPr>
          <w:lang w:val="es-ES"/>
        </w:rPr>
        <w:t xml:space="preserve"> </w:t>
      </w:r>
      <w:r>
        <w:rPr>
          <w:lang w:val="es-ES"/>
        </w:rPr>
        <w:t xml:space="preserve">mayor complejidad. En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fusión tardía</w:t>
      </w:r>
      <w:r>
        <w:rPr>
          <w:lang w:val="es-ES"/>
        </w:rPr>
        <w:t xml:space="preserve">, cada modalidad genera predicciones que se combinan al</w:t>
      </w:r>
      <w:r>
        <w:rPr>
          <w:lang w:val="es-ES"/>
        </w:rPr>
        <w:t xml:space="preserve"> </w:t>
      </w:r>
      <w:r>
        <w:rPr>
          <w:lang w:val="es-ES"/>
        </w:rPr>
        <w:t xml:space="preserve">final; ofrece modularidad, pero replica gran parte del cálculo y retrasa las interacciones entre</w:t>
      </w:r>
      <w:r>
        <w:rPr>
          <w:lang w:val="es-ES"/>
        </w:rPr>
        <w:t xml:space="preserve"> </w:t>
      </w:r>
      <w:r>
        <w:rPr>
          <w:lang w:val="es-ES"/>
        </w:rPr>
        <w:t xml:space="preserve">secuencias. Los diseños híbridos pueden emplear más de una etapa, como muestran propuestas que</w:t>
      </w:r>
      <w:r>
        <w:rPr>
          <w:lang w:val="es-ES"/>
        </w:rPr>
        <w:t xml:space="preserve"> </w:t>
      </w:r>
      <w:r>
        <w:rPr>
          <w:lang w:val="es-ES"/>
        </w:rPr>
        <w:t xml:space="preserve">combinan fusión a nivel de imagen, características o contexto global (Liu et al., 2022; Wang et al.,</w:t>
      </w:r>
      <w:r>
        <w:rPr>
          <w:lang w:val="es-ES"/>
        </w:rPr>
        <w:t xml:space="preserve"> </w:t>
      </w:r>
      <w:r>
        <w:rPr>
          <w:lang w:val="es-ES"/>
        </w:rPr>
        <w:t xml:space="preserve">2021; Zhou et al., 2022).</w:t>
      </w:r>
    </w:p>
    <w:p>
      <w:pPr>
        <w:rPr>
          <w:lang w:val="es-ES"/>
        </w:rPr>
      </w:pPr>
      <w:r>
        <w:rPr>
          <w:lang w:val="es-ES"/>
        </w:rPr>
        <w:t xml:space="preserve">A partir de estas definiciones, la Tabla 1 sintetiza las tres categorías. La columna de reglas</w:t>
      </w:r>
      <w:r>
        <w:rPr>
          <w:lang w:val="es-ES"/>
        </w:rPr>
        <w:t xml:space="preserve"> </w:t>
      </w:r>
      <w:r>
        <w:rPr>
          <w:lang w:val="es-ES"/>
        </w:rPr>
        <w:t xml:space="preserve">incluye ejemplos posibles y no establece una correspondencia exclusiva: una ponderación aprendida,</w:t>
      </w:r>
      <w:r>
        <w:rPr>
          <w:lang w:val="es-ES"/>
        </w:rPr>
        <w:t xml:space="preserve"> </w:t>
      </w:r>
      <w:r>
        <w:rPr>
          <w:lang w:val="es-ES"/>
        </w:rPr>
        <w:t xml:space="preserve">por ejemplo, puede aplicarse tanto a la entrada como a características intermedias.</w:t>
      </w:r>
    </w:p>
    <w:tbl>
      <w:tblPr>
        <w:tblStyle w:val="TableGrid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Etapa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Representación que se combina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Reglas habituales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Ventajas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Limitaciones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Temprana (</w:t>
            </w:r>
            <w:r>
              <w:rPr>
                <w:rFonts w:ascii="Arial" w:hAnsi="Arial" w:cs="Arial" w:eastAsia="Arial"/>
                <w:i/>
                <w:iCs/>
                <w:color w:val="000000"/>
                <w:sz w:val="16"/>
              </w:rPr>
              <w:t xml:space="preserve">early fusion</w:t>
            </w:r>
            <w:r>
              <w:rPr>
                <w:rFonts w:ascii="Arial" w:hAnsi="Arial" w:cs="Arial" w:eastAsia="Arial"/>
                <w:color w:val="000000"/>
                <w:sz w:val="16"/>
              </w:rPr>
              <w:t xml:space="preserve">)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Imágenes o canales antes del codificador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Concatenación, suma o ponderación de modalidades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Integración sencilla; reutiliza un único extractor; coste adicional reducido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Dependencia de modalidades presentes y registradas; menor separación explícita de rasgos específicos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Intermedia (</w:t>
            </w:r>
            <w:r>
              <w:rPr>
                <w:rFonts w:ascii="Arial" w:hAnsi="Arial" w:cs="Arial" w:eastAsia="Arial"/>
                <w:i/>
                <w:iCs/>
                <w:color w:val="000000"/>
                <w:sz w:val="16"/>
              </w:rPr>
              <w:t xml:space="preserve">feature-level fusion</w:t>
            </w:r>
            <w:r>
              <w:rPr>
                <w:rFonts w:ascii="Arial" w:hAnsi="Arial" w:cs="Arial" w:eastAsia="Arial"/>
                <w:color w:val="000000"/>
                <w:sz w:val="16"/>
              </w:rPr>
              <w:t xml:space="preserve">)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Características de ramas específicas en uno o varios niveles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Concatenación, suma, atención cruzada o compuertas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Modela relaciones multiescala y conserva representaciones por modalidad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Más parámetros y activaciones; aumenta la complejidad de entrenamiento e integración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Tardía (</w:t>
            </w:r>
            <w:r>
              <w:rPr>
                <w:rFonts w:ascii="Arial" w:hAnsi="Arial" w:cs="Arial" w:eastAsia="Arial"/>
                <w:i/>
                <w:iCs/>
                <w:color w:val="000000"/>
                <w:sz w:val="16"/>
              </w:rPr>
              <w:t xml:space="preserve">decision-level fusion</w:t>
            </w:r>
            <w:r>
              <w:rPr>
                <w:rFonts w:ascii="Arial" w:hAnsi="Arial" w:cs="Arial" w:eastAsia="Arial"/>
                <w:color w:val="000000"/>
                <w:sz w:val="16"/>
              </w:rPr>
              <w:t xml:space="preserve">)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Mapas de probabilidad o decisiones de modelos separados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Media, voto, producto o ensamblado aprendido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Modularidad y posibilidad de especialización por modalidad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Duplica cálculo; las modalidades no interactúan durante la extracción temprana de rasgos</w:t>
            </w:r>
          </w:p>
        </w:tc>
      </w:tr>
    </w:tbl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1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Etapas de fusión multimodal en segmentación de imagen médica.</w:t>
      </w:r>
    </w:p>
    <w:p>
      <w:pPr>
        <w:rPr>
          <w:lang w:val="es-ES"/>
        </w:rPr>
      </w:pPr>
      <w:r>
        <w:rPr>
          <w:lang w:val="es-ES"/>
        </w:rPr>
        <w:t xml:space="preserve">La comparación muestra que la etapa no determina por sí sola el grado de adaptación. La fusión</w:t>
      </w:r>
      <w:r>
        <w:rPr>
          <w:lang w:val="es-ES"/>
        </w:rPr>
        <w:t xml:space="preserve"> </w:t>
      </w:r>
      <w:r>
        <w:rPr>
          <w:lang w:val="es-ES"/>
        </w:rPr>
        <w:t xml:space="preserve">temprana puede ser una concatenación sin pesos explícitos o una ponderación condicionada por la</w:t>
      </w:r>
      <w:r>
        <w:rPr>
          <w:lang w:val="es-ES"/>
        </w:rPr>
        <w:t xml:space="preserve"> </w:t>
      </w:r>
      <w:r>
        <w:rPr>
          <w:lang w:val="es-ES"/>
        </w:rPr>
        <w:t xml:space="preserve">entrada; de igual modo, una fusión intermedia puede usar coeficientes fijos. La decisión relevante</w:t>
      </w:r>
      <w:r>
        <w:rPr>
          <w:lang w:val="es-ES"/>
        </w:rPr>
        <w:t xml:space="preserve"> </w:t>
      </w:r>
      <w:r>
        <w:rPr>
          <w:lang w:val="es-ES"/>
        </w:rPr>
        <w:t xml:space="preserve">depende del equilibrio buscado entre interacción multimodal, coste y facilidad para aislar el efecto</w:t>
      </w:r>
      <w:r>
        <w:rPr>
          <w:lang w:val="es-ES"/>
        </w:rPr>
        <w:t xml:space="preserve"> </w:t>
      </w:r>
      <w:r>
        <w:rPr>
          <w:lang w:val="es-ES"/>
        </w:rPr>
        <w:t xml:space="preserve">experimental.</w:t>
      </w:r>
    </w:p>
    <w:bookmarkStart w:id="15" w:name="reglas-de-combinación-temprana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2.4.1. Reglas de combinación temprana</w:t>
      </w:r>
    </w:p>
    <w:p>
      <w:pPr>
        <w:rPr>
          <w:lang w:val="es-ES"/>
        </w:rPr>
      </w:pPr>
      <w:r>
        <w:rPr>
          <w:lang w:val="es-ES"/>
        </w:rPr>
        <w:t xml:space="preserve">Sean</w:t>
      </w:r>
      <w:r>
        <w:rPr>
          <w:lang w:val="es-ES"/>
        </w:rP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M</m:t>
            </m:r>
          </m:sub>
        </m:sSub>
      </m:oMath>
      <w:r>
        <w:rPr>
          <w:lang w:val="es-ES"/>
        </w:rPr>
        <w:t xml:space="preserve"> </w:t>
      </w:r>
      <w:r>
        <w:rPr>
          <w:lang w:val="es-ES"/>
        </w:rPr>
        <w:t xml:space="preserve">las modalidades registradas de una muestra.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concatenación</w:t>
      </w:r>
      <w:r>
        <w:rPr>
          <w:lang w:val="es-ES"/>
        </w:rPr>
        <w:t xml:space="preserve"> </w:t>
      </w:r>
      <w:r>
        <w:rPr>
          <w:lang w:val="es-ES"/>
        </w:rPr>
        <w:t xml:space="preserve">forma</w:t>
      </w:r>
      <w:r>
        <w:rPr>
          <w:lang w:val="es-ES"/>
        </w:rP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bi"/>
              </m:rP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;</m:t>
        </m:r>
        <m:r>
          <m:rPr>
            <m:sty m:val="p"/>
          </m:rPr>
          <m:t>…</m:t>
        </m:r>
        <m:r>
          <m:rPr>
            <m:sty m:val="p"/>
          </m:rPr>
          <m:t>;</m:t>
        </m:r>
        <m:sSub>
          <m:e>
            <m:r>
              <m:rPr>
                <m:sty m:val="bi"/>
              </m:rP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]</m:t>
        </m:r>
      </m:oMath>
      <w:r>
        <w:rPr>
          <w:lang w:val="es-ES"/>
        </w:rPr>
        <w:t xml:space="preserve"> </w:t>
      </w:r>
      <w:r>
        <w:rPr>
          <w:lang w:val="es-ES"/>
        </w:rPr>
        <w:t xml:space="preserve">y deja que la primera capa</w:t>
      </w:r>
      <w:r>
        <w:rPr>
          <w:lang w:val="es-ES"/>
        </w:rPr>
        <w:t xml:space="preserve"> </w:t>
      </w:r>
      <w:r>
        <w:rPr>
          <w:lang w:val="es-ES"/>
        </w:rPr>
        <w:t xml:space="preserve">aprenda filtros diferentes para cada canal. No realiza una media ni impone matemáticamente el mismo</w:t>
      </w:r>
      <w:r>
        <w:rPr>
          <w:lang w:val="es-ES"/>
        </w:rPr>
        <w:t xml:space="preserve"> </w:t>
      </w:r>
      <w:r>
        <w:rPr>
          <w:lang w:val="es-ES"/>
        </w:rPr>
        <w:t xml:space="preserve">peso a todas las modalidades; su rasgo distintivo es que carece de un parámetro separado e</w:t>
      </w:r>
      <w:r>
        <w:rPr>
          <w:lang w:val="es-ES"/>
        </w:rPr>
        <w:t xml:space="preserve"> </w:t>
      </w:r>
      <w:r>
        <w:rPr>
          <w:lang w:val="es-ES"/>
        </w:rPr>
        <w:t xml:space="preserve">interpretable que reajuste de forma explícita su contribución.</w:t>
      </w:r>
    </w:p>
    <w:p>
      <w:pPr>
        <w:rPr>
          <w:lang w:val="es-ES"/>
        </w:rPr>
      </w:pPr>
      <w:r>
        <w:rPr>
          <w:lang w:val="es-ES"/>
        </w:rPr>
        <w:t xml:space="preserve">Una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ponderación global estática</w:t>
      </w:r>
      <w:r>
        <w:rPr>
          <w:lang w:val="es-ES"/>
        </w:rPr>
        <w:t xml:space="preserve"> </w:t>
      </w:r>
      <w:r>
        <w:rPr>
          <w:lang w:val="es-ES"/>
        </w:rPr>
        <w:t xml:space="preserve">aprende un vector de parámetros compartido por todas las</w:t>
      </w:r>
      <w:r>
        <w:rPr>
          <w:lang w:val="es-ES"/>
        </w:rPr>
        <w:t xml:space="preserve"> </w:t>
      </w:r>
      <w:r>
        <w:rPr>
          <w:lang w:val="es-ES"/>
        </w:rPr>
        <w:t xml:space="preserve">muestras. Si</w:t>
      </w:r>
      <w:r>
        <w:rPr>
          <w:lang w:val="es-ES"/>
        </w:rPr>
        <w:t xml:space="preserve"> </w:t>
      </w:r>
      <m:oMath>
        <m:r>
          <m:rPr>
            <m:sty m:val="bi"/>
          </m:rPr>
          <m:t>α</m:t>
        </m:r>
        <m:r>
          <m:rPr>
            <m:sty m:val="p"/>
          </m:rPr>
          <m:t>=</m:t>
        </m:r>
        <m:r>
          <m:rPr>
            <m:sty m:val="p"/>
          </m:rPr>
          <m:t>softmax</m:t>
        </m:r>
        <m:r>
          <m:rPr>
            <m:sty m:val="p"/>
          </m:rPr>
          <m:t>(</m:t>
        </m:r>
        <m:r>
          <m:rPr>
            <m:sty m:val="bi"/>
          </m:rPr>
          <m:t>θ</m:t>
        </m:r>
        <m:r>
          <m:rPr>
            <m:sty m:val="p"/>
          </m:rPr>
          <m:t>)</m:t>
        </m:r>
      </m:oMath>
      <w:r>
        <w:rPr>
          <w:lang w:val="es-ES"/>
        </w:rPr>
        <w:t xml:space="preserve">, cada canal puede</w:t>
      </w:r>
      <w:r>
        <w:rPr>
          <w:lang w:val="es-ES"/>
        </w:rPr>
        <w:t xml:space="preserve"> </w:t>
      </w:r>
      <w:r>
        <w:rPr>
          <w:lang w:val="es-ES"/>
        </w:rPr>
        <w:t xml:space="preserve">reescalarse como</w:t>
      </w:r>
    </w:p>
    <w:p>
      <w:pPr>
        <w:rPr>
          <w:lang w:val="es-ES"/>
        </w:rPr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M</m:t>
          </m:r>
          <m:sSub>
            <m:e>
              <m:r>
                <m:t>α</m:t>
              </m:r>
            </m:e>
            <m:sub>
              <m:r>
                <m:t>m</m:t>
              </m:r>
            </m:sub>
          </m:sSub>
          <m:sSub>
            <m:e>
              <m:r>
                <m:rPr>
                  <m:sty m:val="bi"/>
                </m:rPr>
                <m:t>x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rPr>
          <w:lang w:val="es-ES"/>
        </w:rPr>
      </w:pPr>
      <w:r>
        <w:rPr>
          <w:lang w:val="es-ES"/>
        </w:rPr>
        <w:t xml:space="preserve">El factor</w:t>
      </w:r>
      <w:r>
        <w:rPr>
          <w:lang w:val="es-ES"/>
        </w:rPr>
        <w:t xml:space="preserve"> </w:t>
      </w:r>
      <m:oMath>
        <m:r>
          <m:t>M</m:t>
        </m:r>
      </m:oMath>
      <w:r>
        <w:rPr>
          <w:lang w:val="es-ES"/>
        </w:rPr>
        <w:t xml:space="preserve"> </w:t>
      </w:r>
      <w:r>
        <w:rPr>
          <w:lang w:val="es-ES"/>
        </w:rPr>
        <w:t xml:space="preserve">conserva la escala de la identidad cuando los pesos se inicializan uniformemente.</w:t>
      </w:r>
      <w:r>
        <w:rPr>
          <w:lang w:val="es-ES"/>
        </w:rPr>
        <w:t xml:space="preserve"> </w:t>
      </w:r>
      <w:r>
        <w:rPr>
          <w:lang w:val="es-ES"/>
        </w:rPr>
        <w:t xml:space="preserve">Esta regla puede descubrir una jerarquía promedio entre secuencias, pero aplica la misma jerarquía a</w:t>
      </w:r>
      <w:r>
        <w:rPr>
          <w:lang w:val="es-ES"/>
        </w:rPr>
        <w:t xml:space="preserve"> </w:t>
      </w:r>
      <w:r>
        <w:rPr>
          <w:lang w:val="es-ES"/>
        </w:rPr>
        <w:t xml:space="preserve">todos los casos.</w:t>
      </w:r>
    </w:p>
    <w:p>
      <w:pPr>
        <w:rPr>
          <w:lang w:val="es-ES"/>
        </w:rPr>
      </w:pPr>
      <w:r>
        <w:rPr>
          <w:lang w:val="es-ES"/>
        </w:rPr>
        <w:t xml:space="preserve">Una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ponderación condicionada por la entrada</w:t>
      </w:r>
      <w:r>
        <w:rPr>
          <w:lang w:val="es-ES"/>
        </w:rPr>
        <w:t xml:space="preserve"> </w:t>
      </w:r>
      <w:r>
        <w:rPr>
          <w:lang w:val="es-ES"/>
        </w:rPr>
        <w:t xml:space="preserve">calcula</w:t>
      </w:r>
      <w:r>
        <w:rPr>
          <w:lang w:val="es-ES"/>
        </w:rPr>
        <w:t xml:space="preserve"> </w:t>
      </w:r>
      <m:oMath>
        <m:r>
          <m:rPr>
            <m:sty m:val="bi"/>
          </m:rPr>
          <m:t>α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softmax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lang w:val="es-ES"/>
        </w:rPr>
        <w:t xml:space="preserve">, donde</w:t>
      </w:r>
      <w:r>
        <w:rPr>
          <w:lang w:val="es-ES"/>
        </w:rPr>
        <w:t xml:space="preserve"> </w:t>
      </w:r>
      <m:oMath>
        <m:r>
          <m:t>ϕ</m:t>
        </m:r>
      </m:oMath>
      <w:r>
        <w:rPr>
          <w:lang w:val="es-ES"/>
        </w:rPr>
        <w:t xml:space="preserve"> </w:t>
      </w:r>
      <w:r>
        <w:rPr>
          <w:lang w:val="es-ES"/>
        </w:rPr>
        <w:t xml:space="preserve">resume cada modalidad y</w:t>
      </w:r>
      <w:r>
        <w:rPr>
          <w:lang w:val="es-ES"/>
        </w:rPr>
        <w:t xml:space="preserve"> </w:t>
      </w:r>
      <m:oMath>
        <m:r>
          <m:t>g</m:t>
        </m:r>
      </m:oMath>
      <w:r>
        <w:rPr>
          <w:lang w:val="es-ES"/>
        </w:rPr>
        <w:t xml:space="preserve"> </w:t>
      </w:r>
      <w:r>
        <w:rPr>
          <w:lang w:val="es-ES"/>
        </w:rPr>
        <w:t xml:space="preserve">genera sus coeficientes. En este TFM, los descriptores</w:t>
      </w:r>
      <w:r>
        <w:rPr>
          <w:lang w:val="es-ES"/>
        </w:rPr>
        <w:t xml:space="preserve"> </w:t>
      </w:r>
      <w:r>
        <w:rPr>
          <w:lang w:val="es-ES"/>
        </w:rPr>
        <w:t xml:space="preserve">son estadísticas globales de intensidad y se obtiene un peso por modalidad y muestra. Los pesos se</w:t>
      </w:r>
      <w:r>
        <w:rPr>
          <w:lang w:val="es-ES"/>
        </w:rPr>
        <w:t xml:space="preserve"> </w:t>
      </w:r>
      <w:r>
        <w:rPr>
          <w:lang w:val="es-ES"/>
        </w:rPr>
        <w:t xml:space="preserve">aplican antes del codificador y son constantes en las tres dimensiones espaciales dentro de cada</w:t>
      </w:r>
      <w:r>
        <w:rPr>
          <w:lang w:val="es-ES"/>
        </w:rPr>
        <w:t xml:space="preserve"> </w:t>
      </w:r>
      <w:r>
        <w:rPr>
          <w:lang w:val="es-ES"/>
        </w:rPr>
        <w:t xml:space="preserve">entrada procesada. Por tanto, la propuesta es adaptativa respecto del caso, pero no constituye</w:t>
      </w:r>
      <w:r>
        <w:rPr>
          <w:lang w:val="es-ES"/>
        </w:rPr>
        <w:t xml:space="preserve"> </w:t>
      </w:r>
      <w:r>
        <w:rPr>
          <w:lang w:val="es-ES"/>
        </w:rPr>
        <w:t xml:space="preserve">atención espacial, atención por vóxel ni atención específica de ET, TC o WT.</w:t>
      </w:r>
    </w:p>
    <w:bookmarkEnd w:id="13"/>
    <w:bookmarkStart w:id="16" w:name="X3c816e0122024d37d6e7062e532bf9f0b81464c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2.4.2. Evolución del estado del arte y brecha estudiada</w:t>
      </w:r>
    </w:p>
    <w:p>
      <w:pPr>
        <w:rPr>
          <w:lang w:val="es-ES"/>
        </w:rPr>
      </w:pPr>
      <w:r>
        <w:rPr>
          <w:lang w:val="es-ES"/>
        </w:rPr>
        <w:t xml:space="preserve">Los primeros sistemas profundos para tumor cerebral ya mostraron el valor de combinar escalas y</w:t>
      </w:r>
      <w:r>
        <w:rPr>
          <w:lang w:val="es-ES"/>
        </w:rPr>
        <w:t xml:space="preserve"> </w:t>
      </w:r>
      <w:r>
        <w:rPr>
          <w:lang w:val="es-ES"/>
        </w:rPr>
        <w:t xml:space="preserve">modalidades. Havaei et al. (2017) utilizaron caminos convolucionales con distinto contexto para</w:t>
      </w:r>
      <w:r>
        <w:rPr>
          <w:lang w:val="es-ES"/>
        </w:rPr>
        <w:t xml:space="preserve"> </w:t>
      </w:r>
      <w:r>
        <w:rPr>
          <w:lang w:val="es-ES"/>
        </w:rPr>
        <w:t xml:space="preserve">segmentar gliomas, y DeepMedic integró dos trayectorias 3D multiescala y un campo aleatorio</w:t>
      </w:r>
      <w:r>
        <w:rPr>
          <w:lang w:val="es-ES"/>
        </w:rPr>
        <w:t xml:space="preserve"> </w:t>
      </w:r>
      <w:r>
        <w:rPr>
          <w:lang w:val="es-ES"/>
        </w:rPr>
        <w:t xml:space="preserve">condicional para refinar lesiones cerebrales (Kamnitsas et al., 2017). Más adelante, la solución de</w:t>
      </w:r>
      <w:r>
        <w:rPr>
          <w:lang w:val="es-ES"/>
        </w:rPr>
        <w:t xml:space="preserve"> </w:t>
      </w:r>
      <w:r>
        <w:rPr>
          <w:lang w:val="es-ES"/>
        </w:rPr>
        <w:t xml:space="preserve">Myronenko (2019) combinó una red encoder-decoder 3D con regularización mediante autoencoder y puso de</w:t>
      </w:r>
      <w:r>
        <w:rPr>
          <w:lang w:val="es-ES"/>
        </w:rPr>
        <w:t xml:space="preserve"> </w:t>
      </w:r>
      <w:r>
        <w:rPr>
          <w:lang w:val="es-ES"/>
        </w:rPr>
        <w:t xml:space="preserve">manifiesto que las CNN volumétricas cuidadosamente entrenadas seguían siendo referencias muy</w:t>
      </w:r>
      <w:r>
        <w:rPr>
          <w:lang w:val="es-ES"/>
        </w:rPr>
        <w:t xml:space="preserve"> </w:t>
      </w:r>
      <w:r>
        <w:rPr>
          <w:lang w:val="es-ES"/>
        </w:rPr>
        <w:t xml:space="preserve">competitivas.</w:t>
      </w:r>
    </w:p>
    <w:p>
      <w:pPr>
        <w:rPr>
          <w:lang w:val="es-ES"/>
        </w:rPr>
      </w:pPr>
      <w:r>
        <w:rPr>
          <w:lang w:val="es-ES"/>
        </w:rPr>
        <w:t xml:space="preserve">La investigación posterior ha trasladado la fusión a representaciones más ricas. Liu et al. (2022)</w:t>
      </w:r>
      <w:r>
        <w:rPr>
          <w:lang w:val="es-ES"/>
        </w:rPr>
        <w:t xml:space="preserve"> </w:t>
      </w:r>
      <w:r>
        <w:rPr>
          <w:lang w:val="es-ES"/>
        </w:rPr>
        <w:t xml:space="preserve">combinaron información a nivel de imagen y de características; Zhou et al. (2022) propusieron una</w:t>
      </w:r>
      <w:r>
        <w:rPr>
          <w:lang w:val="es-ES"/>
        </w:rPr>
        <w:t xml:space="preserve"> </w:t>
      </w:r>
      <w:r>
        <w:rPr>
          <w:lang w:val="es-ES"/>
        </w:rPr>
        <w:t xml:space="preserve">red de tri-atención que relaciona relevancia modal, distribución espacial y correlaciones entre</w:t>
      </w:r>
      <w:r>
        <w:rPr>
          <w:lang w:val="es-ES"/>
        </w:rPr>
        <w:t xml:space="preserve"> </w:t>
      </w:r>
      <w:r>
        <w:rPr>
          <w:lang w:val="es-ES"/>
        </w:rPr>
        <w:t xml:space="preserve">características. Otro frente aborda modalidades ausentes, para evitar que un sistema entrenado con</w:t>
      </w:r>
      <w:r>
        <w:rPr>
          <w:lang w:val="es-ES"/>
        </w:rPr>
        <w:t xml:space="preserve"> </w:t>
      </w:r>
      <w:r>
        <w:rPr>
          <w:lang w:val="es-ES"/>
        </w:rPr>
        <w:t xml:space="preserve">cuatro secuencias falle cuando alguna no está disponible (Ruffle et al., 2023). TransBTS representa,</w:t>
      </w:r>
      <w:r>
        <w:rPr>
          <w:lang w:val="es-ES"/>
        </w:rPr>
        <w:t xml:space="preserve"> </w:t>
      </w:r>
      <w:r>
        <w:rPr>
          <w:lang w:val="es-ES"/>
        </w:rPr>
        <w:t xml:space="preserve">a su vez, la integración del contexto multimodal dentro de una arquitectura híbrida</w:t>
      </w:r>
      <w:r>
        <w:rPr>
          <w:lang w:val="es-ES"/>
        </w:rPr>
        <w:t xml:space="preserve"> </w:t>
      </w:r>
      <w:r>
        <w:rPr>
          <w:lang w:val="es-ES"/>
        </w:rPr>
        <w:t xml:space="preserve">CNN-Transformer (Wang et al., 2021).</w:t>
      </w:r>
    </w:p>
    <w:p>
      <w:pPr>
        <w:rPr>
          <w:lang w:val="es-ES"/>
        </w:rPr>
      </w:pPr>
      <w:r>
        <w:rPr>
          <w:lang w:val="es-ES"/>
        </w:rPr>
        <w:t xml:space="preserve">Estos trabajos demuestran que la fusión puede realizarse en múltiples niveles, pero también</w:t>
      </w:r>
      <w:r>
        <w:rPr>
          <w:lang w:val="es-ES"/>
        </w:rPr>
        <w:t xml:space="preserve"> </w:t>
      </w:r>
      <w:r>
        <w:rPr>
          <w:lang w:val="es-ES"/>
        </w:rPr>
        <w:t xml:space="preserve">introducen simultáneamente ramas, mecanismos de atención o codificadores diferentes. En esas</w:t>
      </w:r>
      <w:r>
        <w:rPr>
          <w:lang w:val="es-ES"/>
        </w:rPr>
        <w:t xml:space="preserve"> </w:t>
      </w:r>
      <w:r>
        <w:rPr>
          <w:lang w:val="es-ES"/>
        </w:rPr>
        <w:t xml:space="preserve">condiciones resulta difícil atribuir una mejora exclusivamente a la ponderación de modalidades. La</w:t>
      </w:r>
      <w:r>
        <w:rPr>
          <w:lang w:val="es-ES"/>
        </w:rPr>
        <w:t xml:space="preserve"> </w:t>
      </w:r>
      <w:r>
        <w:rPr>
          <w:lang w:val="es-ES"/>
        </w:rPr>
        <w:t xml:space="preserve">brecha que aborda este TFM es deliberadamente más acotada: aportar evidencia controlada sobre si una</w:t>
      </w:r>
      <w:r>
        <w:rPr>
          <w:lang w:val="es-ES"/>
        </w:rPr>
        <w:t xml:space="preserve"> </w:t>
      </w:r>
      <w:r>
        <w:rPr>
          <w:lang w:val="es-ES"/>
        </w:rPr>
        <w:t xml:space="preserve">regla temprana, global por muestra y de muy pocos parámetros supera a la concatenación y a una</w:t>
      </w:r>
      <w:r>
        <w:rPr>
          <w:lang w:val="es-ES"/>
        </w:rPr>
        <w:t xml:space="preserve"> </w:t>
      </w:r>
      <w:r>
        <w:rPr>
          <w:lang w:val="es-ES"/>
        </w:rPr>
        <w:t xml:space="preserve">ponderación estática cuando la Residual U-Net 3D, los datos y el entrenamiento se mantienen fijos.</w:t>
      </w:r>
      <w:r>
        <w:rPr>
          <w:lang w:val="es-ES"/>
        </w:rPr>
        <w:t xml:space="preserve"> </w:t>
      </w:r>
      <w:r>
        <w:rPr>
          <w:lang w:val="es-ES"/>
        </w:rPr>
        <w:t xml:space="preserve">El objetivo no es reivindicar una nueva familia general de fusión ni resolver el escenario de</w:t>
      </w:r>
      <w:r>
        <w:rPr>
          <w:lang w:val="es-ES"/>
        </w:rPr>
        <w:t xml:space="preserve"> </w:t>
      </w:r>
      <w:r>
        <w:rPr>
          <w:lang w:val="es-ES"/>
        </w:rPr>
        <w:t xml:space="preserve">modalidades ausentes, sino medir de forma reproducible el valor añadido de esa decisión concreta.</w:t>
      </w:r>
    </w:p>
    <w:bookmarkEnd w:id="14"/>
    <w:bookmarkEnd w:id="15"/>
    <w:bookmarkStart w:id="17" w:name="Xbf10a66230d7a8ef88a77b94a28aa0b9d0137d8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2.5. BraTS-GLI 2024 y evaluación de la segmentación</w:t>
      </w:r>
    </w:p>
    <w:bookmarkStart w:id="18" w:name="Xe82523ff64417907a949dd9a6cb02c8c2661d3b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2.5.1.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benchmark</w:t>
      </w:r>
      <w:r>
        <w:rPr>
          <w:lang w:val="es-ES"/>
        </w:rPr>
        <w:t xml:space="preserve"> </w:t>
      </w:r>
      <w:r>
        <w:rPr>
          <w:lang w:val="es-ES"/>
        </w:rPr>
        <w:t xml:space="preserve">BraTS al escenario post-tratamiento</w:t>
      </w:r>
    </w:p>
    <w:p>
      <w:pPr>
        <w:rPr>
          <w:lang w:val="es-ES"/>
        </w:rPr>
      </w:pPr>
      <w:r>
        <w:rPr>
          <w:lang w:val="es-ES"/>
        </w:rPr>
        <w:t xml:space="preserve">BraTS estableció un marco común para comparar segmentación multimodal de tumores cerebrales mediante</w:t>
      </w:r>
      <w:r>
        <w:rPr>
          <w:lang w:val="es-ES"/>
        </w:rPr>
        <w:t xml:space="preserve"> </w:t>
      </w:r>
      <w:r>
        <w:rPr>
          <w:lang w:val="es-ES"/>
        </w:rPr>
        <w:t xml:space="preserve">datos anotados, regiones objetivo y métricas compartidas (Menze et al., 2015). La edición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BraTS-GLI 2024</w:t>
      </w:r>
      <w:r>
        <w:rPr>
          <w:lang w:val="es-ES"/>
        </w:rPr>
        <w:t xml:space="preserve"> </w:t>
      </w:r>
      <w:r>
        <w:rPr>
          <w:lang w:val="es-ES"/>
        </w:rPr>
        <w:t xml:space="preserve">se centra en gliomas post-tratamiento y reúne estudios MRI multicéntricos, un</w:t>
      </w:r>
      <w:r>
        <w:rPr>
          <w:lang w:val="es-ES"/>
        </w:rPr>
        <w:t xml:space="preserve"> </w:t>
      </w:r>
      <w:r>
        <w:rPr>
          <w:lang w:val="es-ES"/>
        </w:rPr>
        <w:t xml:space="preserve">escenario donde los cambios terapéuticos aumentan la heterogeneidad visual y la dificultad de</w:t>
      </w:r>
      <w:r>
        <w:rPr>
          <w:lang w:val="es-ES"/>
        </w:rPr>
        <w:t xml:space="preserve"> </w:t>
      </w:r>
      <w:r>
        <w:rPr>
          <w:lang w:val="es-ES"/>
        </w:rPr>
        <w:t xml:space="preserve">delimitación (de Verdier et al., 2024). Las cuatro secuencias utilizadas por este TFM son T1n, T1c,</w:t>
      </w:r>
      <w:r>
        <w:rPr>
          <w:lang w:val="es-ES"/>
        </w:rPr>
        <w:t xml:space="preserve"> </w:t>
      </w:r>
      <w:r>
        <w:rPr>
          <w:lang w:val="es-ES"/>
        </w:rPr>
        <w:t xml:space="preserve">T2w y FLAIR, y la evaluación se expresa de manera consistente para las regiones anidadas ET, TC y</w:t>
      </w:r>
      <w:r>
        <w:rPr>
          <w:lang w:val="es-ES"/>
        </w:rPr>
        <w:t xml:space="preserve"> </w:t>
      </w:r>
      <w:r>
        <w:rPr>
          <w:lang w:val="es-ES"/>
        </w:rPr>
        <w:t xml:space="preserve">WT.</w:t>
      </w:r>
    </w:p>
    <w:p>
      <w:pPr>
        <w:rPr>
          <w:lang w:val="es-ES"/>
        </w:rPr>
      </w:pPr>
      <w:r>
        <w:rPr>
          <w:lang w:val="es-ES"/>
        </w:rPr>
        <w:t xml:space="preserve">El contexto post-tratamiento tiene además carácter longitudinal: el seguimiento clínico puede</w:t>
      </w:r>
      <w:r>
        <w:rPr>
          <w:lang w:val="es-ES"/>
        </w:rPr>
        <w:t xml:space="preserve"> </w:t>
      </w:r>
      <w:r>
        <w:rPr>
          <w:lang w:val="es-ES"/>
        </w:rPr>
        <w:t xml:space="preserve">producir más de un estudio del mismo sujeto en momentos distintos. Esta propiedad es relevante para</w:t>
      </w:r>
      <w:r>
        <w:rPr>
          <w:lang w:val="es-ES"/>
        </w:rPr>
        <w:t xml:space="preserve"> </w:t>
      </w:r>
      <w:r>
        <w:rPr>
          <w:lang w:val="es-ES"/>
        </w:rPr>
        <w:t xml:space="preserve">interpretar la independencia de las observaciones y para diseñar particiones, aunque el</w:t>
      </w:r>
      <w:r>
        <w:rPr>
          <w:lang w:val="es-ES"/>
        </w:rPr>
        <w:t xml:space="preserve"> </w:t>
      </w:r>
      <w:r>
        <w:rPr>
          <w:lang w:val="es-ES"/>
        </w:rPr>
        <w:t xml:space="preserve">procedimiento concreto de separación pertenece a los capítulos de metodología y desarrollo. El</w:t>
      </w:r>
      <w:r>
        <w:rPr>
          <w:lang w:val="es-ES"/>
        </w:rPr>
        <w:t xml:space="preserve"> </w:t>
      </w:r>
      <w:r>
        <w:rPr>
          <w:lang w:val="es-ES"/>
        </w:rPr>
        <w:t xml:space="preserve">marco teórico se limita aquí a señalar que el «caso» de imagen y el «sujeto» no tienen por qué ser</w:t>
      </w:r>
      <w:r>
        <w:rPr>
          <w:lang w:val="es-ES"/>
        </w:rPr>
        <w:t xml:space="preserve"> </w:t>
      </w:r>
      <w:r>
        <w:rPr>
          <w:lang w:val="es-ES"/>
        </w:rPr>
        <w:t xml:space="preserve">unidades equivalentes (de Verdier et al., 2024).</w:t>
      </w:r>
    </w:p>
    <w:p>
      <w:pPr>
        <w:rPr>
          <w:lang w:val="es-ES"/>
        </w:rPr>
      </w:pPr>
      <w:r>
        <w:rPr>
          <w:lang w:val="es-ES"/>
        </w:rPr>
        <w:t xml:space="preserve">BraTS-GLI emplea una evaluación oficial sobre datos ocultos y métricas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lesión</w:t>
      </w:r>
      <w:r>
        <w:rPr>
          <w:lang w:val="es-ES"/>
        </w:rPr>
        <w:t xml:space="preserve">. Los resultados</w:t>
      </w:r>
      <w:r>
        <w:rPr>
          <w:lang w:val="es-ES"/>
        </w:rPr>
        <w:t xml:space="preserve"> </w:t>
      </w:r>
      <w:r>
        <w:rPr>
          <w:lang w:val="es-ES"/>
        </w:rPr>
        <w:t xml:space="preserve">internos de este trabajo, en cambio, proceden del conjunto de test local y calculan las métricas</w:t>
      </w:r>
      <w:r>
        <w:rPr>
          <w:lang w:val="es-ES"/>
        </w:rPr>
        <w:t xml:space="preserve"> </w:t>
      </w:r>
      <w:r>
        <w:rPr>
          <w:lang w:val="es-ES"/>
        </w:rPr>
        <w:t xml:space="preserve">sobre la máscara completa de cada región. Esta evaluación es adecuada para comparar de manera</w:t>
      </w:r>
      <w:r>
        <w:rPr>
          <w:lang w:val="es-ES"/>
        </w:rPr>
        <w:t xml:space="preserve"> </w:t>
      </w:r>
      <w:r>
        <w:rPr>
          <w:lang w:val="es-ES"/>
        </w:rPr>
        <w:t xml:space="preserve">homogénea los experimentos del TFM, pero sus valores no deben presentarse como resultados del</w:t>
      </w:r>
      <w:r>
        <w:rPr>
          <w:lang w:val="es-ES"/>
        </w:rPr>
        <w:t xml:space="preserve"> </w:t>
      </w:r>
      <w:r>
        <w:rPr>
          <w:lang w:val="es-ES"/>
        </w:rPr>
        <w:t xml:space="preserve">servidor oficial ni compararse de forma directa con una clasificación oficial sin reproducir su</w:t>
      </w:r>
      <w:r>
        <w:rPr>
          <w:lang w:val="es-ES"/>
        </w:rPr>
        <w:t xml:space="preserve"> </w:t>
      </w:r>
      <w:r>
        <w:rPr>
          <w:lang w:val="es-ES"/>
        </w:rPr>
        <w:t xml:space="preserve">protocolo lesion-wise (de Verdier et al., 2024).</w:t>
      </w:r>
    </w:p>
    <w:bookmarkEnd w:id="16"/>
    <w:bookmarkStart w:id="19" w:name="coeficiente-dice-y-distancia-hd95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2.5.2. Coeficiente Dice y distancia HD95</w:t>
      </w:r>
    </w:p>
    <w:p>
      <w:pPr>
        <w:rPr>
          <w:lang w:val="es-ES"/>
        </w:rPr>
      </w:pPr>
      <w:r>
        <w:rPr>
          <w:lang w:val="es-ES"/>
        </w:rPr>
        <w:t xml:space="preserve">Para una región</w:t>
      </w:r>
      <w:r>
        <w:rPr>
          <w:lang w:val="es-ES"/>
        </w:rPr>
        <w:t xml:space="preserve"> </w:t>
      </w:r>
      <m:oMath>
        <m:r>
          <m:t>r</m:t>
        </m:r>
      </m:oMath>
      <w:r>
        <w:rPr>
          <w:lang w:val="es-ES"/>
        </w:rPr>
        <w:t xml:space="preserve">, sean</w:t>
      </w:r>
      <w:r>
        <w:rPr>
          <w:lang w:val="es-ES"/>
        </w:rP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</m:oMath>
      <w:r>
        <w:rPr>
          <w:lang w:val="es-ES"/>
        </w:rPr>
        <w:t xml:space="preserve"> </w:t>
      </w:r>
      <w:r>
        <w:rPr>
          <w:lang w:val="es-ES"/>
        </w:rPr>
        <w:t xml:space="preserve">el conjunto de vóxeles predichos y</w:t>
      </w:r>
      <w:r>
        <w:rPr>
          <w:lang w:val="es-ES"/>
        </w:rPr>
        <w:t xml:space="preserve"> </w:t>
      </w:r>
      <m:oMath>
        <m:sSub>
          <m:e>
            <m:r>
              <m:t>G</m:t>
            </m:r>
          </m:e>
          <m:sub>
            <m:r>
              <m:t>r</m:t>
            </m:r>
          </m:sub>
        </m:sSub>
      </m:oMath>
      <w:r>
        <w:rPr>
          <w:lang w:val="es-ES"/>
        </w:rPr>
        <w:t xml:space="preserve"> </w:t>
      </w:r>
      <w:r>
        <w:rPr>
          <w:lang w:val="es-ES"/>
        </w:rPr>
        <w:t xml:space="preserve">la referencia.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coeficiente Dice</w:t>
      </w:r>
      <w:r>
        <w:rPr>
          <w:lang w:val="es-ES"/>
        </w:rPr>
        <w:t xml:space="preserve"> </w:t>
      </w:r>
      <w:r>
        <w:rPr>
          <w:lang w:val="es-ES"/>
        </w:rPr>
        <w:t xml:space="preserve">se define como</w:t>
      </w:r>
    </w:p>
    <w:p>
      <w:pPr>
        <w:rPr>
          <w:lang w:val="es-ES"/>
        </w:rPr>
      </w:pPr>
      <m:oMathPara>
        <m:oMathParaPr>
          <m:jc m:val="center"/>
        </m:oMathParaPr>
        <m:oMath>
          <m:r>
            <m:rPr>
              <m:sty m:val="p"/>
            </m:rPr>
            <m:t>Dice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|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rPr>
          <w:lang w:val="es-ES"/>
        </w:rPr>
      </w:pPr>
      <w:r>
        <w:rPr>
          <w:lang w:val="es-ES"/>
        </w:rPr>
        <w:t xml:space="preserve">Dice toma valores entre 0 y 1 y mide solapamiento: 1 representa coincidencia perfecta. Es sensible</w:t>
      </w:r>
      <w:r>
        <w:rPr>
          <w:lang w:val="es-ES"/>
        </w:rPr>
        <w:t xml:space="preserve"> </w:t>
      </w:r>
      <w:r>
        <w:rPr>
          <w:lang w:val="es-ES"/>
        </w:rPr>
        <w:t xml:space="preserve">a errores relativos en regiones pequeñas y no informa directamente de la distancia física entre</w:t>
      </w:r>
      <w:r>
        <w:rPr>
          <w:lang w:val="es-ES"/>
        </w:rPr>
        <w:t xml:space="preserve"> </w:t>
      </w:r>
      <w:r>
        <w:rPr>
          <w:lang w:val="es-ES"/>
        </w:rPr>
        <w:t xml:space="preserve">fronteras (Dice, 1945; Taha &amp; Hanbury, 2015).</w:t>
      </w:r>
    </w:p>
    <w:p>
      <w:pPr>
        <w:rPr>
          <w:lang w:val="es-ES"/>
        </w:rPr>
      </w:pPr>
      <w:r>
        <w:rPr>
          <w:lang w:val="es-ES"/>
        </w:rPr>
        <w:t xml:space="preserve">Para complementar el solapamiento se emplea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distancia de Hausdorff al percentil 95</w:t>
      </w:r>
      <w:r>
        <w:rPr>
          <w:lang w:val="es-ES"/>
        </w:rPr>
        <w:t xml:space="preserve">. Sean</w:t>
      </w:r>
      <w:r>
        <w:rPr>
          <w:lang w:val="es-ES"/>
        </w:rPr>
        <w:t xml:space="preserve"> </w:t>
      </w:r>
      <m:oMath>
        <m:r>
          <m:rPr>
            <m:sty m:val="p"/>
          </m:rPr>
          <m:t>∂</m:t>
        </m:r>
        <m:sSub>
          <m:e>
            <m:r>
              <m:t>P</m:t>
            </m:r>
          </m:e>
          <m:sub>
            <m:r>
              <m:t>r</m:t>
            </m:r>
          </m:sub>
        </m:sSub>
      </m:oMath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m:oMath>
        <m:r>
          <m:rPr>
            <m:sty m:val="p"/>
          </m:rPr>
          <m:t>∂</m:t>
        </m:r>
        <m:sSub>
          <m:e>
            <m:r>
              <m:t>G</m:t>
            </m:r>
          </m:e>
          <m:sub>
            <m:r>
              <m:t>r</m:t>
            </m:r>
          </m:sub>
        </m:sSub>
      </m:oMath>
      <w:r>
        <w:rPr>
          <w:lang w:val="es-ES"/>
        </w:rPr>
        <w:t xml:space="preserve"> </w:t>
      </w:r>
      <w:r>
        <w:rPr>
          <w:lang w:val="es-ES"/>
        </w:rPr>
        <w:t xml:space="preserve">las superficies de ambas máscaras y</w:t>
      </w:r>
      <w:r>
        <w:rPr>
          <w:lang w:val="es-ES"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</m:sub>
        </m:sSub>
        <m:sSub>
          <m:e>
            <m:d>
              <m:dPr>
                <m:begChr m:val="‖"/>
                <m:sepChr m:val=""/>
                <m:endChr m:val="‖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s</m:t>
                </m:r>
              </m:e>
            </m:d>
          </m:e>
          <m:sub>
            <m:r>
              <m:t>2</m:t>
            </m:r>
          </m:sub>
        </m:sSub>
      </m:oMath>
      <w:r>
        <w:rPr>
          <w:lang w:val="es-ES"/>
        </w:rPr>
        <w:t xml:space="preserve"> </w:t>
      </w:r>
      <w:r>
        <w:rPr>
          <w:lang w:val="es-ES"/>
        </w:rPr>
        <w:t xml:space="preserve">la distancia de un punto a una superficie, calculada con</w:t>
      </w:r>
      <w:r>
        <w:rPr>
          <w:lang w:val="es-ES"/>
        </w:rPr>
        <w:t xml:space="preserve"> </w:t>
      </w:r>
      <w:r>
        <w:rPr>
          <w:lang w:val="es-ES"/>
        </w:rPr>
        <w:t xml:space="preserve">el espaciado físico de la imagen. Entonces,</w:t>
      </w:r>
    </w:p>
    <w:p>
      <w:pPr>
        <w:rPr>
          <w:lang w:val="es-ES"/>
        </w:rPr>
      </w:pPr>
      <m:oMathPara>
        <m:oMathParaPr>
          <m:jc m:val="center"/>
        </m:oMathParaPr>
        <m:oMath>
          <m:r>
            <m:rPr>
              <m:sty m:val="p"/>
            </m:rPr>
            <m:t>HD95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0.95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{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rPr>
          <w:lang w:val="es-ES"/>
        </w:rPr>
      </w:pPr>
      <w:r>
        <w:rPr>
          <w:lang w:val="es-ES"/>
        </w:rPr>
        <w:t xml:space="preserve">donde</w:t>
      </w:r>
      <w:r>
        <w:rPr>
          <w:lang w:val="es-ES"/>
        </w:rP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</m:oMath>
      <w:r>
        <w:rPr>
          <w:lang w:val="es-ES"/>
        </w:rPr>
        <w:t xml:space="preserve"> </w:t>
      </w:r>
      <w:r>
        <w:rPr>
          <w:lang w:val="es-ES"/>
        </w:rPr>
        <w:t xml:space="preserve">es el percentil 95 del conjunto simétrico de distancias. Frente al máximo</w:t>
      </w:r>
      <w:r>
        <w:rPr>
          <w:lang w:val="es-ES"/>
        </w:rPr>
        <w:t xml:space="preserve"> </w:t>
      </w:r>
      <w:r>
        <w:rPr>
          <w:lang w:val="es-ES"/>
        </w:rPr>
        <w:t xml:space="preserve">clásico de Hausdorff, el percentil reduce la influencia de unos pocos valores extremos. Su unidad es</w:t>
      </w:r>
      <w:r>
        <w:rPr>
          <w:lang w:val="es-ES"/>
        </w:rPr>
        <w:t xml:space="preserve"> </w:t>
      </w:r>
      <w:r>
        <w:rPr>
          <w:lang w:val="es-ES"/>
        </w:rPr>
        <w:t xml:space="preserve">el milímetro y un valor menor indica fronteras más próximas (Huttenlocher et al., 1993; Taha &amp;</w:t>
      </w:r>
      <w:r>
        <w:rPr>
          <w:lang w:val="es-ES"/>
        </w:rPr>
        <w:t xml:space="preserve"> </w:t>
      </w:r>
      <w:r>
        <w:rPr>
          <w:lang w:val="es-ES"/>
        </w:rPr>
        <w:t xml:space="preserve">Hanbury, 2015).</w:t>
      </w:r>
    </w:p>
    <w:p>
      <w:pPr>
        <w:rPr>
          <w:lang w:val="es-ES"/>
        </w:rPr>
      </w:pPr>
      <w:r>
        <w:rPr>
          <w:lang w:val="es-ES"/>
        </w:rPr>
        <w:t xml:space="preserve">Los casos vacíos requieren convenciones explícitas. En la evaluación interna, si predicción y</w:t>
      </w:r>
      <w:r>
        <w:rPr>
          <w:lang w:val="es-ES"/>
        </w:rPr>
        <w:t xml:space="preserve"> </w:t>
      </w:r>
      <w:r>
        <w:rPr>
          <w:lang w:val="es-ES"/>
        </w:rPr>
        <w:t xml:space="preserve">referencia están vacías se asigna Dice = 1 y HD95 = 0; si solo una está vacía, se asigna Dice = 0 y</w:t>
      </w:r>
      <w:r>
        <w:rPr>
          <w:lang w:val="es-ES"/>
        </w:rPr>
        <w:t xml:space="preserve"> </w:t>
      </w:r>
      <w:r>
        <w:rPr>
          <w:lang w:val="es-ES"/>
        </w:rPr>
        <w:t xml:space="preserve">HD95 infinita. Los valores infinitos se conservan a nivel de caso para identificar el fallo, pero se</w:t>
      </w:r>
      <w:r>
        <w:rPr>
          <w:lang w:val="es-ES"/>
        </w:rPr>
        <w:t xml:space="preserve"> </w:t>
      </w:r>
      <w:r>
        <w:rPr>
          <w:lang w:val="es-ES"/>
        </w:rPr>
        <w:t xml:space="preserve">excluyen de los agregados finitos de HD95. Estas reglas, junto con el cálculo separado para ET, TC y</w:t>
      </w:r>
      <w:r>
        <w:rPr>
          <w:lang w:val="es-ES"/>
        </w:rPr>
        <w:t xml:space="preserve"> </w:t>
      </w:r>
      <w:r>
        <w:rPr>
          <w:lang w:val="es-ES"/>
        </w:rPr>
        <w:t xml:space="preserve">WT, evitan que una implementación implícita altere la interpretación de los resultados.</w:t>
      </w:r>
    </w:p>
    <w:bookmarkEnd w:id="17"/>
    <w:bookmarkEnd w:id="18"/>
    <w:bookmarkStart w:id="20" w:name="coste-computacional-y-reproducibilidad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2.6. Coste computacional y reproducibilidad</w:t>
      </w:r>
    </w:p>
    <w:p>
      <w:pPr>
        <w:rPr>
          <w:lang w:val="es-ES"/>
        </w:rPr>
      </w:pPr>
      <w:r>
        <w:rPr>
          <w:lang w:val="es-ES"/>
        </w:rPr>
        <w:t xml:space="preserve">La calidad de segmentación no basta para valorar una arquitectura. En un problema 3D deben</w:t>
      </w:r>
      <w:r>
        <w:rPr>
          <w:lang w:val="es-ES"/>
        </w:rPr>
        <w:t xml:space="preserve"> </w:t>
      </w:r>
      <w:r>
        <w:rPr>
          <w:lang w:val="es-ES"/>
        </w:rPr>
        <w:t xml:space="preserve">considerarse al menos cuatro dimensiones de coste.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número de parámetros</w:t>
      </w:r>
      <w:r>
        <w:rPr>
          <w:lang w:val="es-ES"/>
        </w:rPr>
        <w:t xml:space="preserve"> </w:t>
      </w:r>
      <w:r>
        <w:rPr>
          <w:lang w:val="es-ES"/>
        </w:rPr>
        <w:t xml:space="preserve">aproxima la capacidad</w:t>
      </w:r>
      <w:r>
        <w:rPr>
          <w:lang w:val="es-ES"/>
        </w:rPr>
        <w:t xml:space="preserve"> </w:t>
      </w:r>
      <w:r>
        <w:rPr>
          <w:lang w:val="es-ES"/>
        </w:rPr>
        <w:t xml:space="preserve">del modelo y el tamaño de sus pesos;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memoria máxima del acelerador</w:t>
      </w:r>
      <w:r>
        <w:rPr>
          <w:lang w:val="es-ES"/>
        </w:rPr>
        <w:t xml:space="preserve"> </w:t>
      </w:r>
      <w:r>
        <w:rPr>
          <w:lang w:val="es-ES"/>
        </w:rPr>
        <w:t xml:space="preserve">incluye también</w:t>
      </w:r>
      <w:r>
        <w:rPr>
          <w:lang w:val="es-ES"/>
        </w:rPr>
        <w:t xml:space="preserve"> </w:t>
      </w:r>
      <w:r>
        <w:rPr>
          <w:lang w:val="es-ES"/>
        </w:rPr>
        <w:t xml:space="preserve">activaciones, gradientes y estados del optimizador, por lo que depende del parche, el lote y la</w:t>
      </w:r>
      <w:r>
        <w:rPr>
          <w:lang w:val="es-ES"/>
        </w:rPr>
        <w:t xml:space="preserve"> </w:t>
      </w:r>
      <w:r>
        <w:rPr>
          <w:lang w:val="es-ES"/>
        </w:rPr>
        <w:t xml:space="preserve">precisión numérica;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tiempo de entrenamiento</w:t>
      </w:r>
      <w:r>
        <w:rPr>
          <w:lang w:val="es-ES"/>
        </w:rPr>
        <w:t xml:space="preserve"> </w:t>
      </w:r>
      <w:r>
        <w:rPr>
          <w:lang w:val="es-ES"/>
        </w:rPr>
        <w:t xml:space="preserve">refleja el coste de obtener el modelo; y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tiempo de inferencia</w:t>
      </w:r>
      <w:r>
        <w:rPr>
          <w:lang w:val="es-ES"/>
        </w:rPr>
        <w:t xml:space="preserve"> </w:t>
      </w:r>
      <w:r>
        <w:rPr>
          <w:lang w:val="es-ES"/>
        </w:rPr>
        <w:t xml:space="preserve">condiciona su uso posterior. Dos redes con un número parecido de parámetros</w:t>
      </w:r>
      <w:r>
        <w:rPr>
          <w:lang w:val="es-ES"/>
        </w:rPr>
        <w:t xml:space="preserve"> </w:t>
      </w:r>
      <w:r>
        <w:rPr>
          <w:lang w:val="es-ES"/>
        </w:rPr>
        <w:t xml:space="preserve">pueden diferir notablemente en memoria o latencia por la forma de sus operaciones.</w:t>
      </w:r>
    </w:p>
    <w:p>
      <w:pPr>
        <w:rPr>
          <w:lang w:val="es-ES"/>
        </w:rPr>
      </w:pPr>
      <w:r>
        <w:rPr>
          <w:lang w:val="es-ES"/>
        </w:rPr>
        <w:t xml:space="preserve">Las medidas temporales solo son comparables si se documentan hardware, versiones de software,</w:t>
      </w:r>
      <w:r>
        <w:rPr>
          <w:lang w:val="es-ES"/>
        </w:rPr>
        <w:t xml:space="preserve"> </w:t>
      </w:r>
      <w:r>
        <w:rPr>
          <w:lang w:val="es-ES"/>
        </w:rPr>
        <w:t xml:space="preserve">tamaño de entrada, precisión, lote y procedimiento de medida. Además, el entrenamiento es</w:t>
      </w:r>
      <w:r>
        <w:rPr>
          <w:lang w:val="es-ES"/>
        </w:rPr>
        <w:t xml:space="preserve"> </w:t>
      </w:r>
      <w:r>
        <w:rPr>
          <w:lang w:val="es-ES"/>
        </w:rPr>
        <w:t xml:space="preserve">estocástico y el tiempo hasta alcanzar una solución presenta variabilidad; los principios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benchmarking</w:t>
      </w:r>
      <w:r>
        <w:rPr>
          <w:lang w:val="es-ES"/>
        </w:rPr>
        <w:t xml:space="preserve"> </w:t>
      </w:r>
      <w:r>
        <w:rPr>
          <w:lang w:val="es-ES"/>
        </w:rPr>
        <w:t xml:space="preserve">de MLPerf subrayan la necesidad de fijar tanto el sistema como el objetivo medido</w:t>
      </w:r>
      <w:r>
        <w:rPr>
          <w:lang w:val="es-ES"/>
        </w:rPr>
        <w:t xml:space="preserve"> </w:t>
      </w:r>
      <w:r>
        <w:rPr>
          <w:lang w:val="es-ES"/>
        </w:rPr>
        <w:t xml:space="preserve">(Mattson et al., 2020). Del mismo modo, publicar configuraciones, particiones, semillas y código</w:t>
      </w:r>
      <w:r>
        <w:rPr>
          <w:lang w:val="es-ES"/>
        </w:rPr>
        <w:t xml:space="preserve"> </w:t>
      </w:r>
      <w:r>
        <w:rPr>
          <w:lang w:val="es-ES"/>
        </w:rPr>
        <w:t xml:space="preserve">favorece que otros investigadores puedan reconstruir y comprobar los hallazgos (Pineau et al.,</w:t>
      </w:r>
      <w:r>
        <w:rPr>
          <w:lang w:val="es-ES"/>
        </w:rPr>
        <w:t xml:space="preserve"> </w:t>
      </w:r>
      <w:r>
        <w:rPr>
          <w:lang w:val="es-ES"/>
        </w:rPr>
        <w:t xml:space="preserve">2021).</w:t>
      </w:r>
    </w:p>
    <w:p>
      <w:pPr>
        <w:rPr>
          <w:lang w:val="es-ES"/>
        </w:rPr>
      </w:pPr>
      <w:r>
        <w:rPr>
          <w:lang w:val="es-ES"/>
        </w:rPr>
        <w:t xml:space="preserve">En este TFM, estas magnitudes cumplen dos funciones distintas. Dentro de la ablación de fusión,</w:t>
      </w:r>
      <w:r>
        <w:rPr>
          <w:lang w:val="es-ES"/>
        </w:rPr>
        <w:t xml:space="preserve"> </w:t>
      </w:r>
      <w:r>
        <w:rPr>
          <w:lang w:val="es-ES"/>
        </w:rPr>
        <w:t xml:space="preserve">permiten verificar si el mecanismo añadido es realmente ligero frente a la misma Residual U-Net.</w:t>
      </w:r>
      <w:r>
        <w:rPr>
          <w:lang w:val="es-ES"/>
        </w:rPr>
        <w:t xml:space="preserve"> </w:t>
      </w:r>
      <w:r>
        <w:rPr>
          <w:lang w:val="es-ES"/>
        </w:rPr>
        <w:t xml:space="preserve">En la comparación contextual entre arquitecturas, ayudan a explicar las diferencias de escala, pero</w:t>
      </w:r>
      <w:r>
        <w:rPr>
          <w:lang w:val="es-ES"/>
        </w:rPr>
        <w:t xml:space="preserve"> </w:t>
      </w:r>
      <w:r>
        <w:rPr>
          <w:lang w:val="es-ES"/>
        </w:rPr>
        <w:t xml:space="preserve">no corrigen por sí solas cambios de hardware o protocolo. Por ello, los tiempos obtenidos en</w:t>
      </w:r>
      <w:r>
        <w:rPr>
          <w:lang w:val="es-ES"/>
        </w:rPr>
        <w:t xml:space="preserve"> </w:t>
      </w:r>
      <w:r>
        <w:rPr>
          <w:lang w:val="es-ES"/>
        </w:rPr>
        <w:t xml:space="preserve">entornos distintos se documentan como evidencia descriptiva y no como una clasificación universal</w:t>
      </w:r>
      <w:r>
        <w:rPr>
          <w:lang w:val="es-ES"/>
        </w:rPr>
        <w:t xml:space="preserve"> </w:t>
      </w:r>
      <w:r>
        <w:rPr>
          <w:lang w:val="es-ES"/>
        </w:rPr>
        <w:t xml:space="preserve">de eficiencia.</w:t>
      </w:r>
    </w:p>
    <w:bookmarkEnd w:id="19"/>
    <w:bookmarkStart w:id="21" w:name="X2e8c0e900780bf78a4370554b348d72eaa828f0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2.7. Implementaciones y repositorios considerados</w:t>
      </w:r>
    </w:p>
    <w:p>
      <w:pPr>
        <w:rPr>
          <w:lang w:val="es-ES"/>
        </w:rPr>
      </w:pPr>
      <w:r>
        <w:rPr>
          <w:lang w:val="es-ES"/>
        </w:rPr>
        <w:t xml:space="preserve">La elección de software se realizó atendiendo a cinco criterios: correspondencia con las familias</w:t>
      </w:r>
      <w:r>
        <w:rPr>
          <w:lang w:val="es-ES"/>
        </w:rPr>
        <w:t xml:space="preserve"> </w:t>
      </w:r>
      <w:r>
        <w:rPr>
          <w:lang w:val="es-ES"/>
        </w:rPr>
        <w:t xml:space="preserve">arquitectónicas relevantes, soporte de tensores 3D y entradas multicanal, disponibilidad de una</w:t>
      </w:r>
      <w:r>
        <w:rPr>
          <w:lang w:val="es-ES"/>
        </w:rPr>
        <w:t xml:space="preserve"> </w:t>
      </w:r>
      <w:r>
        <w:rPr>
          <w:lang w:val="es-ES"/>
        </w:rPr>
        <w:t xml:space="preserve">implementación pública identificable, esfuerzo de integración con 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y licencia del</w:t>
      </w:r>
      <w:r>
        <w:rPr>
          <w:lang w:val="es-ES"/>
        </w:rPr>
        <w:t xml:space="preserve"> </w:t>
      </w:r>
      <w:r>
        <w:rPr>
          <w:lang w:val="es-ES"/>
        </w:rPr>
        <w:t xml:space="preserve">código. MONAI aporta componentes específicos de imagen médica sobre PyTorch y una interfaz común</w:t>
      </w:r>
      <w:r>
        <w:rPr>
          <w:lang w:val="es-ES"/>
        </w:rPr>
        <w:t xml:space="preserve"> </w:t>
      </w:r>
      <w:r>
        <w:rPr>
          <w:lang w:val="es-ES"/>
        </w:rPr>
        <w:t xml:space="preserve">para transformaciones, redes e inferencia (Cardoso et al., 2022). nnU-Net y TransBTS se evaluaron a</w:t>
      </w:r>
      <w:r>
        <w:rPr>
          <w:lang w:val="es-ES"/>
        </w:rPr>
        <w:t xml:space="preserve"> </w:t>
      </w:r>
      <w:r>
        <w:rPr>
          <w:lang w:val="es-ES"/>
        </w:rPr>
        <w:t xml:space="preserve">partir de sus repositorios oficiales; el primero constituye un sistema externo auto-configurable y</w:t>
      </w:r>
      <w:r>
        <w:rPr>
          <w:lang w:val="es-ES"/>
        </w:rPr>
        <w:t xml:space="preserve"> </w:t>
      </w:r>
      <w:r>
        <w:rPr>
          <w:lang w:val="es-ES"/>
        </w:rPr>
        <w:t xml:space="preserve">el segundo una alternativa híbrida especializada.</w:t>
      </w:r>
    </w:p>
    <w:p>
      <w:pPr>
        <w:rPr>
          <w:lang w:val="es-ES"/>
        </w:rPr>
      </w:pPr>
      <w:r>
        <w:rPr>
          <w:lang w:val="es-ES"/>
        </w:rPr>
        <w:t xml:space="preserve">La Tabla 2 aplica esos criterios a las opciones que influyeron en el diseño. «Multimodal» significa</w:t>
      </w:r>
      <w:r>
        <w:rPr>
          <w:lang w:val="es-ES"/>
        </w:rPr>
        <w:t xml:space="preserve"> </w:t>
      </w:r>
      <w:r>
        <w:rPr>
          <w:lang w:val="es-ES"/>
        </w:rPr>
        <w:t xml:space="preserve">aquí que la implementación admite las modalidades como canales o dispone de un flujo específico</w:t>
      </w:r>
      <w:r>
        <w:rPr>
          <w:lang w:val="es-ES"/>
        </w:rPr>
        <w:t xml:space="preserve"> </w:t>
      </w:r>
      <w:r>
        <w:rPr>
          <w:lang w:val="es-ES"/>
        </w:rPr>
        <w:t xml:space="preserve">para ellas; no implica que incorpore ponderación explícita. La licencia indicada corresponde al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software</w:t>
      </w:r>
      <w:r>
        <w:rPr>
          <w:lang w:val="es-ES"/>
        </w:rPr>
        <w:t xml:space="preserve"> </w:t>
      </w:r>
      <w:r>
        <w:rPr>
          <w:lang w:val="es-ES"/>
        </w:rPr>
        <w:t xml:space="preserve">consultado. El acceso y uso de BraTS-GLI se rigen por las condiciones propias del</w:t>
      </w:r>
      <w:r>
        <w:rPr>
          <w:lang w:val="es-ES"/>
        </w:rPr>
        <w:t xml:space="preserve"> </w:t>
      </w:r>
      <w:r>
        <w:rPr>
          <w:lang w:val="es-ES"/>
        </w:rPr>
        <w:t xml:space="preserve">conjunto de datos y no se deducen de la licencia de estos repositorios.</w:t>
      </w:r>
    </w:p>
    <w:tbl>
      <w:tblPr>
        <w:tblStyle w:val="TableGrid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Componente y fuente de implementación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Tipo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Soporte 3D y multimodal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Integración y reproducibilidad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Licencia del software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Decisión razonada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MONAI (</w:t>
            </w:r>
            <w:hyperlink r:id="rId17">
              <w:r>
                <w:rPr>
                  <w:rStyle w:val="VerbatimChar"/>
                </w:rPr>
                <w:t xml:space="preserve">Project-MONAI/MONAI</w:t>
              </w:r>
            </w:hyperlink>
            <w:r>
              <w:rPr>
                <w:rFonts w:ascii="Arial" w:hAnsi="Arial" w:cs="Arial" w:eastAsia="Arial"/>
                <w:color w:val="000000"/>
                <w:sz w:val="14"/>
              </w:rPr>
              <w:t xml:space="preserve">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i/>
                <w:iCs/>
                <w:color w:val="000000"/>
                <w:sz w:val="14"/>
              </w:rPr>
              <w:t xml:space="preserve">Framework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de imagen médica sobre PyTorch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Operadores 3D y entradas multicanal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Integración directa; API común para datos, modelos e inferencia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Apache-2.0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Seleccionado como base del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4"/>
              </w:rPr>
              <w:t xml:space="preserve">pipeline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propio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Residual U-Net 3D (configuración propia de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4"/>
              </w:rPr>
              <w:t xml:space="preserve">monai.networks.nets.UNet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CNN encoder-decoder con unidades residuales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Sí; cuatro canales de entrada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Integración directa y control de una única regla de fusión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Dependencia MONAI: Apache-2.0; código del TFM: sin licencia declarada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Seleccionada como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4"/>
              </w:rPr>
              <w:t xml:space="preserve">baseline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y soporte de la ablación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Attention U-Net 3D (</w:t>
            </w:r>
            <w:r>
              <w:rPr>
                <w:rStyle w:val="VerbatimChar"/>
                <w:rFonts w:ascii="Arial" w:hAnsi="Arial" w:cs="Arial" w:eastAsia="Arial"/>
                <w:color w:val="000000"/>
                <w:sz w:val="14"/>
              </w:rPr>
              <w:t xml:space="preserve">monai.networks.nets.AttentionUnet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CNN con compuertas en conexiones de salto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Sí; cuatro canales de entrada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Integración directa en el mismo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4"/>
              </w:rPr>
              <w:t xml:space="preserve">pipeline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MONAI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Apache-2.0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Seleccionada como referencia atencional contextual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Swin UNETR (</w:t>
            </w:r>
            <w:r>
              <w:rPr>
                <w:rStyle w:val="VerbatimChar"/>
                <w:rFonts w:ascii="Arial" w:hAnsi="Arial" w:cs="Arial" w:eastAsia="Arial"/>
                <w:color w:val="000000"/>
                <w:sz w:val="14"/>
              </w:rPr>
              <w:t xml:space="preserve">monai.networks.nets.SwinUNETR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Híbrido Transformer jerárquico y decodificador convolucional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Sí; cuatro canales de entrada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Integración directa, con mayor demanda prevista de memoria y cómputo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Apache-2.0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Seleccionada como referencia Transformer contextual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nnU-Net v2 (</w:t>
            </w:r>
            <w:hyperlink r:id="rId18">
              <w:r>
                <w:rPr>
                  <w:rStyle w:val="VerbatimChar"/>
                </w:rPr>
                <w:t xml:space="preserve">MIC-DKFZ/nnUNet</w:t>
              </w:r>
            </w:hyperlink>
            <w:r>
              <w:rPr>
                <w:rFonts w:ascii="Arial" w:hAnsi="Arial" w:cs="Arial" w:eastAsia="Arial"/>
                <w:color w:val="000000"/>
                <w:sz w:val="14"/>
              </w:rPr>
              <w:t xml:space="preserve">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i/>
                <w:iCs/>
                <w:color w:val="000000"/>
                <w:sz w:val="14"/>
              </w:rPr>
              <w:t xml:space="preserve">Pipeline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auto-configurable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Sí; configuración 3D y múltiples canales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Flujo externo propio; requiere conversión de datos y conserva su planificación automática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Apache-2.0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Seleccionado como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4"/>
              </w:rPr>
              <w:t xml:space="preserve">baseline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externo fuerte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TransBTS (</w:t>
            </w:r>
            <w:hyperlink r:id="rId19">
              <w:r>
                <w:rPr>
                  <w:rStyle w:val="VerbatimChar"/>
                </w:rPr>
                <w:t xml:space="preserve">Rubics-Xuan/TransBTS</w:t>
              </w:r>
            </w:hyperlink>
            <w:r>
              <w:rPr>
                <w:rFonts w:ascii="Arial" w:hAnsi="Arial" w:cs="Arial" w:eastAsia="Arial"/>
                <w:color w:val="000000"/>
                <w:sz w:val="14"/>
              </w:rPr>
              <w:t xml:space="preserve">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Arquitectura híbrida CNN-Transformer para segmentación multimodal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Sí; diseñada para volúmenes MRI multimodales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Repositorio oficial con entorno PyTorch independiente y adaptación manual al protocolo actual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Apache-2.0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No ejecutada: el coste de portado añadía otra variable sin reforzar la ablación principal</w:t>
            </w:r>
          </w:p>
        </w:tc>
      </w:tr>
    </w:tbl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2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Comparación de implementaciones y repositorios relevantes para el TFM.</w:t>
      </w:r>
    </w:p>
    <w:p>
      <w:pPr>
        <w:rPr>
          <w:lang w:val="es-ES"/>
        </w:rPr>
      </w:pPr>
      <w:r>
        <w:rPr>
          <w:lang w:val="es-ES"/>
        </w:rPr>
        <w:t xml:space="preserve">La tabla muestra que las cuatro configuraciones de fusión se apoyan en una única implementación</w:t>
      </w:r>
      <w:r>
        <w:rPr>
          <w:lang w:val="es-ES"/>
        </w:rPr>
        <w:t xml:space="preserve"> </w:t>
      </w:r>
      <w:r>
        <w:rPr>
          <w:lang w:val="es-ES"/>
        </w:rPr>
        <w:t xml:space="preserve">residual dentro de MONAI, condición necesaria para atribuir sus diferencias a la regla de entrada.</w:t>
      </w:r>
      <w:r>
        <w:rPr>
          <w:lang w:val="es-ES"/>
        </w:rPr>
        <w:t xml:space="preserve"> </w:t>
      </w:r>
      <w:r>
        <w:rPr>
          <w:lang w:val="es-ES"/>
        </w:rPr>
        <w:t xml:space="preserve">Attention U-Net y Swin UNETR amplían el contexto arquitectónico usando la misma infraestructura,</w:t>
      </w:r>
      <w:r>
        <w:rPr>
          <w:lang w:val="es-ES"/>
        </w:rPr>
        <w:t xml:space="preserve"> </w:t>
      </w:r>
      <w:r>
        <w:rPr>
          <w:lang w:val="es-ES"/>
        </w:rPr>
        <w:t xml:space="preserve">mientras nnU-Net conserva su flujo externo porque su auto-configuración forma parte del propio</w:t>
      </w:r>
      <w:r>
        <w:rPr>
          <w:lang w:val="es-ES"/>
        </w:rPr>
        <w:t xml:space="preserve"> </w:t>
      </w:r>
      <w:r>
        <w:rPr>
          <w:lang w:val="es-ES"/>
        </w:rPr>
        <w:t xml:space="preserve">método. TransBTS aporta una referencia pertinente para el estado del arte, pero integrarla habría</w:t>
      </w:r>
      <w:r>
        <w:rPr>
          <w:lang w:val="es-ES"/>
        </w:rPr>
        <w:t xml:space="preserve"> </w:t>
      </w:r>
      <w:r>
        <w:rPr>
          <w:lang w:val="es-ES"/>
        </w:rPr>
        <w:t xml:space="preserve">mezclado el estudio de fusión con un cambio simultáneo de codificador y de entorno. Esta decisión</w:t>
      </w:r>
      <w:r>
        <w:rPr>
          <w:lang w:val="es-ES"/>
        </w:rPr>
        <w:t xml:space="preserve"> </w:t>
      </w:r>
      <w:r>
        <w:rPr>
          <w:lang w:val="es-ES"/>
        </w:rPr>
        <w:t xml:space="preserve">reduce amplitud experimental, pero fortalece la validez interna de la comparación principal.</w:t>
      </w:r>
    </w:p>
    <w:bookmarkEnd w:id="20"/>
    <w:bookmarkStart w:id="22" w:name="posicionamiento-del-tfm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2.8. Posicionamiento del TFM</w:t>
      </w:r>
    </w:p>
    <w:p>
      <w:pPr>
        <w:rPr>
          <w:lang w:val="es-ES"/>
        </w:rPr>
      </w:pPr>
      <w:r>
        <w:rPr>
          <w:lang w:val="es-ES"/>
        </w:rPr>
        <w:t xml:space="preserve">El estado del arte presenta tres niveles de decisión relacionados pero independientes. El primero</w:t>
      </w:r>
      <w:r>
        <w:rPr>
          <w:lang w:val="es-ES"/>
        </w:rPr>
        <w:t xml:space="preserve"> </w:t>
      </w:r>
      <w:r>
        <w:rPr>
          <w:lang w:val="es-ES"/>
        </w:rPr>
        <w:t xml:space="preserve">es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arquitectura de segmentación</w:t>
      </w:r>
      <w:r>
        <w:rPr>
          <w:lang w:val="es-ES"/>
        </w:rPr>
        <w:t xml:space="preserve">, desde U-Net 3D y sus variantes residuales o atencionales hasta</w:t>
      </w:r>
      <w:r>
        <w:rPr>
          <w:lang w:val="es-ES"/>
        </w:rPr>
        <w:t xml:space="preserve"> </w:t>
      </w:r>
      <w:r>
        <w:rPr>
          <w:lang w:val="es-ES"/>
        </w:rPr>
        <w:t xml:space="preserve">nnU-Net y los modelos Transformer. El segundo es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fusión multimodal</w:t>
      </w:r>
      <w:r>
        <w:rPr>
          <w:lang w:val="es-ES"/>
        </w:rPr>
        <w:t xml:space="preserve">, definida por una etapa y</w:t>
      </w:r>
      <w:r>
        <w:rPr>
          <w:lang w:val="es-ES"/>
        </w:rPr>
        <w:t xml:space="preserve"> </w:t>
      </w:r>
      <w:r>
        <w:rPr>
          <w:lang w:val="es-ES"/>
        </w:rPr>
        <w:t xml:space="preserve">una regla de combinación. El tercero es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protocolo de evaluación</w:t>
      </w:r>
      <w:r>
        <w:rPr>
          <w:lang w:val="es-ES"/>
        </w:rPr>
        <w:t xml:space="preserve">, que debe medir ET, TC y WT</w:t>
      </w:r>
      <w:r>
        <w:rPr>
          <w:lang w:val="es-ES"/>
        </w:rPr>
        <w:t xml:space="preserve"> </w:t>
      </w:r>
      <w:r>
        <w:rPr>
          <w:lang w:val="es-ES"/>
        </w:rPr>
        <w:t xml:space="preserve">con Dice y HD95, declarar sus convenciones y acompañar la exactitud con coste computacional.</w:t>
      </w:r>
    </w:p>
    <w:p>
      <w:pPr>
        <w:rPr>
          <w:lang w:val="es-ES"/>
        </w:rPr>
      </w:pPr>
      <w:r>
        <w:rPr>
          <w:lang w:val="es-ES"/>
        </w:rPr>
        <w:t xml:space="preserve">El TFM se sitúa en la intersección de esos tres niveles con una pregunta intencionadamente limitada.</w:t>
      </w:r>
      <w:r>
        <w:rPr>
          <w:lang w:val="es-ES"/>
        </w:rPr>
        <w:t xml:space="preserve"> </w:t>
      </w:r>
      <w:r>
        <w:rPr>
          <w:lang w:val="es-ES"/>
        </w:rPr>
        <w:t xml:space="preserve">No pretende demostrar que la atención sea superior en general ni competir de forma directa con la</w:t>
      </w:r>
      <w:r>
        <w:rPr>
          <w:lang w:val="es-ES"/>
        </w:rPr>
        <w:t xml:space="preserve"> </w:t>
      </w:r>
      <w:r>
        <w:rPr>
          <w:lang w:val="es-ES"/>
        </w:rPr>
        <w:t xml:space="preserve">clasificación oficial de BraTS. Su contribución consiste en comparar concatenación, ponderación</w:t>
      </w:r>
      <w:r>
        <w:rPr>
          <w:lang w:val="es-ES"/>
        </w:rPr>
        <w:t xml:space="preserve"> </w:t>
      </w:r>
      <w:r>
        <w:rPr>
          <w:lang w:val="es-ES"/>
        </w:rPr>
        <w:t xml:space="preserve">global estática y dos compuertas condicionadas por estadísticas de la entrada antes del mismo</w:t>
      </w:r>
      <w:r>
        <w:rPr>
          <w:lang w:val="es-ES"/>
        </w:rPr>
        <w:t xml:space="preserve"> </w:t>
      </w:r>
      <w:r>
        <w:rPr>
          <w:lang w:val="es-ES"/>
        </w:rPr>
        <w:t xml:space="preserve">codificador residual, repetir la comparación con varias semillas y documentar el coste añadido. Las</w:t>
      </w:r>
      <w:r>
        <w:rPr>
          <w:lang w:val="es-ES"/>
        </w:rPr>
        <w:t xml:space="preserve"> </w:t>
      </w:r>
      <w:r>
        <w:rPr>
          <w:lang w:val="es-ES"/>
        </w:rPr>
        <w:t xml:space="preserve">arquitecturas Attention U-Net, Swin UNETR y nnU-Net proporcionan contexto, no sustituyen ese</w:t>
      </w:r>
      <w:r>
        <w:rPr>
          <w:lang w:val="es-ES"/>
        </w:rPr>
        <w:t xml:space="preserve"> </w:t>
      </w:r>
      <w:r>
        <w:rPr>
          <w:lang w:val="es-ES"/>
        </w:rPr>
        <w:t xml:space="preserve">contraste controlado. De este modo, tanto un resultado positivo como uno negativo responde al</w:t>
      </w:r>
      <w:r>
        <w:rPr>
          <w:lang w:val="es-ES"/>
        </w:rPr>
        <w:t xml:space="preserve"> </w:t>
      </w:r>
      <w:r>
        <w:rPr>
          <w:lang w:val="es-ES"/>
        </w:rPr>
        <w:t xml:space="preserve">objetivo científico: determinar si la adaptación propuesta aporta una mejora consistente y a qué</w:t>
      </w:r>
      <w:r>
        <w:rPr>
          <w:lang w:val="es-ES"/>
        </w:rPr>
        <w:t xml:space="preserve"> </w:t>
      </w:r>
      <w:r>
        <w:rPr>
          <w:lang w:val="es-ES"/>
        </w:rPr>
        <w:t xml:space="preserve">coste bajo el protocolo definido.</w:t>
      </w:r>
    </w:p>
    <w:bookmarkEnd w:id="21"/>
    <w:bookmarkEnd w:id="22"/>
    <w:bookmarkStart w:id="23" w:name="metodología"/>
    <w:p>
      <w:pPr>
        <w:keepNext/>
        <w:keepLines/>
        <w:pageBreakBefore/>
        <w:numPr>
          <w:numId w:val="0"/>
        </w:numPr>
        <w:pStyle w:val="Heading1"/>
        <w:rPr>
          <w:lang w:val="es-ES"/>
        </w:rPr>
      </w:pPr>
      <w:r>
        <w:rPr>
          <w:lang w:val="es-ES"/>
        </w:rPr>
        <w:t xml:space="preserve">3. Metodología</w:t>
      </w:r>
    </w:p>
    <w:p>
      <w:pPr>
        <w:rPr>
          <w:lang w:val="es-ES"/>
        </w:rPr>
      </w:pPr>
      <w:r>
        <w:rPr>
          <w:lang w:val="es-ES"/>
        </w:rPr>
        <w:t xml:space="preserve">Este capítulo presenta el enfoque metodológico seguido para desarrollar el trabajo. La metodología</w:t>
      </w:r>
      <w:r>
        <w:rPr>
          <w:lang w:val="es-ES"/>
        </w:rPr>
        <w:t xml:space="preserve"> </w:t>
      </w:r>
      <w:r>
        <w:rPr>
          <w:lang w:val="es-ES"/>
        </w:rPr>
        <w:t xml:space="preserve">se organiza en cinco fases y describe, a un nivel general, qué actividades se realizaron y cómo se</w:t>
      </w:r>
      <w:r>
        <w:rPr>
          <w:lang w:val="es-ES"/>
        </w:rPr>
        <w:t xml:space="preserve"> </w:t>
      </w:r>
      <w:r>
        <w:rPr>
          <w:lang w:val="es-ES"/>
        </w:rPr>
        <w:t xml:space="preserve">relacionaron entre sí. El detalle técnico de las decisiones, adaptaciones e implementaciones se</w:t>
      </w:r>
      <w:r>
        <w:rPr>
          <w:lang w:val="es-ES"/>
        </w:rPr>
        <w:t xml:space="preserve"> </w:t>
      </w:r>
      <w:r>
        <w:rPr>
          <w:lang w:val="es-ES"/>
        </w:rPr>
        <w:t xml:space="preserve">reserva para el Capítulo 4, que reproduce la misma estructura por fases.</w:t>
      </w:r>
    </w:p>
    <w:bookmarkStart w:id="24" w:name="enfoque-metodológico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3.1. Enfoque metodológico</w:t>
      </w:r>
    </w:p>
    <w:p>
      <w:pPr>
        <w:rPr>
          <w:lang w:val="es-ES"/>
        </w:rPr>
      </w:pPr>
      <w:r>
        <w:rPr>
          <w:lang w:val="es-ES"/>
        </w:rPr>
        <w:t xml:space="preserve">El trabajo no se ha guiado por una metodología estándar de gestión de proyectos, sino por una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metodología</w:t>
      </w:r>
      <w:r>
        <w:rPr>
          <w:b/>
          <w:b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ad hoc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de carácter incremental</w:t>
      </w:r>
      <w:r>
        <w:rPr>
          <w:lang w:val="es-ES"/>
        </w:rPr>
        <w:t xml:space="preserve">, definida para un proyecto de investigación</w:t>
      </w:r>
      <w:r>
        <w:rPr>
          <w:lang w:val="es-ES"/>
        </w:rPr>
        <w:t xml:space="preserve"> </w:t>
      </w:r>
      <w:r>
        <w:rPr>
          <w:lang w:val="es-ES"/>
        </w:rPr>
        <w:t xml:space="preserve">experimental en aprendizaje profundo aplicado a imagen médica. Cada fase incorporó comprobaciones</w:t>
      </w:r>
      <w:r>
        <w:rPr>
          <w:lang w:val="es-ES"/>
        </w:rPr>
        <w:t xml:space="preserve"> </w:t>
      </w:r>
      <w:r>
        <w:rPr>
          <w:lang w:val="es-ES"/>
        </w:rPr>
        <w:t xml:space="preserve">antes de comprometer nuevos recursos de cómputo: primero se verificaron los datos y las particiones;</w:t>
      </w:r>
      <w:r>
        <w:rPr>
          <w:lang w:val="es-ES"/>
        </w:rPr>
        <w:t xml:space="preserve"> </w:t>
      </w:r>
      <w:r>
        <w:rPr>
          <w:lang w:val="es-ES"/>
        </w:rPr>
        <w:t xml:space="preserve">después, el funcionamiento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y de los modelos; y, finalmente, el protocolo de</w:t>
      </w:r>
      <w:r>
        <w:rPr>
          <w:lang w:val="es-ES"/>
        </w:rPr>
        <w:t xml:space="preserve"> </w:t>
      </w:r>
      <w:r>
        <w:rPr>
          <w:lang w:val="es-ES"/>
        </w:rPr>
        <w:t xml:space="preserve">entrenamiento, inferencia y evaluación.</w:t>
      </w:r>
    </w:p>
    <w:p>
      <w:pPr>
        <w:rPr>
          <w:lang w:val="es-ES"/>
        </w:rPr>
      </w:pPr>
      <w:r>
        <w:rPr>
          <w:lang w:val="es-ES"/>
        </w:rPr>
        <w:t xml:space="preserve">La metodología se organiza 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cinco fases</w:t>
      </w:r>
      <w:r>
        <w:rPr>
          <w:lang w:val="es-ES"/>
        </w:rPr>
        <w:t xml:space="preserve">, desde la comprensión del problema hasta el análisis</w:t>
      </w:r>
      <w:r>
        <w:rPr>
          <w:lang w:val="es-ES"/>
        </w:rPr>
        <w:t xml:space="preserve"> </w:t>
      </w:r>
      <w:r>
        <w:rPr>
          <w:lang w:val="es-ES"/>
        </w:rPr>
        <w:t xml:space="preserve">de los resultados. Aunque existe una secuencia principal, las fases admiten realimentación. Por</w:t>
      </w:r>
      <w:r>
        <w:rPr>
          <w:lang w:val="es-ES"/>
        </w:rPr>
        <w:t xml:space="preserve"> </w:t>
      </w:r>
      <w:r>
        <w:rPr>
          <w:lang w:val="es-ES"/>
        </w:rPr>
        <w:t xml:space="preserve">ejemplo, los primeros experimentos revelaron limitaciones de entrada/salida y del mecanismo de</w:t>
      </w:r>
      <w:r>
        <w:rPr>
          <w:lang w:val="es-ES"/>
        </w:rPr>
        <w:t xml:space="preserve"> </w:t>
      </w:r>
      <w:r>
        <w:rPr>
          <w:lang w:val="es-ES"/>
        </w:rPr>
        <w:t xml:space="preserve">compuerta, lo que motivó adaptaciones posteriores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y nuevas variantes de fusión. El</w:t>
      </w:r>
      <w:r>
        <w:rPr>
          <w:lang w:val="es-ES"/>
        </w:rPr>
        <w:t xml:space="preserve"> </w:t>
      </w:r>
      <w:r>
        <w:rPr>
          <w:lang w:val="es-ES"/>
        </w:rPr>
        <w:t xml:space="preserve">desarrollo técnico de cada fase se recoge en la sección homóloga del Capítulo 4.</w:t>
      </w:r>
    </w:p>
    <w:bookmarkEnd w:id="23"/>
    <w:bookmarkStart w:id="25" w:name="descripción-general-de-las-fases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3.2. Descripción general de las fases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Fase 1 — Familiarización y revisión del estado del arte.</w:t>
      </w:r>
      <w:r>
        <w:rPr>
          <w:lang w:val="es-ES"/>
        </w:rPr>
        <w:t xml:space="preserve"> </w:t>
      </w:r>
      <w:r>
        <w:rPr>
          <w:lang w:val="es-ES"/>
        </w:rPr>
        <w:t xml:space="preserve">Comprensión del problema clínico de la</w:t>
      </w:r>
      <w:r>
        <w:rPr>
          <w:lang w:val="es-ES"/>
        </w:rPr>
        <w:t xml:space="preserve"> </w:t>
      </w:r>
      <w:r>
        <w:rPr>
          <w:lang w:val="es-ES"/>
        </w:rPr>
        <w:t xml:space="preserve">segmentación de gliomas en resonancia magnética multimodal, revisión de arquitecturas relevantes</w:t>
      </w:r>
      <w:r>
        <w:rPr>
          <w:lang w:val="es-ES"/>
        </w:rPr>
        <w:t xml:space="preserve"> </w:t>
      </w:r>
      <w:r>
        <w:rPr>
          <w:lang w:val="es-ES"/>
        </w:rPr>
        <w:t xml:space="preserve">(U-Net y variantes, Transformers y nnU-Net) y selección justificada del conjunto de datos, del marco</w:t>
      </w:r>
      <w:r>
        <w:rPr>
          <w:lang w:val="es-ES"/>
        </w:rPr>
        <w:t xml:space="preserve"> </w:t>
      </w:r>
      <w:r>
        <w:rPr>
          <w:lang w:val="es-ES"/>
        </w:rPr>
        <w:t xml:space="preserve">de trabajo y de las familias de modelos. Esta fase fija el alcance y la pregunta de investigación.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Fase 2 — Análisis y preparación de los datos.</w:t>
      </w:r>
      <w:r>
        <w:rPr>
          <w:lang w:val="es-ES"/>
        </w:rPr>
        <w:t xml:space="preserve"> </w:t>
      </w:r>
      <w:r>
        <w:rPr>
          <w:lang w:val="es-ES"/>
        </w:rPr>
        <w:t xml:space="preserve">Inventario del conjunto de datos, controles de</w:t>
      </w:r>
      <w:r>
        <w:rPr>
          <w:lang w:val="es-ES"/>
        </w:rPr>
        <w:t xml:space="preserve"> </w:t>
      </w:r>
      <w:r>
        <w:rPr>
          <w:lang w:val="es-ES"/>
        </w:rPr>
        <w:t xml:space="preserve">calidad para verificar la integridad de los estudios y sus modalidades, y generación de particiones</w:t>
      </w:r>
      <w:r>
        <w:rPr>
          <w:lang w:val="es-ES"/>
        </w:rPr>
        <w:t xml:space="preserve"> </w:t>
      </w:r>
      <w:r>
        <w:rPr>
          <w:lang w:val="es-ES"/>
        </w:rPr>
        <w:t xml:space="preserve">estratificadas y reproducibles de entrenamiento, validación y test. La partición se definió por</w:t>
      </w:r>
      <w:r>
        <w:rPr>
          <w:lang w:val="es-ES"/>
        </w:rPr>
        <w:t xml:space="preserve"> </w:t>
      </w:r>
      <w:r>
        <w:rPr>
          <w:lang w:val="es-ES"/>
        </w:rPr>
        <w:t xml:space="preserve">estudio de imagen, no por sujeto. Por ello, los identificadores completos no se repiten entre</w:t>
      </w:r>
      <w:r>
        <w:rPr>
          <w:lang w:val="es-ES"/>
        </w:rPr>
        <w:t xml:space="preserve"> </w:t>
      </w:r>
      <w:r>
        <w:rPr>
          <w:lang w:val="es-ES"/>
        </w:rPr>
        <w:t xml:space="preserve">particiones, pero un mismo sujeto puede aportar estudios a más de una de ellas; esta circunstancia</w:t>
      </w:r>
      <w:r>
        <w:rPr>
          <w:lang w:val="es-ES"/>
        </w:rPr>
        <w:t xml:space="preserve"> </w:t>
      </w:r>
      <w:r>
        <w:rPr>
          <w:lang w:val="es-ES"/>
        </w:rPr>
        <w:t xml:space="preserve">se tiene en cuenta al interpretar la generalización.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Fase 3 — Diseño e implementación del</w:t>
      </w:r>
      <w:r>
        <w:rPr>
          <w:b/>
          <w:b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pipeline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Construcción del sistema experimental: entorno</w:t>
      </w:r>
      <w:r>
        <w:rPr>
          <w:lang w:val="es-ES"/>
        </w:rPr>
        <w:t xml:space="preserve"> </w:t>
      </w:r>
      <w:r>
        <w:rPr>
          <w:lang w:val="es-ES"/>
        </w:rPr>
        <w:t xml:space="preserve">de cómputo, organización del código, preprocesamiento y aumento de datos, formulación del problema</w:t>
      </w:r>
      <w:r>
        <w:rPr>
          <w:lang w:val="es-ES"/>
        </w:rPr>
        <w:t xml:space="preserve"> </w:t>
      </w:r>
      <w:r>
        <w:rPr>
          <w:lang w:val="es-ES"/>
        </w:rPr>
        <w:t xml:space="preserve">de segmentación, familias de modelos y mecanismos de fusión multimodal. Esta fase incluyó las</w:t>
      </w:r>
      <w:r>
        <w:rPr>
          <w:lang w:val="es-ES"/>
        </w:rPr>
        <w:t xml:space="preserve"> </w:t>
      </w:r>
      <w:r>
        <w:rPr>
          <w:lang w:val="es-ES"/>
        </w:rPr>
        <w:t xml:space="preserve">adaptaciones necesarias para ejecutar el mismo flujo MONAI con varias arquitecturas y para preparar</w:t>
      </w:r>
      <w:r>
        <w:rPr>
          <w:lang w:val="es-ES"/>
        </w:rPr>
        <w:t xml:space="preserve"> </w:t>
      </w:r>
      <w:r>
        <w:rPr>
          <w:lang w:val="es-ES"/>
        </w:rPr>
        <w:t xml:space="preserve">nnU-Net como referencia externa.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Fase 4 — Experimentación.</w:t>
      </w:r>
      <w:r>
        <w:rPr>
          <w:lang w:val="es-ES"/>
        </w:rPr>
        <w:t xml:space="preserve"> </w:t>
      </w:r>
      <w:r>
        <w:rPr>
          <w:lang w:val="es-ES"/>
        </w:rPr>
        <w:t xml:space="preserve">Entrenamiento de los modelos y ejecución del estudio de ablación de</w:t>
      </w:r>
      <w:r>
        <w:rPr>
          <w:lang w:val="es-ES"/>
        </w:rPr>
        <w:t xml:space="preserve"> </w:t>
      </w:r>
      <w:r>
        <w:rPr>
          <w:lang w:val="es-ES"/>
        </w:rPr>
        <w:t xml:space="preserve">las estrategias de fusión. La comparación causal se restringe a las cuatro estrategias construidas</w:t>
      </w:r>
      <w:r>
        <w:rPr>
          <w:lang w:val="es-ES"/>
        </w:rPr>
        <w:t xml:space="preserve"> </w:t>
      </w:r>
      <w:r>
        <w:rPr>
          <w:lang w:val="es-ES"/>
        </w:rPr>
        <w:t xml:space="preserve">sobre la misma Residual U-Net 3D, que comparten datos, arquitectura, optimización y protocolo de</w:t>
      </w:r>
      <w:r>
        <w:rPr>
          <w:lang w:val="es-ES"/>
        </w:rPr>
        <w:t xml:space="preserve"> </w:t>
      </w:r>
      <w:r>
        <w:rPr>
          <w:lang w:val="es-ES"/>
        </w:rPr>
        <w:t xml:space="preserve">inferencia. Las configuraciones MONAI se repitieron con tres semillas; nnU-Net se ejecutó una sola</w:t>
      </w:r>
      <w:r>
        <w:rPr>
          <w:lang w:val="es-ES"/>
        </w:rPr>
        <w:t xml:space="preserve"> </w:t>
      </w:r>
      <w:r>
        <w:rPr>
          <w:lang w:val="es-ES"/>
        </w:rPr>
        <w:t xml:space="preserve">vez con su propio protocolo y se empleó como referencia contextual.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Fase 5 — Evaluación y análisis de resultados.</w:t>
      </w:r>
      <w:r>
        <w:rPr>
          <w:lang w:val="es-ES"/>
        </w:rPr>
        <w:t xml:space="preserve"> </w:t>
      </w:r>
      <w:r>
        <w:rPr>
          <w:lang w:val="es-ES"/>
        </w:rPr>
        <w:t xml:space="preserve">Inferencia sobre la partición de test, cálculo de</w:t>
      </w:r>
      <w:r>
        <w:rPr>
          <w:lang w:val="es-ES"/>
        </w:rPr>
        <w:t xml:space="preserve"> </w:t>
      </w:r>
      <w:r>
        <w:rPr>
          <w:lang w:val="es-ES"/>
        </w:rPr>
        <w:t xml:space="preserve">Dice y HD95 por región, análisis de la variabilidad entre semillas y estudio de la huella</w:t>
      </w:r>
      <w:r>
        <w:rPr>
          <w:lang w:val="es-ES"/>
        </w:rPr>
        <w:t xml:space="preserve"> </w:t>
      </w:r>
      <w:r>
        <w:rPr>
          <w:lang w:val="es-ES"/>
        </w:rPr>
        <w:t xml:space="preserve">computacional con los registros disponibles. La comparación de las estrategias de fusión es la</w:t>
      </w:r>
      <w:r>
        <w:rPr>
          <w:lang w:val="es-ES"/>
        </w:rPr>
        <w:t xml:space="preserve"> </w:t>
      </w:r>
      <w:r>
        <w:rPr>
          <w:lang w:val="es-ES"/>
        </w:rPr>
        <w:t xml:space="preserve">principal del trabajo; la comparación entre familias de modelos es descriptiva debido a sus</w:t>
      </w:r>
      <w:r>
        <w:rPr>
          <w:lang w:val="es-ES"/>
        </w:rPr>
        <w:t xml:space="preserve"> </w:t>
      </w:r>
      <w:r>
        <w:rPr>
          <w:lang w:val="es-ES"/>
        </w:rPr>
        <w:t xml:space="preserve">diferencias de entorno, inferencia y entrenamiento.</w:t>
      </w:r>
    </w:p>
    <w:p>
      <w:pPr>
        <w:rPr>
          <w:lang w:val="es-ES"/>
        </w:rPr>
      </w:pPr>
      <w:r>
        <w:rPr>
          <w:lang w:val="es-ES"/>
        </w:rPr>
        <w:t xml:space="preserve">La Tabla 3 resume las cinco fases y las actividades que delimitan cada una.</w:t>
      </w:r>
    </w:p>
    <w:tbl>
      <w:tblPr>
        <w:tblStyle w:val="TableGrid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Fase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Denominación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Actividades principales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Familiarización y revisión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Problema clínico y estado del arte; selección de datos, herramientas y familias de modelos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Análisis y preparación de datos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Inventario, control de calidad y partición estratificada por estudio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3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Diseño e implementación del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pipeline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Entorno, código, transformaciones, modelos y mecanismos de fusión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4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Experimentación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Protocolo MONAI, ablación controlada de fusión, multi-semilla y referencia nnU-Net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5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Evaluación y análisis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Inferencia sobre test, métricas por región, variabilidad y huella computacional</w:t>
            </w:r>
          </w:p>
        </w:tc>
      </w:tr>
    </w:tbl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3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Fases de la metodología ad hoc y actividades principales de cada una.</w:t>
      </w:r>
    </w:p>
    <w:p>
      <w:pPr>
        <w:rPr>
          <w:lang w:val="es-ES"/>
        </w:rPr>
      </w:pPr>
      <w:r>
        <w:rPr>
          <w:lang w:val="es-ES"/>
        </w:rPr>
        <w:t xml:space="preserve">La tabla muestra la separación entre la preparación del sistema y su evaluación: el test no se usa</w:t>
      </w:r>
      <w:r>
        <w:rPr>
          <w:lang w:val="es-ES"/>
        </w:rPr>
        <w:t xml:space="preserve"> </w:t>
      </w:r>
      <w:r>
        <w:rPr>
          <w:lang w:val="es-ES"/>
        </w:rPr>
        <w:t xml:space="preserve">para seleccionar puntos de control, y la interpretación de los resultados se realiza después de</w:t>
      </w:r>
      <w:r>
        <w:rPr>
          <w:lang w:val="es-ES"/>
        </w:rPr>
        <w:t xml:space="preserve"> </w:t>
      </w:r>
      <w:r>
        <w:rPr>
          <w:lang w:val="es-ES"/>
        </w:rPr>
        <w:t xml:space="preserve">congelar las configuraciones finales. Esta reserva se aplica a los estudios completos; no equivale a</w:t>
      </w:r>
      <w:r>
        <w:rPr>
          <w:lang w:val="es-ES"/>
        </w:rPr>
        <w:t xml:space="preserve"> </w:t>
      </w:r>
      <w:r>
        <w:rPr>
          <w:lang w:val="es-ES"/>
        </w:rPr>
        <w:t xml:space="preserve">una separación independiente por sujeto.</w:t>
      </w:r>
    </w:p>
    <w:bookmarkEnd w:id="24"/>
    <w:bookmarkStart w:id="26" w:name="X29bf43a66ca6734890689a5fcfb94170afc44ed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3.3. Correspondencia entre metodología y desarrollo</w:t>
      </w:r>
    </w:p>
    <w:p>
      <w:pPr>
        <w:rPr>
          <w:lang w:val="es-ES"/>
        </w:rPr>
      </w:pPr>
      <w:r>
        <w:rPr>
          <w:lang w:val="es-ES"/>
        </w:rPr>
        <w:t xml:space="preserve">El Capítulo 4 dedica una sección al desarrollo técnico de cada fase. La Tabla 4 establece la</w:t>
      </w:r>
      <w:r>
        <w:rPr>
          <w:lang w:val="es-ES"/>
        </w:rPr>
        <w:t xml:space="preserve"> </w:t>
      </w:r>
      <w:r>
        <w:rPr>
          <w:lang w:val="es-ES"/>
        </w:rPr>
        <w:t xml:space="preserve">correspondencia entre ambos capítulos y sirve como guía de lectura.</w:t>
      </w:r>
    </w:p>
    <w:tbl>
      <w:tblPr>
        <w:tblStyle w:val="TableGrid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Fase (Cap. 3)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Sección de desarrollo (Cap. 4)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Fase 1 — Familiarización y revisión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4.1. Familiarización y selección de herramientas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Fase 2 — Análisis y preparación de datos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4.2. Análisis y preparación de los datos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Fase 3 — Diseño e implementación del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pipeline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4.3. Diseño e implementación del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pipeline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Fase 4 — Experimentación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4.4. Experimentación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Fase 5 — Evaluación y análisis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4.5. Evaluación y análisis de resultados</w:t>
            </w:r>
          </w:p>
        </w:tc>
      </w:tr>
    </w:tbl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4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Correspondencia entre las fases de la metodología (Capítulo 3) y las secciones de desarrollo técnico (Capítulo 4).</w:t>
      </w:r>
    </w:p>
    <w:p>
      <w:pPr>
        <w:rPr>
          <w:lang w:val="es-ES"/>
        </w:rPr>
      </w:pPr>
      <w:r>
        <w:rPr>
          <w:lang w:val="es-ES"/>
        </w:rPr>
        <w:t xml:space="preserve">Esta correspondencia mantiene en el presente capítulo la descripción metodológica general y</w:t>
      </w:r>
      <w:r>
        <w:rPr>
          <w:lang w:val="es-ES"/>
        </w:rPr>
        <w:t xml:space="preserve"> </w:t>
      </w:r>
      <w:r>
        <w:rPr>
          <w:lang w:val="es-ES"/>
        </w:rPr>
        <w:t xml:space="preserve">concentra en el siguiente los parámetros, componentes de código y decisiones de ejecución.</w:t>
      </w:r>
    </w:p>
    <w:bookmarkEnd w:id="25"/>
    <w:bookmarkStart w:id="27" w:name="cronograma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3.4. Cronograma</w:t>
      </w:r>
    </w:p>
    <w:p>
      <w:pPr>
        <w:rPr>
          <w:lang w:val="es-ES"/>
        </w:rPr>
      </w:pPr>
      <w:r>
        <w:rPr>
          <w:lang w:val="es-ES"/>
        </w:rPr>
        <w:t xml:space="preserve">El trabajo se desarrolló entre mayo y julio de 2026. La Tabla 5 presenta el cronograma por fases;</w:t>
      </w:r>
      <w:r>
        <w:rPr>
          <w:lang w:val="es-ES"/>
        </w:rPr>
        <w:t xml:space="preserve"> </w:t>
      </w:r>
      <w:r>
        <w:rPr>
          <w:lang w:val="es-ES"/>
        </w:rPr>
        <w:t xml:space="preserve">dado el carácter incremental de la metodología, algunas actividades se solaparon y los hallazgos de</w:t>
      </w:r>
      <w:r>
        <w:rPr>
          <w:lang w:val="es-ES"/>
        </w:rPr>
        <w:t xml:space="preserve"> </w:t>
      </w:r>
      <w:r>
        <w:rPr>
          <w:lang w:val="es-ES"/>
        </w:rPr>
        <w:t xml:space="preserve">experimentación motivaron revisiones de implementación.</w:t>
      </w:r>
    </w:p>
    <w:tbl>
      <w:tblPr>
        <w:tblStyle w:val="TableGrid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Fase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Actividades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Periodo aproximado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1. Familiarización y revisión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Revisión del estado del arte; decisiones de alcance y herramientas; tutorías de encuadre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Mayo 2026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2. Análisis y preparación de datos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Control de calidad del conjunto; particiones estratificadas reproducibles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Mayo 2026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3. Diseño e implementación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Pipeline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MONAI;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factory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de modelos; mecanismos de fusión; adaptación de E/S y de nnU-Net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Mayo – junio 2026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4. Experimentación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Baselines; Swin-UNETR; nnU-Net; sonda de convergencia; ablación y multi-semilla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Junio – julio 2026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5. Evaluación y análisis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Inferencia y métricas sobre test; análisis comparativo y redacción de resultados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Julio 2026</w:t>
            </w:r>
          </w:p>
        </w:tc>
      </w:tr>
    </w:tbl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5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Cronograma del proyecto por fases y actividades.</w:t>
      </w:r>
    </w:p>
    <w:p>
      <w:pPr>
        <w:rPr>
          <w:lang w:val="es-ES"/>
        </w:rPr>
      </w:pPr>
      <w:r>
        <w:rPr>
          <w:lang w:val="es-ES"/>
        </w:rPr>
        <w:t xml:space="preserve">El solapamiento principal se produjo entre las fases 3 y 4: las pruebas de rendimiento condujeron a</w:t>
      </w:r>
      <w:r>
        <w:rPr>
          <w:lang w:val="es-ES"/>
        </w:rPr>
        <w:t xml:space="preserve"> </w:t>
      </w:r>
      <w:r>
        <w:rPr>
          <w:lang w:val="es-ES"/>
        </w:rPr>
        <w:t xml:space="preserve">copiar los datos al disco local en la nube, y el diagnóstico de la compuerta original llevó a</w:t>
      </w:r>
      <w:r>
        <w:rPr>
          <w:lang w:val="es-ES"/>
        </w:rPr>
        <w:t xml:space="preserve"> </w:t>
      </w:r>
      <w:r>
        <w:rPr>
          <w:lang w:val="es-ES"/>
        </w:rPr>
        <w:t xml:space="preserve">incorporar el descriptor media+desviación. El detalle de estas adaptaciones se desarrolla en el</w:t>
      </w:r>
      <w:r>
        <w:rPr>
          <w:lang w:val="es-ES"/>
        </w:rPr>
        <w:t xml:space="preserve"> </w:t>
      </w:r>
      <w:r>
        <w:rPr>
          <w:lang w:val="es-ES"/>
        </w:rPr>
        <w:t xml:space="preserve">Capítulo 4.</w:t>
      </w:r>
    </w:p>
    <w:bookmarkEnd w:id="26"/>
    <w:bookmarkEnd w:id="27"/>
    <w:bookmarkStart w:id="28" w:name="desarrollo"/>
    <w:p>
      <w:pPr>
        <w:keepNext/>
        <w:keepLines/>
        <w:pageBreakBefore/>
        <w:numPr>
          <w:numId w:val="0"/>
        </w:numPr>
        <w:pStyle w:val="Heading1"/>
        <w:rPr>
          <w:lang w:val="es-ES"/>
        </w:rPr>
      </w:pPr>
      <w:r>
        <w:rPr>
          <w:lang w:val="es-ES"/>
        </w:rPr>
        <w:t xml:space="preserve">4. Desarrollo</w:t>
      </w:r>
    </w:p>
    <w:p>
      <w:pPr>
        <w:rPr>
          <w:lang w:val="es-ES"/>
        </w:rPr>
      </w:pPr>
      <w:r>
        <w:rPr>
          <w:lang w:val="es-ES"/>
        </w:rPr>
        <w:t xml:space="preserve">Este capítulo describe cómo se materializaron las cinco fases de la metodología. Se detallan la</w:t>
      </w:r>
      <w:r>
        <w:rPr>
          <w:lang w:val="es-ES"/>
        </w:rPr>
        <w:t xml:space="preserve"> </w:t>
      </w:r>
      <w:r>
        <w:rPr>
          <w:lang w:val="es-ES"/>
        </w:rPr>
        <w:t xml:space="preserve">preparación de los datos, la implementación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, las familias de modelos, las</w:t>
      </w:r>
      <w:r>
        <w:rPr>
          <w:lang w:val="es-ES"/>
        </w:rPr>
        <w:t xml:space="preserve"> </w:t>
      </w:r>
      <w:r>
        <w:rPr>
          <w:lang w:val="es-ES"/>
        </w:rPr>
        <w:t xml:space="preserve">adaptaciones introducidas durante el desarrollo, el protocolo experimental y la evaluación. La</w:t>
      </w:r>
      <w:r>
        <w:rPr>
          <w:lang w:val="es-ES"/>
        </w:rPr>
        <w:t xml:space="preserve"> </w:t>
      </w:r>
      <w:r>
        <w:rPr>
          <w:lang w:val="es-ES"/>
        </w:rPr>
        <w:t xml:space="preserve">organización reproduce la del Capítulo 3 para mantener separadas la descripción metodológica</w:t>
      </w:r>
      <w:r>
        <w:rPr>
          <w:lang w:val="es-ES"/>
        </w:rPr>
        <w:t xml:space="preserve"> </w:t>
      </w:r>
      <w:r>
        <w:rPr>
          <w:lang w:val="es-ES"/>
        </w:rPr>
        <w:t xml:space="preserve">general y las decisiones técnicas concretas.</w:t>
      </w:r>
    </w:p>
    <w:bookmarkStart w:id="29" w:name="X583d9726a55dbefaed1c93370122711a0b919a9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4.1. Familiarización y selección de herramientas (Fase 1)</w:t>
      </w:r>
    </w:p>
    <w:p>
      <w:pPr>
        <w:rPr>
          <w:lang w:val="es-ES"/>
        </w:rPr>
      </w:pPr>
      <w:r>
        <w:rPr>
          <w:lang w:val="es-ES"/>
        </w:rPr>
        <w:t xml:space="preserve">La fase inicial fijó el alcance del trabajo y las herramientas. Como marco principal se eligió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MONAI</w:t>
      </w:r>
      <w:r>
        <w:rPr>
          <w:lang w:val="es-ES"/>
        </w:rPr>
        <w:t xml:space="preserve">, biblioteca especializada en imagen médica construida sobre PyTorch, por aportar</w:t>
      </w:r>
      <w:r>
        <w:rPr>
          <w:lang w:val="es-ES"/>
        </w:rPr>
        <w:t xml:space="preserve"> </w:t>
      </w:r>
      <w:r>
        <w:rPr>
          <w:lang w:val="es-ES"/>
        </w:rPr>
        <w:t xml:space="preserve">transformaciones, estructuras de datos, redes y funciones de pérdida para segmentación 3D. MONAI</w:t>
      </w:r>
      <w:r>
        <w:rPr>
          <w:lang w:val="es-ES"/>
        </w:rPr>
        <w:t xml:space="preserve"> </w:t>
      </w:r>
      <w:r>
        <w:rPr>
          <w:lang w:val="es-ES"/>
        </w:rPr>
        <w:t xml:space="preserve">proporciona estos componentes, pero el proyecto implementa un bucle de entrenamiento propio para</w:t>
      </w:r>
      <w:r>
        <w:rPr>
          <w:lang w:val="es-ES"/>
        </w:rPr>
        <w:t xml:space="preserve"> </w:t>
      </w:r>
      <w:r>
        <w:rPr>
          <w:lang w:val="es-ES"/>
        </w:rPr>
        <w:t xml:space="preserve">controlar la precisión mixta, la validación por ventana deslizante, la selección de puntos de control</w:t>
      </w:r>
      <w:r>
        <w:rPr>
          <w:lang w:val="es-ES"/>
        </w:rPr>
        <w:t xml:space="preserve"> </w:t>
      </w:r>
      <w:r>
        <w:rPr>
          <w:lang w:val="es-ES"/>
        </w:rPr>
        <w:t xml:space="preserve">y el registro de métricas.</w:t>
      </w:r>
    </w:p>
    <w:p>
      <w:pPr>
        <w:rPr>
          <w:lang w:val="es-ES"/>
        </w:rPr>
      </w:pPr>
      <w:r>
        <w:rPr>
          <w:lang w:val="es-ES"/>
        </w:rPr>
        <w:t xml:space="preserve">Se seleccionaron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cuatro familias de modelos</w:t>
      </w:r>
      <w:r>
        <w:rPr>
          <w:lang w:val="es-ES"/>
        </w:rPr>
        <w:t xml:space="preserve"> </w:t>
      </w:r>
      <w:r>
        <w:rPr>
          <w:lang w:val="es-ES"/>
        </w:rPr>
        <w:t xml:space="preserve">con funciones diferentes en el estudio: una</w:t>
      </w:r>
      <w:r>
        <w:rPr>
          <w:lang w:val="es-ES"/>
        </w:rPr>
        <w:t xml:space="preserve"> </w:t>
      </w:r>
      <w:r>
        <w:rPr>
          <w:lang w:val="es-ES"/>
        </w:rPr>
        <w:t xml:space="preserve">Residual U-Net 3D como soporte común de la ablación de fusión; Attention U-Net 3D como variante</w:t>
      </w:r>
      <w:r>
        <w:rPr>
          <w:lang w:val="es-ES"/>
        </w:rPr>
        <w:t xml:space="preserve"> </w:t>
      </w:r>
      <w:r>
        <w:rPr>
          <w:lang w:val="es-ES"/>
        </w:rPr>
        <w:t xml:space="preserve">convolucional atencional; Swin-UNETR como arquitectura Transformer-UNet; y nnU-Net como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baseline</w:t>
      </w:r>
      <w:r>
        <w:rPr>
          <w:lang w:val="es-ES"/>
        </w:rPr>
        <w:t xml:space="preserve"> </w:t>
      </w:r>
      <w:r>
        <w:rPr>
          <w:lang w:val="es-ES"/>
        </w:rPr>
        <w:t xml:space="preserve">externo auto-configurable. Dentro de la familia residual se evaluaron cuatro configuraciones de</w:t>
      </w:r>
      <w:r>
        <w:rPr>
          <w:lang w:val="es-ES"/>
        </w:rPr>
        <w:t xml:space="preserve"> </w:t>
      </w:r>
      <w:r>
        <w:rPr>
          <w:lang w:val="es-ES"/>
        </w:rPr>
        <w:t xml:space="preserve">entrada: concatenación, ponderación global, compuerta adaptativa basada en la media y compuerta</w:t>
      </w:r>
      <w:r>
        <w:rPr>
          <w:lang w:val="es-ES"/>
        </w:rPr>
        <w:t xml:space="preserve"> </w:t>
      </w:r>
      <w:r>
        <w:rPr>
          <w:lang w:val="es-ES"/>
        </w:rPr>
        <w:t xml:space="preserve">adaptativa basada en media y desviación típica. La comparación de herramientas y repositorios que</w:t>
      </w:r>
      <w:r>
        <w:rPr>
          <w:lang w:val="es-ES"/>
        </w:rPr>
        <w:t xml:space="preserve"> </w:t>
      </w:r>
      <w:r>
        <w:rPr>
          <w:lang w:val="es-ES"/>
        </w:rPr>
        <w:t xml:space="preserve">motivó esta selección se presenta en el Capítulo 2.</w:t>
      </w:r>
    </w:p>
    <w:bookmarkEnd w:id="28"/>
    <w:bookmarkStart w:id="30" w:name="X3c9b3c909de1016251f6f9a0ef1fff7604f96a2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4.2. Análisis y preparación de los datos (Fase 2)</w:t>
      </w:r>
    </w:p>
    <w:bookmarkStart w:id="31" w:name="Xcf193804b1b29948b4eb5cd6c8e0c63a3e4118e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4.2.1. Conjunto de datos y descubrimiento de estudios</w:t>
      </w:r>
    </w:p>
    <w:p>
      <w:pPr>
        <w:rPr>
          <w:lang w:val="es-ES"/>
        </w:rPr>
      </w:pPr>
      <w:r>
        <w:rPr>
          <w:lang w:val="es-ES"/>
        </w:rPr>
        <w:t xml:space="preserve">El alcance experimental se limita 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BraTS-GLI 2024 post-tratamiento</w:t>
      </w:r>
      <w:r>
        <w:rPr>
          <w:lang w:val="es-ES"/>
        </w:rPr>
        <w:t xml:space="preserve">, sin mezclar tareas de otras</w:t>
      </w:r>
      <w:r>
        <w:rPr>
          <w:lang w:val="es-ES"/>
        </w:rPr>
        <w:t xml:space="preserve"> </w:t>
      </w:r>
      <w:r>
        <w:rPr>
          <w:lang w:val="es-ES"/>
        </w:rPr>
        <w:t xml:space="preserve">colecciones BraTS. Cada estudio aporta cuatro volúmenes MRI 3D en formato NIfTI y su máscara de</w:t>
      </w:r>
      <w:r>
        <w:rPr>
          <w:lang w:val="es-ES"/>
        </w:rPr>
        <w:t xml:space="preserve"> </w:t>
      </w:r>
      <w:r>
        <w:rPr>
          <w:lang w:val="es-ES"/>
        </w:rPr>
        <w:t xml:space="preserve">segmentación. La configuración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configs/dataset/brats_gli_2024.yaml</w:t>
      </w:r>
      <w:r>
        <w:rPr>
          <w:lang w:val="es-ES"/>
        </w:rPr>
        <w:t xml:space="preserve"> </w:t>
      </w:r>
      <w:r>
        <w:rPr>
          <w:lang w:val="es-ES"/>
        </w:rPr>
        <w:t xml:space="preserve">declara la raíz de datos, los</w:t>
      </w:r>
      <w:r>
        <w:rPr>
          <w:lang w:val="es-ES"/>
        </w:rPr>
        <w:t xml:space="preserve"> </w:t>
      </w:r>
      <w:r>
        <w:rPr>
          <w:lang w:val="es-ES"/>
        </w:rPr>
        <w:t xml:space="preserve">directorios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training_data1_v2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training_data_additional</w:t>
      </w:r>
      <w:r>
        <w:rPr>
          <w:lang w:val="es-ES"/>
        </w:rPr>
        <w:t xml:space="preserve">, las modalidades y el sufijo de la</w:t>
      </w:r>
      <w:r>
        <w:rPr>
          <w:lang w:val="es-ES"/>
        </w:rPr>
        <w:t xml:space="preserve"> </w:t>
      </w:r>
      <w:r>
        <w:rPr>
          <w:lang w:val="es-ES"/>
        </w:rPr>
        <w:t xml:space="preserve">máscara. El módulo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tfm_brats/brats.py</w:t>
      </w:r>
      <w:r>
        <w:rPr>
          <w:lang w:val="es-ES"/>
        </w:rPr>
        <w:t xml:space="preserve"> </w:t>
      </w:r>
      <w:r>
        <w:rPr>
          <w:lang w:val="es-ES"/>
        </w:rPr>
        <w:t xml:space="preserve">recorre ambos directorios, selecciona las carpetas con</w:t>
      </w:r>
      <w:r>
        <w:rPr>
          <w:lang w:val="es-ES"/>
        </w:rPr>
        <w:t xml:space="preserve"> </w:t>
      </w:r>
      <w:r>
        <w:rPr>
          <w:lang w:val="es-ES"/>
        </w:rPr>
        <w:t xml:space="preserve">prefijo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BraTS-GLI-</w:t>
      </w:r>
      <w:r>
        <w:rPr>
          <w:lang w:val="es-ES"/>
        </w:rPr>
        <w:t xml:space="preserve"> </w:t>
      </w:r>
      <w:r>
        <w:rPr>
          <w:lang w:val="es-ES"/>
        </w:rPr>
        <w:t xml:space="preserve">y construye las rutas mediante el patrón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{identificador}-{modalidad}.nii.gz</w:t>
      </w:r>
      <w:r>
        <w:rPr>
          <w:lang w:val="es-ES"/>
        </w:rPr>
        <w:t xml:space="preserve">.</w:t>
      </w:r>
    </w:p>
    <w:bookmarkEnd w:id="29"/>
    <w:bookmarkStart w:id="32" w:name="control-de-calidad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4.2.2. Control de calidad</w:t>
      </w:r>
    </w:p>
    <w:p>
      <w:pPr>
        <w:rPr>
          <w:lang w:val="es-ES"/>
        </w:rPr>
      </w:pPr>
      <w:r>
        <w:rPr>
          <w:lang w:val="es-ES"/>
        </w:rPr>
        <w:t xml:space="preserve">Antes de entrenar se ejecutó el subcomando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qc</w:t>
      </w:r>
      <w:r>
        <w:rPr>
          <w:lang w:val="es-ES"/>
        </w:rPr>
        <w:t xml:space="preserve">, que verifica la presencia de las cuatro modalidades</w:t>
      </w:r>
      <w:r>
        <w:rPr>
          <w:lang w:val="es-ES"/>
        </w:rPr>
        <w:t xml:space="preserve"> </w:t>
      </w:r>
      <w:r>
        <w:rPr>
          <w:lang w:val="es-ES"/>
        </w:rPr>
        <w:t xml:space="preserve">y de la máscara, la coherencia de dimensiones, espaciado y transformaciones afines, y la ausencia de</w:t>
      </w:r>
      <w:r>
        <w:rPr>
          <w:lang w:val="es-ES"/>
        </w:rPr>
        <w:t xml:space="preserve"> </w:t>
      </w:r>
      <w:r>
        <w:rPr>
          <w:lang w:val="es-ES"/>
        </w:rPr>
        <w:t xml:space="preserve">etiquetas no permitidas. También calcula los volúmenes de ET, TC y WT que después se emplean para la</w:t>
      </w:r>
      <w:r>
        <w:rPr>
          <w:lang w:val="es-ES"/>
        </w:rPr>
        <w:t xml:space="preserve"> </w:t>
      </w:r>
      <w:r>
        <w:rPr>
          <w:lang w:val="es-ES"/>
        </w:rPr>
        <w:t xml:space="preserve">estratificación. De este modo se comprobó la integridad de los estudios antes de invertir recursos</w:t>
      </w:r>
      <w:r>
        <w:rPr>
          <w:lang w:val="es-ES"/>
        </w:rPr>
        <w:t xml:space="preserve"> </w:t>
      </w:r>
      <w:r>
        <w:rPr>
          <w:lang w:val="es-ES"/>
        </w:rPr>
        <w:t xml:space="preserve">de entrenamiento.</w:t>
      </w:r>
    </w:p>
    <w:bookmarkEnd w:id="30"/>
    <w:bookmarkStart w:id="33" w:name="X96f878e379a6fae3eb9013160a28083f8240e47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4.2.3. Particiones estratificadas y reproducibles</w:t>
      </w:r>
    </w:p>
    <w:p>
      <w:pPr>
        <w:rPr>
          <w:lang w:val="es-ES"/>
        </w:rPr>
      </w:pPr>
      <w:r>
        <w:rPr>
          <w:lang w:val="es-ES"/>
        </w:rPr>
        <w:t xml:space="preserve">La partición se generó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tfm_brats/splits.py</w:t>
      </w:r>
      <w:r>
        <w:rPr>
          <w:lang w:val="es-ES"/>
        </w:rPr>
        <w:t xml:space="preserve"> </w:t>
      </w:r>
      <w:r>
        <w:rPr>
          <w:lang w:val="es-ES"/>
        </w:rPr>
        <w:t xml:space="preserve">sobre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1.621 estudios</w:t>
      </w:r>
      <w:r>
        <w:rPr>
          <w:lang w:val="es-ES"/>
        </w:rPr>
        <w:t xml:space="preserve"> </w:t>
      </w:r>
      <w:r>
        <w:rPr>
          <w:lang w:val="es-ES"/>
        </w:rPr>
        <w:t xml:space="preserve">y con la semilla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20260526</w:t>
      </w:r>
      <w:r>
        <w:rPr>
          <w:lang w:val="es-ES"/>
        </w:rPr>
        <w:t xml:space="preserve">. El algoritmo combina tres factores en una única clave de estratificación: directorio de</w:t>
      </w:r>
      <w:r>
        <w:rPr>
          <w:lang w:val="es-ES"/>
        </w:rPr>
        <w:t xml:space="preserve"> </w:t>
      </w:r>
      <w:r>
        <w:rPr>
          <w:lang w:val="es-ES"/>
        </w:rPr>
        <w:t xml:space="preserve">origen, presencia o ausencia de ET y volumen de WT discretizado en cuatro cuantiles. Los resultados</w:t>
      </w:r>
      <w:r>
        <w:rPr>
          <w:lang w:val="es-ES"/>
        </w:rPr>
        <w:t xml:space="preserve"> </w:t>
      </w:r>
      <w:r>
        <w:rPr>
          <w:lang w:val="es-ES"/>
        </w:rPr>
        <w:t xml:space="preserve">se materializan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outputs/splits/brats_gli_2024_seed20260526/</w:t>
      </w:r>
      <w:r>
        <w:rPr>
          <w:lang w:val="es-ES"/>
        </w:rPr>
        <w:t xml:space="preserve"> </w:t>
      </w:r>
      <w:r>
        <w:rPr>
          <w:lang w:val="es-ES"/>
        </w:rPr>
        <w:t xml:space="preserve">como ficheros CSV y TXT, junto con</w:t>
      </w:r>
      <w:r>
        <w:rPr>
          <w:lang w:val="es-ES"/>
        </w:rPr>
        <w:t xml:space="preserve"> </w:t>
      </w:r>
      <w:r>
        <w:rPr>
          <w:lang w:val="es-ES"/>
        </w:rPr>
        <w:t xml:space="preserve">un manifiesto que registra la semilla, las proporciones y la distribución obtenida. La Tabla 6</w:t>
      </w:r>
      <w:r>
        <w:rPr>
          <w:lang w:val="es-ES"/>
        </w:rPr>
        <w:t xml:space="preserve"> </w:t>
      </w:r>
      <w:r>
        <w:rPr>
          <w:lang w:val="es-ES"/>
        </w:rPr>
        <w:t xml:space="preserve">presenta el tamaño y el uso de cada partición.</w:t>
      </w:r>
    </w:p>
    <w:tbl>
      <w:tblPr>
        <w:tblStyle w:val="TableGrid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Partición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Estudios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Proporción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Entrenamiento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1.135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70 %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Ajuste de los parámetros de los modelos MONAI y conjunto de origen de nnU-Net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Validación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243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15 %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Monitorización y selección de puntos de control en la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pipeline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MONAI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Test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243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15 %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Evaluación final después de congelar las configuraciones</w:t>
            </w:r>
          </w:p>
        </w:tc>
      </w:tr>
    </w:tbl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6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Distribución de las particiones de BraTS-GLI 2024.</w:t>
      </w:r>
    </w:p>
    <w:p>
      <w:pPr>
        <w:rPr>
          <w:lang w:val="es-ES"/>
        </w:rPr>
      </w:pPr>
      <w:r>
        <w:rPr>
          <w:lang w:val="es-ES"/>
        </w:rPr>
        <w:t xml:space="preserve">La tabla muestra que validación y test tienen el mismo tamaño, pero desempeñan funciones distintas:</w:t>
      </w:r>
      <w:r>
        <w:rPr>
          <w:lang w:val="es-ES"/>
        </w:rPr>
        <w:t xml:space="preserve"> </w:t>
      </w:r>
      <w:r>
        <w:rPr>
          <w:lang w:val="es-ES"/>
        </w:rPr>
        <w:t xml:space="preserve">el test no intervino en la selección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best.pt</w:t>
      </w:r>
      <w:r>
        <w:rPr>
          <w:lang w:val="es-ES"/>
        </w:rPr>
        <w:t xml:space="preserve">. La separación se realizó por identificador</w:t>
      </w:r>
      <w:r>
        <w:rPr>
          <w:lang w:val="es-ES"/>
        </w:rPr>
        <w:t xml:space="preserve"> </w:t>
      </w:r>
      <w:r>
        <w:rPr>
          <w:lang w:val="es-ES"/>
        </w:rPr>
        <w:t xml:space="preserve">completo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estudio de imagen</w:t>
      </w:r>
      <w:r>
        <w:rPr>
          <w:lang w:val="es-ES"/>
        </w:rPr>
        <w:t xml:space="preserve">, no mediante agrupación por sujeto. En consecuencia, no existen</w:t>
      </w:r>
      <w:r>
        <w:rPr>
          <w:lang w:val="es-ES"/>
        </w:rPr>
        <w:t xml:space="preserve"> </w:t>
      </w:r>
      <w:r>
        <w:rPr>
          <w:lang w:val="es-ES"/>
        </w:rPr>
        <w:t xml:space="preserve">estudios repetidos entre particiones, pero 205 de los 243 estudios de test pertenecen a sujetos con</w:t>
      </w:r>
      <w:r>
        <w:rPr>
          <w:lang w:val="es-ES"/>
        </w:rPr>
        <w:t xml:space="preserve"> </w:t>
      </w:r>
      <w:r>
        <w:rPr>
          <w:lang w:val="es-ES"/>
        </w:rPr>
        <w:t xml:space="preserve">otro estudio en entrenamiento o validación. Los 38 estudios restantes corresponden a 29 sujetos no</w:t>
      </w:r>
      <w:r>
        <w:rPr>
          <w:lang w:val="es-ES"/>
        </w:rPr>
        <w:t xml:space="preserve"> </w:t>
      </w:r>
      <w:r>
        <w:rPr>
          <w:lang w:val="es-ES"/>
        </w:rPr>
        <w:t xml:space="preserve">representados en esas particiones. Esta decisión permite la comparación interna bajo un reparto</w:t>
      </w:r>
      <w:r>
        <w:rPr>
          <w:lang w:val="es-ES"/>
        </w:rPr>
        <w:t xml:space="preserve"> </w:t>
      </w:r>
      <w:r>
        <w:rPr>
          <w:lang w:val="es-ES"/>
        </w:rPr>
        <w:t xml:space="preserve">común, pero impide interpretar el test como una estimación independiente de generalización a</w:t>
      </w:r>
      <w:r>
        <w:rPr>
          <w:lang w:val="es-ES"/>
        </w:rPr>
        <w:t xml:space="preserve"> </w:t>
      </w:r>
      <w:r>
        <w:rPr>
          <w:lang w:val="es-ES"/>
        </w:rPr>
        <w:t xml:space="preserve">pacientes completamente nuevos.</w:t>
      </w:r>
    </w:p>
    <w:bookmarkEnd w:id="31"/>
    <w:bookmarkEnd w:id="32"/>
    <w:bookmarkStart w:id="34" w:name="X441ae69cec1338e92f23076c017d1a186fe1461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4.3. Diseño e implementación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(Fase 3)</w:t>
      </w:r>
    </w:p>
    <w:bookmarkStart w:id="35" w:name="entornos-de-cómputo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4.3.1. Entornos de cómputo</w:t>
      </w:r>
    </w:p>
    <w:p>
      <w:pPr>
        <w:rPr>
          <w:lang w:val="es-ES"/>
        </w:rPr>
      </w:pPr>
      <w:r>
        <w:rPr>
          <w:lang w:val="es-ES"/>
        </w:rPr>
        <w:t xml:space="preserve">El desarrollo y las corridas finales se repartieron entre un equipo local y Google Colab. La Tabla</w:t>
      </w:r>
      <w:r>
        <w:rPr>
          <w:lang w:val="es-ES"/>
        </w:rPr>
        <w:t xml:space="preserve"> </w:t>
      </w:r>
      <w:r>
        <w:rPr>
          <w:lang w:val="es-ES"/>
        </w:rPr>
        <w:t xml:space="preserve">7 identifica el entorno efectivo de cada grupo experimental y el tratamiento de la precisión</w:t>
      </w:r>
      <w:r>
        <w:rPr>
          <w:lang w:val="es-ES"/>
        </w:rPr>
        <w:t xml:space="preserve"> </w:t>
      </w:r>
      <w:r>
        <w:rPr>
          <w:lang w:val="es-ES"/>
        </w:rPr>
        <w:t xml:space="preserve">mixta.</w:t>
      </w:r>
    </w:p>
    <w:tbl>
      <w:tblPr>
        <w:tblStyle w:val="TableGrid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Entorno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Dispositivo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Precisión mixta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Uso final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Local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Apple M4 Pro,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backend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MPS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Desactivada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Cuatro configuraciones de fusión sobre la Residual U-Net 3D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Google Colab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NVIDIA A100, CUDA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AMP activada en la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pipeline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MONAI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Attention U-Net 3D y Swin-UNETR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Google Colab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NVIDIA A100, CUDA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Gestionada por nnU-Net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nnU-Net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3d_fullres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fold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0</w:t>
            </w:r>
          </w:p>
        </w:tc>
      </w:tr>
    </w:tbl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7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Entornos utilizados en las corridas finales.</w:t>
      </w:r>
    </w:p>
    <w:p>
      <w:pPr>
        <w:rPr>
          <w:lang w:val="es-ES"/>
        </w:rPr>
      </w:pPr>
      <w:r>
        <w:rPr>
          <w:lang w:val="es-ES"/>
        </w:rPr>
        <w:t xml:space="preserve">Esta distribución permitió reservar la A100 para los modelos de mayor coste y para nnU-Net. También</w:t>
      </w:r>
      <w:r>
        <w:rPr>
          <w:lang w:val="es-ES"/>
        </w:rPr>
        <w:t xml:space="preserve"> </w:t>
      </w:r>
      <w:r>
        <w:rPr>
          <w:lang w:val="es-ES"/>
        </w:rPr>
        <w:t xml:space="preserve">introduce diferencias de dispositivo y precisión entre grupos, por lo que los tiempos de pared y la</w:t>
      </w:r>
      <w:r>
        <w:rPr>
          <w:lang w:val="es-ES"/>
        </w:rPr>
        <w:t xml:space="preserve"> </w:t>
      </w:r>
      <w:r>
        <w:rPr>
          <w:lang w:val="es-ES"/>
        </w:rPr>
        <w:t xml:space="preserve">comparación global de arquitecturas se interpretan de forma descriptiva. Para reducir el cuello de</w:t>
      </w:r>
      <w:r>
        <w:rPr>
          <w:lang w:val="es-ES"/>
        </w:rPr>
        <w:t xml:space="preserve"> </w:t>
      </w:r>
      <w:r>
        <w:rPr>
          <w:lang w:val="es-ES"/>
        </w:rPr>
        <w:t xml:space="preserve">botella de Google Drive, los datos usados en la nube se copiaron al disco local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runtime</w:t>
      </w:r>
      <w:r>
        <w:rPr>
          <w:lang w:val="es-ES"/>
        </w:rPr>
        <w:t xml:space="preserve"> </w:t>
      </w:r>
      <w:r>
        <w:rPr>
          <w:lang w:val="es-ES"/>
        </w:rPr>
        <w:t xml:space="preserve">antes</w:t>
      </w:r>
      <w:r>
        <w:rPr>
          <w:lang w:val="es-ES"/>
        </w:rPr>
        <w:t xml:space="preserve"> </w:t>
      </w:r>
      <w:r>
        <w:rPr>
          <w:lang w:val="es-ES"/>
        </w:rPr>
        <w:t xml:space="preserve">de entrenar o preprocesar.</w:t>
      </w:r>
    </w:p>
    <w:bookmarkEnd w:id="33"/>
    <w:bookmarkStart w:id="36" w:name="Xc8a19e92d9ffe777e6c7eac7ba16263b8cccc5c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4.3.2. Organización del código y flujo de trabajo</w:t>
      </w:r>
    </w:p>
    <w:p>
      <w:pPr>
        <w:rPr>
          <w:lang w:val="es-ES"/>
        </w:rPr>
      </w:pPr>
      <w:r>
        <w:rPr>
          <w:lang w:val="es-ES"/>
        </w:rPr>
        <w:t xml:space="preserve">El código se organiza como un paquete de Python (</w:t>
      </w:r>
      <w:r>
        <w:rPr>
          <w:rStyle w:val="VerbatimChar"/>
          <w:lang w:val="es-ES"/>
        </w:rPr>
        <w:t xml:space="preserve">tfm_brats/</w:t>
      </w:r>
      <w:r>
        <w:rPr>
          <w:lang w:val="es-ES"/>
        </w:rPr>
        <w:t xml:space="preserve">) y un árbol de configuraciones YAML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configs/</w:t>
      </w:r>
      <w:r>
        <w:rPr>
          <w:lang w:val="es-ES"/>
        </w:rPr>
        <w:t xml:space="preserve">). Los módulos principales son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brats.py</w:t>
      </w:r>
      <w:r>
        <w:rPr>
          <w:lang w:val="es-ES"/>
        </w:rPr>
        <w:t xml:space="preserve">, para las convenciones del conjunto;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qc.py</w:t>
      </w:r>
      <w:r>
        <w:rPr>
          <w:lang w:val="es-ES"/>
        </w:rPr>
        <w:t xml:space="preserve">, para el control de calidad;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splits.py</w:t>
      </w:r>
      <w:r>
        <w:rPr>
          <w:lang w:val="es-ES"/>
        </w:rPr>
        <w:t xml:space="preserve">, para las particiones;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monai_pipeline.py</w:t>
      </w:r>
      <w:r>
        <w:rPr>
          <w:lang w:val="es-ES"/>
        </w:rPr>
        <w:t xml:space="preserve">, para</w:t>
      </w:r>
      <w:r>
        <w:rPr>
          <w:lang w:val="es-ES"/>
        </w:rPr>
        <w:t xml:space="preserve"> </w:t>
      </w:r>
      <w:r>
        <w:rPr>
          <w:lang w:val="es-ES"/>
        </w:rPr>
        <w:t xml:space="preserve">transformaciones, carga, modelos, entrenamiento, inferencia y puntos de control;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metrics.py</w:t>
      </w:r>
      <w:r>
        <w:rPr>
          <w:lang w:val="es-ES"/>
        </w:rPr>
        <w:t xml:space="preserve">, para</w:t>
      </w:r>
      <w:r>
        <w:rPr>
          <w:lang w:val="es-ES"/>
        </w:rPr>
        <w:t xml:space="preserve"> </w:t>
      </w:r>
      <w:r>
        <w:rPr>
          <w:lang w:val="es-ES"/>
        </w:rPr>
        <w:t xml:space="preserve">Dice y HD95; 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cli.py</w:t>
      </w:r>
      <w:r>
        <w:rPr>
          <w:lang w:val="es-ES"/>
        </w:rPr>
        <w:t xml:space="preserve">, para la interfaz de línea de comandos.</w:t>
      </w:r>
    </w:p>
    <w:p>
      <w:pPr>
        <w:rPr>
          <w:lang w:val="es-ES"/>
        </w:rPr>
      </w:pPr>
      <w:r>
        <w:rPr>
          <w:lang w:val="es-ES"/>
        </w:rPr>
        <w:t xml:space="preserve">Los experimentos MONAI se describen mediante una configuración de datos, otra de modelo y otra de</w:t>
      </w:r>
      <w:r>
        <w:rPr>
          <w:lang w:val="es-ES"/>
        </w:rPr>
        <w:t xml:space="preserve"> </w:t>
      </w:r>
      <w:r>
        <w:rPr>
          <w:lang w:val="es-ES"/>
        </w:rPr>
        <w:t xml:space="preserve">entrenamiento. Las corridas finales añadieron argumentos explícitos de la CLI para la semilla, el</w:t>
      </w:r>
      <w:r>
        <w:rPr>
          <w:lang w:val="es-ES"/>
        </w:rPr>
        <w:t xml:space="preserve"> </w:t>
      </w:r>
      <w:r>
        <w:rPr>
          <w:lang w:val="es-ES"/>
        </w:rPr>
        <w:t xml:space="preserve">dispositivo y, en el perfil local, el límite efectivo de 15.000 pasos. Por tanto, la unidad</w:t>
      </w:r>
      <w:r>
        <w:rPr>
          <w:lang w:val="es-ES"/>
        </w:rPr>
        <w:t xml:space="preserve"> </w:t>
      </w:r>
      <w:r>
        <w:rPr>
          <w:lang w:val="es-ES"/>
        </w:rPr>
        <w:t xml:space="preserve">reproducible completa es la combinación de YAML y comando de ejecución, conservada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scratchpad/run_final_fusion_ablation.sh</w:t>
      </w:r>
      <w:r>
        <w:rPr>
          <w:lang w:val="es-ES"/>
        </w:rPr>
        <w:t xml:space="preserve"> </w:t>
      </w:r>
      <w:r>
        <w:rPr>
          <w:lang w:val="es-ES"/>
        </w:rPr>
        <w:t xml:space="preserve">para la ablación local y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notebooks/colab_final_a100.ipynb</w:t>
      </w:r>
      <w:r>
        <w:rPr>
          <w:lang w:val="es-ES"/>
        </w:rPr>
        <w:t xml:space="preserve"> </w:t>
      </w:r>
      <w:r>
        <w:rPr>
          <w:lang w:val="es-ES"/>
        </w:rPr>
        <w:t xml:space="preserve">para Attention U-Net y Swin-UNETR. nnU-Net utiliza scripts y</w:t>
      </w:r>
      <w:r>
        <w:rPr>
          <w:lang w:val="es-ES"/>
        </w:rPr>
        <w:t xml:space="preserve"> </w:t>
      </w:r>
      <w:r>
        <w:rPr>
          <w:lang w:val="es-ES"/>
        </w:rPr>
        <w:t xml:space="preserve">comandos nativos independientes, descritos en §4.4.5.</w:t>
      </w:r>
    </w:p>
    <w:p>
      <w:pPr>
        <w:rPr>
          <w:lang w:val="es-ES"/>
        </w:rPr>
      </w:pPr>
      <w:r>
        <w:rPr>
          <w:lang w:val="es-ES"/>
        </w:rPr>
        <w:t xml:space="preserve">La CLI propia expone cinco subcomandos. La Tabla 8 resume su responsabilidad y deja explícita la</w:t>
      </w:r>
      <w:r>
        <w:rPr>
          <w:lang w:val="es-ES"/>
        </w:rPr>
        <w:t xml:space="preserve"> </w:t>
      </w:r>
      <w:r>
        <w:rPr>
          <w:lang w:val="es-ES"/>
        </w:rPr>
        <w:t xml:space="preserve">separación entre generar predicciones y evaluarlas.</w:t>
      </w:r>
    </w:p>
    <w:tbl>
      <w:tblPr>
        <w:tblStyle w:val="TableGrid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Subcomando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qc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Comprueba integridad, geometría y etiquetas, y genera estadísticas por estudio.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splits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Genera las particiones estratificadas y su manifiesto.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train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Entrena una configuración MONAI y guarda registros y puntos de control.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predict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Carga un modelo y exporta predicciones NIfTI para una partición.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evaluate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Lee predicciones ya generadas y calcula Dice y HD95 para ET, TC y WT.</w:t>
            </w:r>
          </w:p>
        </w:tc>
      </w:tr>
    </w:tbl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8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Subcomandos de la interfaz tfm_brats/cli.py.</w:t>
      </w:r>
    </w:p>
    <w:p>
      <w:pPr>
        <w:rPr>
          <w:lang w:val="es-ES"/>
        </w:rPr>
      </w:pPr>
      <w:r>
        <w:rPr>
          <w:lang w:val="es-ES"/>
        </w:rPr>
        <w:t xml:space="preserve">La tabla refleja un flujo desacoplado: las métricas pueden recalcularse a partir de los NIfTI sin</w:t>
      </w:r>
      <w:r>
        <w:rPr>
          <w:lang w:val="es-ES"/>
        </w:rPr>
        <w:t xml:space="preserve"> </w:t>
      </w:r>
      <w:r>
        <w:rPr>
          <w:lang w:val="es-ES"/>
        </w:rPr>
        <w:t xml:space="preserve">repetir la inferencia. La Figura 1 ofrece una visión global del sistema, incluidas las ramas que no</w:t>
      </w:r>
      <w:r>
        <w:rPr>
          <w:lang w:val="es-ES"/>
        </w:rPr>
        <w:t xml:space="preserve"> </w:t>
      </w:r>
      <w:r>
        <w:rPr>
          <w:lang w:val="es-ES"/>
        </w:rPr>
        <w:t xml:space="preserve">comparten el mismo bucle de entrenamiento.</w:t>
      </w:r>
    </w:p>
    <w:p xmlns:a="http://schemas.openxmlformats.org/drawingml/2006/main" xmlns:pic="http://schemas.openxmlformats.org/drawingml/2006/picture">
      <w:pPr>
        <w:keepNext/>
        <w:spacing w:before="120" w:after="0"/>
        <w:jc w:val="center"/>
        <w:rPr>
          <w:lang w:val="es-ES"/>
        </w:rPr>
      </w:pPr>
      <w:r>
        <w:rPr>
          <w:lang w:val="es-ES"/>
        </w:rPr>
        <w:drawing>
          <wp:inline>
            <wp:extent cx="5400000" cy="3471428"/>
            <wp:effectExtent b="0" l="0" r="0" t="0"/>
            <wp:docPr descr="Flujo global del sistema experimental." title="Flujo global del sistema experimental." id="2" name="Picture"/>
            <a:graphic>
              <a:graphicData uri="http://schemas.openxmlformats.org/drawingml/2006/picture">
                <pic:pic>
                  <pic:nvPicPr>
                    <pic:cNvPr descr="figuras/fig_pipeline_flujo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7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Figura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Figura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1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Visión global del sistema: BraTS-GLI 2024, control de calidad y particiones; carga y preprocesamiento; ramas MONAI para Residual U-Net con fusión, Attention U-Net y Swin-UNETR, junto con la rama externa nnU-Net; y generación de predicciones y evaluación común.</w:t>
      </w:r>
    </w:p>
    <w:p>
      <w:pPr>
        <w:rPr>
          <w:lang w:val="es-ES"/>
        </w:rPr>
      </w:pPr>
      <w:r>
        <w:rPr>
          <w:lang w:val="es-ES"/>
        </w:rPr>
        <w:t xml:space="preserve">La figura permite distinguir la infraestructura compartida —datos, particiones y métricas finales—</w:t>
      </w:r>
      <w:r>
        <w:rPr>
          <w:lang w:val="es-ES"/>
        </w:rPr>
        <w:t xml:space="preserve"> </w:t>
      </w:r>
      <w:r>
        <w:rPr>
          <w:lang w:val="es-ES"/>
        </w:rPr>
        <w:t xml:space="preserve">de los dos protocolos de modelado: la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MONAI propia y el flujo auto-configurable de</w:t>
      </w:r>
      <w:r>
        <w:rPr>
          <w:lang w:val="es-ES"/>
        </w:rPr>
        <w:t xml:space="preserve"> </w:t>
      </w:r>
      <w:r>
        <w:rPr>
          <w:lang w:val="es-ES"/>
        </w:rPr>
        <w:t xml:space="preserve">nnU-Net. Dentro de MONAI, solo la rama residual mantiene fija la arquitectura para aislar el efecto</w:t>
      </w:r>
      <w:r>
        <w:rPr>
          <w:lang w:val="es-ES"/>
        </w:rPr>
        <w:t xml:space="preserve"> </w:t>
      </w:r>
      <w:r>
        <w:rPr>
          <w:lang w:val="es-ES"/>
        </w:rPr>
        <w:t xml:space="preserve">de la fusión.</w:t>
      </w:r>
    </w:p>
    <w:bookmarkEnd w:id="34"/>
    <w:bookmarkStart w:id="37" w:name="X516f2091bfee5b165a23ddf622edc1b6c71e40d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4.3.3. Formulación del problema, modalidades y regiones</w:t>
      </w:r>
    </w:p>
    <w:p>
      <w:pPr>
        <w:rPr>
          <w:lang w:val="es-ES"/>
        </w:rPr>
      </w:pPr>
      <w:r>
        <w:rPr>
          <w:lang w:val="es-ES"/>
        </w:rPr>
        <w:t xml:space="preserve">Los modelos MONAI reciben un tensor con cuatro canales en el orden T1n, T1c, T2w y T2f, donde T2f</w:t>
      </w:r>
      <w:r>
        <w:rPr>
          <w:lang w:val="es-ES"/>
        </w:rPr>
        <w:t xml:space="preserve"> </w:t>
      </w:r>
      <w:r>
        <w:rPr>
          <w:lang w:val="es-ES"/>
        </w:rPr>
        <w:t xml:space="preserve">corresponde a FLAIR, y producen tres canales para ET, TC y WT. La Tabla 9 relaciona las entradas con</w:t>
      </w:r>
      <w:r>
        <w:rPr>
          <w:lang w:val="es-ES"/>
        </w:rPr>
        <w:t xml:space="preserve"> </w:t>
      </w:r>
      <w:r>
        <w:rPr>
          <w:lang w:val="es-ES"/>
        </w:rPr>
        <w:t xml:space="preserve">la información que aportan y las salidas con las etiquetas BraTS utilizadas por el código.</w:t>
      </w:r>
    </w:p>
    <w:tbl>
      <w:tblPr>
        <w:tblStyle w:val="TableGrid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Tipo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Canal o elemento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Información o composición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Relevancia para la segmentación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Entrada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T1n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Anatomía y señal T1 sin contraste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Aporta contexto anatómico y alteraciones no definidas por realce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Entrada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T1c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Información T1 después de contraste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Ayuda a delimitar el componente con realce, sin sustituir la interpretación conjunta de las modalidades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Entrada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T2w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Señal sensible al contenido de agua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Resalta alteraciones ricas en líquido y contribuye a estimar la extensión tumoral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Entrada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FLAIR (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t2f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)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Señal T2 con supresión del líquido cefalorraquídeo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Facilita la visualización de hiperintensidades parenquimatosas y del componente periférico de WT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Salida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ET, canal 0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Etiqueta {3}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Región tumoral con realce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Salida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TC, canal 1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Etiquetas {1, 3, 4}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Núcleo tumoral completo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Salida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WT, canal 2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Etiquetas {1, 2, 3, 4}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Extensión tumoral completa</w:t>
            </w:r>
          </w:p>
        </w:tc>
      </w:tr>
    </w:tbl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9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Entradas multimodales y salidas regionales del sistema de segmentación.</w:t>
      </w:r>
    </w:p>
    <w:p>
      <w:pPr>
        <w:rPr>
          <w:lang w:val="es-ES"/>
        </w:rPr>
      </w:pPr>
      <w:r>
        <w:rPr>
          <w:lang w:val="es-ES"/>
        </w:rPr>
        <w:t xml:space="preserve">La tabla muestra por qué la entrada es multimodal: ninguna secuencia resume por sí sola toda la</w:t>
      </w:r>
      <w:r>
        <w:rPr>
          <w:lang w:val="es-ES"/>
        </w:rPr>
        <w:t xml:space="preserve"> </w:t>
      </w:r>
      <w:r>
        <w:rPr>
          <w:lang w:val="es-ES"/>
        </w:rPr>
        <w:t xml:space="preserve">información usada para construir ET, TC y WT. Los ejemplos del Capítulo 5 complementan esta</w:t>
      </w:r>
      <w:r>
        <w:rPr>
          <w:lang w:val="es-ES"/>
        </w:rPr>
        <w:t xml:space="preserve"> </w:t>
      </w:r>
      <w:r>
        <w:rPr>
          <w:lang w:val="es-ES"/>
        </w:rPr>
        <w:t xml:space="preserve">descripción al mostrar simultáneamente las regiones predichas sobre un estudio concreto.</w:t>
      </w:r>
    </w:p>
    <w:p>
      <w:pPr>
        <w:rPr>
          <w:lang w:val="es-ES"/>
        </w:rPr>
      </w:pPr>
      <w:r>
        <w:rPr>
          <w:lang w:val="es-ES"/>
        </w:rPr>
        <w:t xml:space="preserve">Las regiones se representan como máscaras anidadas, ET ⊂ TC ⊂ WT.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BratsRegionsd</w:t>
      </w:r>
      <w:r>
        <w:rPr>
          <w:lang w:val="es-ES"/>
        </w:rPr>
        <w:t xml:space="preserve"> </w:t>
      </w:r>
      <w:r>
        <w:rPr>
          <w:lang w:val="es-ES"/>
        </w:rPr>
        <w:t xml:space="preserve">transforma la</w:t>
      </w:r>
      <w:r>
        <w:rPr>
          <w:lang w:val="es-ES"/>
        </w:rPr>
        <w:t xml:space="preserve"> </w:t>
      </w:r>
      <w:r>
        <w:rPr>
          <w:lang w:val="es-ES"/>
        </w:rPr>
        <w:t xml:space="preserve">máscara de etiquetas en tres canales binarios y la salida se formula como segmentación</w:t>
      </w:r>
      <w:r>
        <w:rPr>
          <w:lang w:val="es-ES"/>
        </w:rPr>
        <w:t xml:space="preserve"> </w:t>
      </w:r>
      <w:r>
        <w:rPr>
          <w:lang w:val="es-ES"/>
        </w:rPr>
        <w:t xml:space="preserve">multietiqueta. Los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logits</w:t>
      </w:r>
      <w:r>
        <w:rPr>
          <w:lang w:val="es-ES"/>
        </w:rPr>
        <w:t xml:space="preserve"> </w:t>
      </w:r>
      <w:r>
        <w:rPr>
          <w:lang w:val="es-ES"/>
        </w:rPr>
        <w:t xml:space="preserve">se activan con sigmoide y se umbralizan a 0,5. Al exportar la predicción,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regions_to_labelmap</w:t>
      </w:r>
      <w:r>
        <w:rPr>
          <w:lang w:val="es-ES"/>
        </w:rPr>
        <w:t xml:space="preserve"> </w:t>
      </w:r>
      <w:r>
        <w:rPr>
          <w:lang w:val="es-ES"/>
        </w:rPr>
        <w:t xml:space="preserve">fuerza la coherencia de inclusión mediante la unión de ET con TC y de TC con</w:t>
      </w:r>
      <w:r>
        <w:rPr>
          <w:lang w:val="es-ES"/>
        </w:rPr>
        <w:t xml:space="preserve"> </w:t>
      </w:r>
      <w:r>
        <w:rPr>
          <w:lang w:val="es-ES"/>
        </w:rPr>
        <w:t xml:space="preserve">WT, y reconstruye un mapa NIfTI compatible con la evaluación.</w:t>
      </w:r>
    </w:p>
    <w:bookmarkEnd w:id="35"/>
    <w:bookmarkStart w:id="38" w:name="preprocesamiento-y-aumento-de-datos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4.3.4. Preprocesamiento y aumento de datos</w:t>
      </w:r>
    </w:p>
    <w:p>
      <w:pPr>
        <w:rPr>
          <w:lang w:val="es-ES"/>
        </w:rPr>
      </w:pPr>
      <w:r>
        <w:rPr>
          <w:lang w:val="es-ES"/>
        </w:rPr>
        <w:t xml:space="preserve">La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MONAI usa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LoadImaged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EnsureChannelFirstd</w:t>
      </w:r>
      <w:r>
        <w:rPr>
          <w:lang w:val="es-ES"/>
        </w:rPr>
        <w:t xml:space="preserve">, normalización por modalidad sobre</w:t>
      </w:r>
      <w:r>
        <w:rPr>
          <w:lang w:val="es-ES"/>
        </w:rPr>
        <w:t xml:space="preserve"> </w:t>
      </w:r>
      <w:r>
        <w:rPr>
          <w:lang w:val="es-ES"/>
        </w:rPr>
        <w:t xml:space="preserve">vóxeles no nulos (</w:t>
      </w:r>
      <w:r>
        <w:rPr>
          <w:rStyle w:val="VerbatimChar"/>
          <w:lang w:val="es-ES"/>
        </w:rPr>
        <w:t xml:space="preserve">NormalizeIntensityd(nonzero=True, channel_wise=True)</w:t>
      </w:r>
      <w:r>
        <w:rPr>
          <w:lang w:val="es-ES"/>
        </w:rPr>
        <w:t xml:space="preserve">) y conversión a tensores.</w:t>
      </w:r>
      <w:r>
        <w:rPr>
          <w:lang w:val="es-ES"/>
        </w:rPr>
        <w:t xml:space="preserve"> </w:t>
      </w:r>
      <w:r>
        <w:rPr>
          <w:lang w:val="es-ES"/>
        </w:rPr>
        <w:t xml:space="preserve">Durante entrenamiento y validación interna también carga la etiqueta y aplica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BratsRegionsd</w:t>
      </w:r>
      <w:r>
        <w:rPr>
          <w:lang w:val="es-ES"/>
        </w:rPr>
        <w:t xml:space="preserve">. La</w:t>
      </w:r>
      <w:r>
        <w:rPr>
          <w:lang w:val="es-ES"/>
        </w:rPr>
        <w:t xml:space="preserve"> </w:t>
      </w:r>
      <w:r>
        <w:rPr>
          <w:lang w:val="es-ES"/>
        </w:rPr>
        <w:t xml:space="preserve">inferencia de test usa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build_inference_transforms</w:t>
      </w:r>
      <w:r>
        <w:rPr>
          <w:lang w:val="es-ES"/>
        </w:rPr>
        <w:t xml:space="preserve">, que procesa únicamente la imagen; la máscara se</w:t>
      </w:r>
      <w:r>
        <w:rPr>
          <w:lang w:val="es-ES"/>
        </w:rPr>
        <w:t xml:space="preserve"> </w:t>
      </w:r>
      <w:r>
        <w:rPr>
          <w:lang w:val="es-ES"/>
        </w:rPr>
        <w:t xml:space="preserve">carga después desde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metrics.py</w:t>
      </w:r>
      <w:r>
        <w:rPr>
          <w:lang w:val="es-ES"/>
        </w:rPr>
        <w:t xml:space="preserve"> </w:t>
      </w:r>
      <w:r>
        <w:rPr>
          <w:lang w:val="es-ES"/>
        </w:rPr>
        <w:t xml:space="preserve">para evaluar la predicción exportada.</w:t>
      </w:r>
    </w:p>
    <w:p>
      <w:pPr>
        <w:rPr>
          <w:lang w:val="es-ES"/>
        </w:rPr>
      </w:pPr>
      <w:r>
        <w:rPr>
          <w:lang w:val="es-ES"/>
        </w:rPr>
        <w:t xml:space="preserve">El aumento se limita al entrenamiento.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SpatialPadd</w:t>
      </w:r>
      <w:r>
        <w:rPr>
          <w:lang w:val="es-ES"/>
        </w:rPr>
        <w:t xml:space="preserve"> </w:t>
      </w:r>
      <w:r>
        <w:rPr>
          <w:lang w:val="es-ES"/>
        </w:rPr>
        <w:t xml:space="preserve">asegura un tamaño mínimo de 128³,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DivisiblePadd(k=16)</w:t>
      </w:r>
      <w:r>
        <w:rPr>
          <w:lang w:val="es-ES"/>
        </w:rPr>
        <w:t xml:space="preserve"> </w:t>
      </w:r>
      <w:r>
        <w:rPr>
          <w:lang w:val="es-ES"/>
        </w:rPr>
        <w:t xml:space="preserve">mantiene dimensiones compatibles,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RandCropByPosNegLabeld</w:t>
      </w:r>
      <w:r>
        <w:rPr>
          <w:lang w:val="es-ES"/>
        </w:rPr>
        <w:t xml:space="preserve"> </w:t>
      </w:r>
      <w:r>
        <w:rPr>
          <w:lang w:val="es-ES"/>
        </w:rPr>
        <w:t xml:space="preserve">extrae dos parches</w:t>
      </w:r>
      <w:r>
        <w:rPr>
          <w:lang w:val="es-ES"/>
        </w:rPr>
        <w:t xml:space="preserve"> </w:t>
      </w:r>
      <w:r>
        <w:rPr>
          <w:lang w:val="es-ES"/>
        </w:rPr>
        <w:t xml:space="preserve">por estudio con razón positiva/negativa 1:1 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RandFlipd</w:t>
      </w:r>
      <w:r>
        <w:rPr>
          <w:lang w:val="es-ES"/>
        </w:rPr>
        <w:t xml:space="preserve"> </w:t>
      </w:r>
      <w:r>
        <w:rPr>
          <w:lang w:val="es-ES"/>
        </w:rPr>
        <w:t xml:space="preserve">aplica volteos independientes con</w:t>
      </w:r>
      <w:r>
        <w:rPr>
          <w:lang w:val="es-ES"/>
        </w:rPr>
        <w:t xml:space="preserve"> </w:t>
      </w:r>
      <w:r>
        <w:rPr>
          <w:lang w:val="es-ES"/>
        </w:rPr>
        <w:t xml:space="preserve">probabilidad 0,5 en los tres ejes. Validación y test no reciben transformaciones aleatorias y se</w:t>
      </w:r>
      <w:r>
        <w:rPr>
          <w:lang w:val="es-ES"/>
        </w:rPr>
        <w:t xml:space="preserve"> </w:t>
      </w:r>
      <w:r>
        <w:rPr>
          <w:lang w:val="es-ES"/>
        </w:rPr>
        <w:t xml:space="preserve">procesan como volúmenes completos mediante ventana deslizante.</w:t>
      </w:r>
    </w:p>
    <w:p>
      <w:pPr>
        <w:rPr>
          <w:lang w:val="es-ES"/>
        </w:rPr>
      </w:pPr>
      <w:r>
        <w:rPr>
          <w:lang w:val="es-ES"/>
        </w:rPr>
        <w:t xml:space="preserve">Los datos se sirven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Dataset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DataLoader</w:t>
      </w:r>
      <w:r>
        <w:rPr>
          <w:lang w:val="es-ES"/>
        </w:rPr>
        <w:t xml:space="preserve"> </w:t>
      </w:r>
      <w:r>
        <w:rPr>
          <w:lang w:val="es-ES"/>
        </w:rPr>
        <w:t xml:space="preserve">de MONAI y la colación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list_data_collate</w:t>
      </w:r>
      <w:r>
        <w:rPr>
          <w:lang w:val="es-ES"/>
        </w:rPr>
        <w:t xml:space="preserve">. Durante</w:t>
      </w:r>
      <w:r>
        <w:rPr>
          <w:lang w:val="es-ES"/>
        </w:rPr>
        <w:t xml:space="preserve"> </w:t>
      </w:r>
      <w:r>
        <w:rPr>
          <w:lang w:val="es-ES"/>
        </w:rPr>
        <w:t xml:space="preserve">el desarrollo se añadió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build_cached_dataset</w:t>
      </w:r>
      <w:r>
        <w:rPr>
          <w:lang w:val="es-ES"/>
        </w:rPr>
        <w:t xml:space="preserve">, con modos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none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memory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persistent</w:t>
      </w:r>
      <w:r>
        <w:rPr>
          <w:lang w:val="es-ES"/>
        </w:rPr>
        <w:t xml:space="preserve">, para</w:t>
      </w:r>
      <w:r>
        <w:rPr>
          <w:lang w:val="es-ES"/>
        </w:rPr>
        <w:t xml:space="preserve"> </w:t>
      </w:r>
      <w:r>
        <w:rPr>
          <w:lang w:val="es-ES"/>
        </w:rPr>
        <w:t xml:space="preserve">adaptar la lectura al entorno. El almacenamiento persistente del conjunto completo resultó poco</w:t>
      </w:r>
      <w:r>
        <w:rPr>
          <w:lang w:val="es-ES"/>
        </w:rPr>
        <w:t xml:space="preserve"> </w:t>
      </w:r>
      <w:r>
        <w:rPr>
          <w:lang w:val="es-ES"/>
        </w:rPr>
        <w:t xml:space="preserve">práctico por espacio, por lo que las corridas A100 finales usaron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cache_mode: none</w:t>
      </w:r>
      <w:r>
        <w:rPr>
          <w:lang w:val="es-ES"/>
        </w:rPr>
        <w:t xml:space="preserve"> </w:t>
      </w:r>
      <w:r>
        <w:rPr>
          <w:lang w:val="es-ES"/>
        </w:rPr>
        <w:t xml:space="preserve">después de</w:t>
      </w:r>
      <w:r>
        <w:rPr>
          <w:lang w:val="es-ES"/>
        </w:rPr>
        <w:t xml:space="preserve"> </w:t>
      </w:r>
      <w:r>
        <w:rPr>
          <w:lang w:val="es-ES"/>
        </w:rPr>
        <w:t xml:space="preserve">copiar los NIfTI desde Google Drive al disco local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runtime</w:t>
      </w:r>
      <w:r>
        <w:rPr>
          <w:lang w:val="es-ES"/>
        </w:rPr>
        <w:t xml:space="preserve">.</w:t>
      </w:r>
    </w:p>
    <w:bookmarkEnd w:id="36"/>
    <w:bookmarkStart w:id="39" w:name="familias-de-modelos-y-factory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4.3.5. Familias de modelos y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factory</w:t>
      </w:r>
    </w:p>
    <w:p>
      <w:pPr>
        <w:rPr>
          <w:lang w:val="es-ES"/>
        </w:rPr>
      </w:pPr>
      <w:r>
        <w:rPr>
          <w:lang w:val="es-ES"/>
        </w:rPr>
        <w:t xml:space="preserve">La función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build_model</w:t>
      </w:r>
      <w:r>
        <w:rPr>
          <w:lang w:val="es-ES"/>
        </w:rPr>
        <w:t xml:space="preserve"> </w:t>
      </w:r>
      <w:r>
        <w:rPr>
          <w:lang w:val="es-ES"/>
        </w:rPr>
        <w:t xml:space="preserve">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monai_pipeline.py</w:t>
      </w:r>
      <w:r>
        <w:rPr>
          <w:lang w:val="es-ES"/>
        </w:rPr>
        <w:t xml:space="preserve"> </w:t>
      </w:r>
      <w:r>
        <w:rPr>
          <w:lang w:val="es-ES"/>
        </w:rPr>
        <w:t xml:space="preserve">construye las tres familias integradas en la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propia: Residual U-Net, Attention U-Net y Swin-UNETR. nnU-Net no pasa por esta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factory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lang w:val="es-ES"/>
        </w:rPr>
        <w:t xml:space="preserve">se ejecuta con su CLI nativa y conserva su planificación, preprocesamiento y entrenamiento. La</w:t>
      </w:r>
      <w:r>
        <w:rPr>
          <w:lang w:val="es-ES"/>
        </w:rPr>
        <w:t xml:space="preserve"> </w:t>
      </w:r>
      <w:r>
        <w:rPr>
          <w:lang w:val="es-ES"/>
        </w:rPr>
        <w:t xml:space="preserve">Tabla 10 distingue las cuatro familias de modelos y, dentro de la residual, las cuatro variantes de</w:t>
      </w:r>
      <w:r>
        <w:rPr>
          <w:lang w:val="es-ES"/>
        </w:rPr>
        <w:t xml:space="preserve"> </w:t>
      </w:r>
      <w:r>
        <w:rPr>
          <w:lang w:val="es-ES"/>
        </w:rPr>
        <w:t xml:space="preserve">fusión evaluadas.</w:t>
      </w:r>
    </w:p>
    <w:tbl>
      <w:tblPr>
        <w:tblStyle w:val="TableGrid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Familia y configuración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Implementación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Hiperparámetros o rasgo principal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Parámetros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Residual U-Net + concatenación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MONAI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UNet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+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FusionUNet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canales (16, 32, 64, 128);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num_res_units=2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; identidad de entrada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1.190.358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Residual U-Net + ponderación global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MONAI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UNet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+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FusionUNet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cuatro escalares aprendidos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1.190.362 (+4)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Residual U-Net + compuerta por media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MONAI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UNet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+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FusionUNet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descriptor 4; MLP 4 → 8 → 4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1.190.434 (+76)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Residual U-Net + compuerta media+desv.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MONAI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UNet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+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FusionUNet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descriptor 8; MLP 8 → 8 → 4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1.190.466 (+108)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Attention U-Net 3D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MONAI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AttentionUnet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canales (16, 32, 64, 128, 256); cuatro niveles de reducción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5.910.443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Swin-UNETR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MONAI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SwinUNETR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feature_size=48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; profundidades (2, 2, 2, 2); cabezas (3, 6, 12, 24)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62.191.941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nnU-Net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3d_fullres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nnU-Net v2, externo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Arquitectura y preprocesamiento auto-configurados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Auto-configurado</w:t>
            </w:r>
          </w:p>
        </w:tc>
      </w:tr>
    </w:tbl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10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Familias y configuraciones finales, ruta de implementación y número de parámetros.</w:t>
      </w:r>
    </w:p>
    <w:p>
      <w:pPr>
        <w:rPr>
          <w:lang w:val="es-ES"/>
        </w:rPr>
      </w:pPr>
      <w:r>
        <w:rPr>
          <w:lang w:val="es-ES"/>
        </w:rPr>
        <w:t xml:space="preserve">La tabla evidencia dos escalas distintas. Las cuatro configuraciones residuales mantienen fija una</w:t>
      </w:r>
      <w:r>
        <w:rPr>
          <w:lang w:val="es-ES"/>
        </w:rPr>
        <w:t xml:space="preserve"> </w:t>
      </w:r>
      <w:r>
        <w:rPr>
          <w:lang w:val="es-ES"/>
        </w:rPr>
        <w:t xml:space="preserve">red de aproximadamente 1,19 millones de parámetros y solo cambian el bloque de entrada; Attention</w:t>
      </w:r>
      <w:r>
        <w:rPr>
          <w:lang w:val="es-ES"/>
        </w:rPr>
        <w:t xml:space="preserve"> </w:t>
      </w:r>
      <w:r>
        <w:rPr>
          <w:lang w:val="es-ES"/>
        </w:rPr>
        <w:t xml:space="preserve">U-Net y, especialmente, Swin-UNETR aumentan la capacidad. nnU-Net se incluye como familia de</w:t>
      </w:r>
      <w:r>
        <w:rPr>
          <w:lang w:val="es-ES"/>
        </w:rPr>
        <w:t xml:space="preserve"> </w:t>
      </w:r>
      <w:r>
        <w:rPr>
          <w:lang w:val="es-ES"/>
        </w:rPr>
        <w:t xml:space="preserve">referencia, no como una configuración construida por la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factory</w:t>
      </w:r>
      <w:r>
        <w:rPr>
          <w:lang w:val="es-ES"/>
        </w:rPr>
        <w:t xml:space="preserve"> </w:t>
      </w:r>
      <w:r>
        <w:rPr>
          <w:lang w:val="es-ES"/>
        </w:rPr>
        <w:t xml:space="preserve">ni como parte de la ablación.</w:t>
      </w:r>
    </w:p>
    <w:p>
      <w:pPr>
        <w:rPr>
          <w:lang w:val="es-ES"/>
        </w:rPr>
      </w:pPr>
      <w:r>
        <w:rPr>
          <w:lang w:val="es-ES"/>
        </w:rPr>
        <w:t xml:space="preserve">La generalización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build_model</w:t>
      </w:r>
      <w:r>
        <w:rPr>
          <w:lang w:val="es-ES"/>
        </w:rPr>
        <w:t xml:space="preserve"> </w:t>
      </w:r>
      <w:r>
        <w:rPr>
          <w:lang w:val="es-ES"/>
        </w:rPr>
        <w:t xml:space="preserve">para despachar entre Residual U-Net, Attention U-Net y</w:t>
      </w:r>
      <w:r>
        <w:rPr>
          <w:lang w:val="es-ES"/>
        </w:rPr>
        <w:t xml:space="preserve"> </w:t>
      </w:r>
      <w:r>
        <w:rPr>
          <w:lang w:val="es-ES"/>
        </w:rPr>
        <w:t xml:space="preserve">Swin-UNETR fue una de las adaptaciones realizadas durante el proyecto. Swin-UNETR admite además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use_checkpoint</w:t>
      </w:r>
      <w:r>
        <w:rPr>
          <w:lang w:val="es-ES"/>
        </w:rPr>
        <w:t xml:space="preserve">; esta opción se probó para el entorno L4, aunque las corridas finales A100 usaron</w:t>
      </w:r>
      <w:r>
        <w:rPr>
          <w:lang w:val="es-ES"/>
        </w:rPr>
        <w:t xml:space="preserve"> </w:t>
      </w:r>
      <w:r>
        <w:rPr>
          <w:lang w:val="es-ES"/>
        </w:rPr>
        <w:t xml:space="preserve">la configuración sin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gradient checkpointing</w:t>
      </w:r>
      <w:r>
        <w:rPr>
          <w:lang w:val="es-ES"/>
        </w:rPr>
        <w:t xml:space="preserve">.</w:t>
      </w:r>
    </w:p>
    <w:bookmarkEnd w:id="37"/>
    <w:bookmarkStart w:id="40" w:name="mecanismos-de-fusión-multimodal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4.3.6. Mecanismos de fusión multimodal</w:t>
      </w:r>
    </w:p>
    <w:p>
      <w:pPr>
        <w:rPr>
          <w:lang w:val="es-ES"/>
        </w:rPr>
      </w:pPr>
      <w:r>
        <w:rPr>
          <w:lang w:val="es-ES"/>
        </w:rPr>
        <w:t xml:space="preserve">La comparación principal modifica únicamente el tratamiento de los cuatro canales antes del</w:t>
      </w:r>
      <w:r>
        <w:rPr>
          <w:lang w:val="es-ES"/>
        </w:rPr>
        <w:t xml:space="preserve"> </w:t>
      </w:r>
      <w:r>
        <w:rPr>
          <w:lang w:val="es-ES"/>
        </w:rPr>
        <w:t xml:space="preserve">codificador residual.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FusionUNet</w:t>
      </w:r>
      <w:r>
        <w:rPr>
          <w:lang w:val="es-ES"/>
        </w:rPr>
        <w:t xml:space="preserve"> </w:t>
      </w:r>
      <w:r>
        <w:rPr>
          <w:lang w:val="es-ES"/>
        </w:rPr>
        <w:t xml:space="preserve">aplica un módulo de fusión y entrega el tensor resultante a la</w:t>
      </w:r>
      <w:r>
        <w:rPr>
          <w:lang w:val="es-ES"/>
        </w:rPr>
        <w:t xml:space="preserve"> </w:t>
      </w:r>
      <w:r>
        <w:rPr>
          <w:lang w:val="es-ES"/>
        </w:rPr>
        <w:t xml:space="preserve">misma U-Net:</w:t>
      </w:r>
    </w:p>
    <w:p>
      <w:pPr>
        <w:pStyle w:val="TFMCode"/>
        <w:keepLines w:val="0"/>
        <w:widowControl w:val="0"/>
        <w:shd w:val="clear" w:fill="F2F2F2"/>
        <w:pBdr>
          <w:left w:val="single" w:sz="12" w:space="8" w:color="ED7D31"/>
        </w:pBdr>
        <w:rPr>
          <w:lang w:val="es-ES"/>
        </w:rPr>
      </w:pPr>
      <w:r>
        <w:rPr>
          <w:rStyle w:val="KeywordTok"/>
          <w:rFonts w:ascii="Consolas" w:hAnsi="Consolas" w:cs="Consolas" w:eastAsia="Consolas"/>
          <w:color w:val="1F1F1F"/>
          <w:sz w:val="15"/>
          <w:noProof/>
          <w:lang w:val="es-ES"/>
        </w:rPr>
        <w:t xml:space="preserve">class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FusionUNet(nn.Module):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  </w:t>
      </w:r>
      <w:r>
        <w:rPr>
          <w:rStyle w:val="KeywordTok"/>
          <w:rFonts w:ascii="Consolas" w:hAnsi="Consolas" w:cs="Consolas" w:eastAsia="Consolas"/>
          <w:color w:val="1F1F1F"/>
          <w:sz w:val="15"/>
          <w:noProof/>
          <w:lang w:val="es-ES"/>
        </w:rPr>
        <w:t xml:space="preserve">def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Funct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__init__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(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self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, fusion, unet):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      </w:t>
      </w:r>
      <w:r>
        <w:rPr>
          <w:rStyle w:val="BuiltInTok"/>
          <w:rFonts w:ascii="Consolas" w:hAnsi="Consolas" w:cs="Consolas" w:eastAsia="Consolas"/>
          <w:color w:val="1F1F1F"/>
          <w:sz w:val="15"/>
          <w:noProof/>
          <w:lang w:val="es-ES"/>
        </w:rPr>
        <w:t xml:space="preserve">super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().</w:t>
      </w:r>
      <w:r>
        <w:rPr>
          <w:rStyle w:val="Funct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__init__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()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      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self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.fusion </w:t>
      </w:r>
      <w:r>
        <w:rPr>
          <w:rStyle w:val="OperatorTok"/>
          <w:rFonts w:ascii="Consolas" w:hAnsi="Consolas" w:cs="Consolas" w:eastAsia="Consolas"/>
          <w:color w:val="1F1F1F"/>
          <w:sz w:val="15"/>
          <w:noProof/>
          <w:lang w:val="es-ES"/>
        </w:rPr>
        <w:t xml:space="preserve">=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fusion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      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self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.unet </w:t>
      </w:r>
      <w:r>
        <w:rPr>
          <w:rStyle w:val="OperatorTok"/>
          <w:rFonts w:ascii="Consolas" w:hAnsi="Consolas" w:cs="Consolas" w:eastAsia="Consolas"/>
          <w:color w:val="1F1F1F"/>
          <w:sz w:val="15"/>
          <w:noProof/>
          <w:lang w:val="es-ES"/>
        </w:rPr>
        <w:t xml:space="preserve">=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unet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  </w:t>
      </w:r>
      <w:r>
        <w:rPr>
          <w:rStyle w:val="KeywordTok"/>
          <w:rFonts w:ascii="Consolas" w:hAnsi="Consolas" w:cs="Consolas" w:eastAsia="Consolas"/>
          <w:color w:val="1F1F1F"/>
          <w:sz w:val="15"/>
          <w:noProof/>
          <w:lang w:val="es-ES"/>
        </w:rPr>
        <w:t xml:space="preserve">def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forward(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self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, x):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      </w:t>
      </w:r>
      <w:r>
        <w:rPr>
          <w:rStyle w:val="ControlFlowTok"/>
          <w:rFonts w:ascii="Consolas" w:hAnsi="Consolas" w:cs="Consolas" w:eastAsia="Consolas"/>
          <w:color w:val="1F1F1F"/>
          <w:sz w:val="15"/>
          <w:noProof/>
          <w:lang w:val="es-ES"/>
        </w:rPr>
        <w:t xml:space="preserve">return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self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.unet(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self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.fusion(x))</w:t>
      </w:r>
    </w:p>
    <w:p>
      <w:pPr>
        <w:rPr>
          <w:lang w:val="es-ES"/>
        </w:rPr>
      </w:pPr>
      <w:r>
        <w:rPr>
          <w:lang w:val="es-ES"/>
        </w:rPr>
        <w:t xml:space="preserve">La Figura 2 representa esta separación entre el bloque de entrada y la red de segmentación, así</w:t>
      </w:r>
      <w:r>
        <w:rPr>
          <w:lang w:val="es-ES"/>
        </w:rPr>
        <w:t xml:space="preserve"> </w:t>
      </w:r>
      <w:r>
        <w:rPr>
          <w:lang w:val="es-ES"/>
        </w:rPr>
        <w:t xml:space="preserve">como los descriptores usados por las compuertas.</w:t>
      </w:r>
    </w:p>
    <w:p xmlns:a="http://schemas.openxmlformats.org/drawingml/2006/main" xmlns:pic="http://schemas.openxmlformats.org/drawingml/2006/picture">
      <w:pPr>
        <w:keepNext/>
        <w:spacing w:before="120" w:after="0"/>
        <w:jc w:val="center"/>
        <w:rPr>
          <w:lang w:val="es-ES"/>
        </w:rPr>
      </w:pPr>
      <w:r>
        <w:rPr>
          <w:lang w:val="es-ES"/>
        </w:rPr>
        <w:drawing>
          <wp:inline>
            <wp:extent cx="5400000" cy="3436362"/>
            <wp:effectExtent b="0" l="0" r="0" t="0"/>
            <wp:docPr descr="Arquitectura de fusión multimodal FusionUNet y detalle de la compuerta adaptativa." title="Arquitectura de fusión multimodal FusionUNet y detalle de la compuerta adaptativa." id="3" name="Picture"/>
            <a:graphic>
              <a:graphicData uri="http://schemas.openxmlformats.org/drawingml/2006/picture">
                <pic:pic>
                  <pic:nvPicPr>
                    <pic:cNvPr descr="figuras/fig_arquitectura_fusion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36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Figura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Figura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2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Arquitectura de la ablación: cuatro modalidades, bloque de fusión anterior al codificador, Residual U-Net común y tres canales de salida. El detalle de la compuerta muestra la obtención de pesos globales por modalidad a partir de descriptores de la entrada.</w:t>
      </w:r>
    </w:p>
    <w:p>
      <w:pPr>
        <w:rPr>
          <w:lang w:val="es-ES"/>
        </w:rPr>
      </w:pPr>
      <w:r>
        <w:rPr>
          <w:lang w:val="es-ES"/>
        </w:rPr>
        <w:t xml:space="preserve">La figura subraya que la adaptación no es espacial ni se introduce en capas intermedias: produce un</w:t>
      </w:r>
      <w:r>
        <w:rPr>
          <w:lang w:val="es-ES"/>
        </w:rPr>
        <w:t xml:space="preserve"> </w:t>
      </w:r>
      <w:r>
        <w:rPr>
          <w:lang w:val="es-ES"/>
        </w:rPr>
        <w:t xml:space="preserve">peso por modalidad y muestra, y actúa antes de la primera convolución.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Concatenación (</w:t>
      </w:r>
      <w:r>
        <w:rPr>
          <w:rStyle w:val="VerbatimChar"/>
          <w:b/>
          <w:bCs/>
          <w:lang w:val="es-ES"/>
        </w:rPr>
        <w:t xml:space="preserve">concat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Se implementa como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nn.Identity()</w:t>
      </w:r>
      <w:r>
        <w:rPr>
          <w:lang w:val="es-ES"/>
        </w:rPr>
        <w:t xml:space="preserve">. No introduce una ponderación</w:t>
      </w:r>
      <w:r>
        <w:rPr>
          <w:lang w:val="es-ES"/>
        </w:rPr>
        <w:t xml:space="preserve"> </w:t>
      </w:r>
      <w:r>
        <w:rPr>
          <w:lang w:val="es-ES"/>
        </w:rPr>
        <w:t xml:space="preserve">explícita: los cuatro canales llegan directamente a la primera convolución de la U-Net.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Ponderación global (</w:t>
      </w:r>
      <w:r>
        <w:rPr>
          <w:rStyle w:val="VerbatimChar"/>
          <w:b/>
          <w:bCs/>
          <w:lang w:val="es-ES"/>
        </w:rPr>
        <w:t xml:space="preserve">global_weighted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Aprende cuatro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logits</w:t>
      </w:r>
      <w:r>
        <w:rPr>
          <w:lang w:val="es-ES"/>
        </w:rPr>
        <w:t xml:space="preserve"> </w:t>
      </w:r>
      <w:r>
        <w:rPr>
          <w:lang w:val="es-ES"/>
        </w:rPr>
        <w:t xml:space="preserve">independientes de la entrada.</w:t>
      </w:r>
      <w:r>
        <w:rPr>
          <w:lang w:val="es-ES"/>
        </w:rPr>
        <w:t xml:space="preserve"> </w:t>
      </w:r>
      <w:r>
        <w:rPr>
          <w:lang w:val="es-ES"/>
        </w:rPr>
        <w:t xml:space="preserve">Tras aplicar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softmax</w:t>
      </w:r>
      <w:r>
        <w:rPr>
          <w:lang w:val="es-ES"/>
        </w:rPr>
        <w:t xml:space="preserve">, cada canal se multiplica por su peso y por cuatro para preservar la escala</w:t>
      </w:r>
      <w:r>
        <w:rPr>
          <w:lang w:val="es-ES"/>
        </w:rPr>
        <w:t xml:space="preserve"> </w:t>
      </w:r>
      <w:r>
        <w:rPr>
          <w:lang w:val="es-ES"/>
        </w:rPr>
        <w:t xml:space="preserve">media de activación. Añade cuatro parámetros y aplica la misma combinación a todos los estudios.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Compuerta adaptativa basada en la media (</w:t>
      </w:r>
      <w:r>
        <w:rPr>
          <w:rStyle w:val="VerbatimChar"/>
          <w:b/>
          <w:bCs/>
          <w:lang w:val="es-ES"/>
        </w:rPr>
        <w:t xml:space="preserve">adaptive_gating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Resume cada canal mediante su media</w:t>
      </w:r>
      <w:r>
        <w:rPr>
          <w:lang w:val="es-ES"/>
        </w:rPr>
        <w:t xml:space="preserve"> </w:t>
      </w:r>
      <w:r>
        <w:rPr>
          <w:lang w:val="es-ES"/>
        </w:rPr>
        <w:t xml:space="preserve">espacial y procesa los cuatro descriptores con un MLP 4 → 8 → 4. Sus dos capas contienen 76</w:t>
      </w:r>
      <w:r>
        <w:rPr>
          <w:lang w:val="es-ES"/>
        </w:rPr>
        <w:t xml:space="preserve"> </w:t>
      </w:r>
      <w:r>
        <w:rPr>
          <w:lang w:val="es-ES"/>
        </w:rPr>
        <w:t xml:space="preserve">parámetros: 40 en la primera y 36 en la segunda, incluidos los sesgos. 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softmax</w:t>
      </w:r>
      <w:r>
        <w:rPr>
          <w:lang w:val="es-ES"/>
        </w:rPr>
        <w:t xml:space="preserve"> </w:t>
      </w:r>
      <w:r>
        <w:rPr>
          <w:lang w:val="es-ES"/>
        </w:rPr>
        <w:t xml:space="preserve">se calcula por</w:t>
      </w:r>
      <w:r>
        <w:rPr>
          <w:lang w:val="es-ES"/>
        </w:rPr>
        <w:t xml:space="preserve"> </w:t>
      </w:r>
      <w:r>
        <w:rPr>
          <w:lang w:val="es-ES"/>
        </w:rPr>
        <w:t xml:space="preserve">muestra y sus pesos vuelven a escalarse por cuatro.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Compuerta basada en media y desviación (</w:t>
      </w:r>
      <w:r>
        <w:rPr>
          <w:rStyle w:val="VerbatimChar"/>
          <w:b/>
          <w:bCs/>
          <w:lang w:val="es-ES"/>
        </w:rPr>
        <w:t xml:space="preserve">adaptive_gating_meanstd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Se incorporó después de</w:t>
      </w:r>
      <w:r>
        <w:rPr>
          <w:lang w:val="es-ES"/>
        </w:rPr>
        <w:t xml:space="preserve"> </w:t>
      </w:r>
      <w:r>
        <w:rPr>
          <w:lang w:val="es-ES"/>
        </w:rPr>
        <w:t xml:space="preserve">observar que la normalización hacía que las medias globales variasen muy poco entre entradas. La</w:t>
      </w:r>
      <w:r>
        <w:rPr>
          <w:lang w:val="es-ES"/>
        </w:rPr>
        <w:t xml:space="preserve"> </w:t>
      </w:r>
      <w:r>
        <w:rPr>
          <w:lang w:val="es-ES"/>
        </w:rPr>
        <w:t xml:space="preserve">extensión concatena media y desviación típica de cada modalidad, por lo que el descriptor pasa de</w:t>
      </w:r>
      <w:r>
        <w:rPr>
          <w:lang w:val="es-ES"/>
        </w:rPr>
        <w:t xml:space="preserve"> </w:t>
      </w:r>
      <w:r>
        <w:rPr>
          <w:lang w:val="es-ES"/>
        </w:rPr>
        <w:t xml:space="preserve">cuatro a ocho valores y el MLP 8 → 8 → 4 añade 108 parámetros. La compuerta continúa produciendo</w:t>
      </w:r>
      <w:r>
        <w:rPr>
          <w:lang w:val="es-ES"/>
        </w:rPr>
        <w:t xml:space="preserve"> </w:t>
      </w:r>
      <w:r>
        <w:rPr>
          <w:lang w:val="es-ES"/>
        </w:rPr>
        <w:t xml:space="preserve">pesos globales por modalidad, no mapas espaciales.</w:t>
      </w:r>
    </w:p>
    <w:p>
      <w:pPr>
        <w:rPr>
          <w:lang w:val="es-ES"/>
        </w:rPr>
      </w:pPr>
      <w:r>
        <w:rPr>
          <w:lang w:val="es-ES"/>
        </w:rPr>
        <w:t xml:space="preserve">Durante el desarrollo también se añadieron opciones de temperatura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softmax</w:t>
      </w:r>
      <w:r>
        <w:rPr>
          <w:lang w:val="es-ES"/>
        </w:rPr>
        <w:t xml:space="preserve">, tasa de</w:t>
      </w:r>
      <w:r>
        <w:rPr>
          <w:lang w:val="es-ES"/>
        </w:rPr>
        <w:t xml:space="preserve"> </w:t>
      </w:r>
      <w:r>
        <w:rPr>
          <w:lang w:val="es-ES"/>
        </w:rPr>
        <w:t xml:space="preserve">aprendizaje específica para la fusión, activación gradual de la compuerta y regularización de</w:t>
      </w:r>
      <w:r>
        <w:rPr>
          <w:lang w:val="es-ES"/>
        </w:rPr>
        <w:t xml:space="preserve"> </w:t>
      </w:r>
      <w:r>
        <w:rPr>
          <w:lang w:val="es-ES"/>
        </w:rPr>
        <w:t xml:space="preserve">entropía. Estas adaptaciones se exploraron en corridas preliminares de 5.000 pasos para estudiar la</w:t>
      </w:r>
      <w:r>
        <w:rPr>
          <w:lang w:val="es-ES"/>
        </w:rPr>
        <w:t xml:space="preserve"> </w:t>
      </w:r>
      <w:r>
        <w:rPr>
          <w:lang w:val="es-ES"/>
        </w:rPr>
        <w:t xml:space="preserve">estabilidad. La ablación final mantuvo el protocolo común de optimización y usó temperatura 1, sin</w:t>
      </w:r>
      <w:r>
        <w:rPr>
          <w:lang w:val="es-ES"/>
        </w:rPr>
        <w:t xml:space="preserve"> </w:t>
      </w:r>
      <w:r>
        <w:rPr>
          <w:lang w:val="es-ES"/>
        </w:rPr>
        <w:t xml:space="preserve">tasa específica, activación gradual ni penalización de entropía, de modo que la variable comparada</w:t>
      </w:r>
      <w:r>
        <w:rPr>
          <w:lang w:val="es-ES"/>
        </w:rPr>
        <w:t xml:space="preserve"> </w:t>
      </w:r>
      <w:r>
        <w:rPr>
          <w:lang w:val="es-ES"/>
        </w:rPr>
        <w:t xml:space="preserve">fuera el descriptor y el mecanismo de fusión.</w:t>
      </w:r>
    </w:p>
    <w:bookmarkEnd w:id="38"/>
    <w:bookmarkEnd w:id="39"/>
    <w:bookmarkStart w:id="41" w:name="experimentación-fase-4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4.4. Experimentación (Fase 4)</w:t>
      </w:r>
    </w:p>
    <w:bookmarkStart w:id="42" w:name="configuración-de-entrenamiento-monai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4.4.1. Configuración de entrenamiento MONAI</w:t>
      </w:r>
    </w:p>
    <w:p>
      <w:pPr>
        <w:rPr>
          <w:lang w:val="es-ES"/>
        </w:rPr>
      </w:pPr>
      <w:r>
        <w:rPr>
          <w:lang w:val="es-ES"/>
        </w:rPr>
        <w:t xml:space="preserve">Las configuraciones MONAI finales compartieron los hiperparámetros de optimización de la Tabla 11.</w:t>
      </w:r>
      <w:r>
        <w:rPr>
          <w:lang w:val="es-ES"/>
        </w:rPr>
        <w:t xml:space="preserve"> </w:t>
      </w:r>
      <w:r>
        <w:rPr>
          <w:lang w:val="es-ES"/>
        </w:rPr>
        <w:t xml:space="preserve">El presupuesto se fijó mediante una sonda larga de la concatenación, cuya validación alcanzó una</w:t>
      </w:r>
      <w:r>
        <w:rPr>
          <w:lang w:val="es-ES"/>
        </w:rPr>
        <w:t xml:space="preserve"> </w:t>
      </w:r>
      <w:r>
        <w:rPr>
          <w:lang w:val="es-ES"/>
        </w:rPr>
        <w:t xml:space="preserve">meseta aproximada entre 12.000 y 15.000 pasos. Se eligieron 15.000 pasos para las corridas finales;</w:t>
      </w:r>
      <w:r>
        <w:rPr>
          <w:lang w:val="es-ES"/>
        </w:rPr>
        <w:t xml:space="preserve"> </w:t>
      </w:r>
      <w:r>
        <w:rPr>
          <w:lang w:val="es-ES"/>
        </w:rPr>
        <w:t xml:space="preserve">en el perfil local, cuyo YAML conserva un techo de 25.000, este valor se impuso explícitamente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--max-steps 15000</w:t>
      </w:r>
      <w:r>
        <w:rPr>
          <w:lang w:val="es-ES"/>
        </w:rPr>
        <w:t xml:space="preserve">.</w:t>
      </w:r>
    </w:p>
    <w:tbl>
      <w:tblPr>
        <w:tblStyle w:val="TableGrid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Hiperparámetro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Optimizador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AdamW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Tasa de aprendizaje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 × 10⁻⁴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Planificación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Warmup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lineal de 1.000 pasos hasta la tasa base y decaimiento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cosine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hasta el 1 % de ella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Weight decay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 × 10⁻⁵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Función de pérdida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DiceCELoss(sigmoid=True, squared_pred=True)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Tamaño de parche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128 × 128 × 128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Tamaño de lote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 estudio, con 2 parches generados por estudio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Presupuesto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15.000 pasos, aproximadamente 13 épocas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Semillas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20260526, 20260527 y 20260528</w:t>
            </w:r>
          </w:p>
        </w:tc>
      </w:tr>
    </w:tbl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11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Hiperparámetros efectivos del protocolo MONAI final.</w:t>
      </w:r>
    </w:p>
    <w:p>
      <w:pPr>
        <w:rPr>
          <w:lang w:val="es-ES"/>
        </w:rPr>
      </w:pPr>
      <w:r>
        <w:rPr>
          <w:lang w:val="es-ES"/>
        </w:rPr>
        <w:t xml:space="preserve">La tabla define un protocolo común para las seis configuraciones MONAI —cuatro configuraciones</w:t>
      </w:r>
      <w:r>
        <w:rPr>
          <w:lang w:val="es-ES"/>
        </w:rPr>
        <w:t xml:space="preserve"> </w:t>
      </w:r>
      <w:r>
        <w:rPr>
          <w:lang w:val="es-ES"/>
        </w:rPr>
        <w:t xml:space="preserve">residuales, Attention U-Net y Swin-UNETR, cada una con tres semillas—, pero no para nnU-Net. La</w:t>
      </w:r>
      <w:r>
        <w:rPr>
          <w:lang w:val="es-ES"/>
        </w:rPr>
        <w:t xml:space="preserve"> </w:t>
      </w:r>
      <w:r>
        <w:rPr>
          <w:lang w:val="es-ES"/>
        </w:rPr>
        <w:t xml:space="preserve">igualdad de hiperparámetros permite una ablación controlada dentro de la familia residual. La</w:t>
      </w:r>
      <w:r>
        <w:rPr>
          <w:lang w:val="es-ES"/>
        </w:rPr>
        <w:t xml:space="preserve"> </w:t>
      </w:r>
      <w:r>
        <w:rPr>
          <w:lang w:val="es-ES"/>
        </w:rPr>
        <w:t xml:space="preserve">comparación entre familias sigue siendo descriptiva porque cambian el dispositivo, AMP y el</w:t>
      </w:r>
      <w:r>
        <w:rPr>
          <w:lang w:val="es-ES"/>
        </w:rPr>
        <w:t xml:space="preserve"> </w:t>
      </w:r>
      <w:r>
        <w:rPr>
          <w:lang w:val="es-ES"/>
        </w:rPr>
        <w:t xml:space="preserve">solapamiento de inferencia.</w:t>
      </w:r>
    </w:p>
    <w:p>
      <w:pPr>
        <w:rPr>
          <w:lang w:val="es-ES"/>
        </w:rPr>
      </w:pPr>
      <w:r>
        <w:rPr>
          <w:rStyle w:val="VerbatimChar"/>
          <w:lang w:val="es-ES"/>
        </w:rPr>
        <w:t xml:space="preserve">DiceCELoss</w:t>
      </w:r>
      <w:r>
        <w:rPr>
          <w:lang w:val="es-ES"/>
        </w:rPr>
        <w:t xml:space="preserve"> </w:t>
      </w:r>
      <w:r>
        <w:rPr>
          <w:lang w:val="es-ES"/>
        </w:rPr>
        <w:t xml:space="preserve">combina el término Dice y la entropía cruzada binaria sobre los tres canales. El</w:t>
      </w:r>
      <w:r>
        <w:rPr>
          <w:lang w:val="es-ES"/>
        </w:rPr>
        <w:t xml:space="preserve"> </w:t>
      </w:r>
      <w:r>
        <w:rPr>
          <w:lang w:val="es-ES"/>
        </w:rPr>
        <w:t xml:space="preserve">planificador se adoptó para distribuir la tasa de aprendizaje dentro del presupuesto fijado; no se</w:t>
      </w:r>
      <w:r>
        <w:rPr>
          <w:lang w:val="es-ES"/>
        </w:rPr>
        <w:t xml:space="preserve"> </w:t>
      </w:r>
      <w:r>
        <w:rPr>
          <w:lang w:val="es-ES"/>
        </w:rPr>
        <w:t xml:space="preserve">utiliza su incorporación como evidencia causal de superioridad frente a la tasa constante de las</w:t>
      </w:r>
      <w:r>
        <w:rPr>
          <w:lang w:val="es-ES"/>
        </w:rPr>
        <w:t xml:space="preserve"> </w:t>
      </w:r>
      <w:r>
        <w:rPr>
          <w:lang w:val="es-ES"/>
        </w:rPr>
        <w:t xml:space="preserve">exploraciones preliminares.</w:t>
      </w:r>
    </w:p>
    <w:bookmarkEnd w:id="40"/>
    <w:bookmarkStart w:id="43" w:name="X2a0fa5c585bb6ada978b5f929d9f6828030d60a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4.4.2. Bucle de entrenamiento y selección de puntos de control</w:t>
      </w:r>
    </w:p>
    <w:p>
      <w:pPr>
        <w:rPr>
          <w:lang w:val="es-ES"/>
        </w:rPr>
      </w:pPr>
      <w:r>
        <w:rPr>
          <w:rStyle w:val="VerbatimChar"/>
          <w:lang w:val="es-ES"/>
        </w:rPr>
        <w:t xml:space="preserve">train_one_run</w:t>
      </w:r>
      <w:r>
        <w:rPr>
          <w:lang w:val="es-ES"/>
        </w:rPr>
        <w:t xml:space="preserve"> </w:t>
      </w:r>
      <w:r>
        <w:rPr>
          <w:lang w:val="es-ES"/>
        </w:rPr>
        <w:t xml:space="preserve">gestiona la carga de lotes, el cálculo de la pérdida, la retropropagación, el paso de</w:t>
      </w:r>
      <w:r>
        <w:rPr>
          <w:lang w:val="es-ES"/>
        </w:rPr>
        <w:t xml:space="preserve"> </w:t>
      </w:r>
      <w:r>
        <w:rPr>
          <w:lang w:val="es-ES"/>
        </w:rPr>
        <w:t xml:space="preserve">AdamW, el planificador y la validación periódica. En CUDA usa autocast y escalado de gradiente; en</w:t>
      </w:r>
      <w:r>
        <w:rPr>
          <w:lang w:val="es-ES"/>
        </w:rPr>
        <w:t xml:space="preserve"> </w:t>
      </w:r>
      <w:r>
        <w:rPr>
          <w:lang w:val="es-ES"/>
        </w:rPr>
        <w:t xml:space="preserve">MPS ambas funciones permanecen desactivadas. El entrenamiento se limita por número de pasos, aunque</w:t>
      </w:r>
      <w:r>
        <w:rPr>
          <w:lang w:val="es-ES"/>
        </w:rPr>
        <w:t xml:space="preserve"> </w:t>
      </w:r>
      <w:r>
        <w:rPr>
          <w:lang w:val="es-ES"/>
        </w:rPr>
        <w:t xml:space="preserve">el registro conserva también la época alcanzada.</w:t>
      </w:r>
    </w:p>
    <w:p>
      <w:pPr>
        <w:rPr>
          <w:lang w:val="es-ES"/>
        </w:rPr>
      </w:pPr>
      <w:r>
        <w:rPr>
          <w:lang w:val="es-ES"/>
        </w:rPr>
        <w:t xml:space="preserve">Al final de cada época —y al alcanzar el límite de pasos— se calcula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mean_dice</w:t>
      </w:r>
      <w:r>
        <w:rPr>
          <w:lang w:val="es-ES"/>
        </w:rPr>
        <w:t xml:space="preserve">, la media de Dice</w:t>
      </w:r>
      <w:r>
        <w:rPr>
          <w:lang w:val="es-ES"/>
        </w:rPr>
        <w:t xml:space="preserve"> </w:t>
      </w:r>
      <w:r>
        <w:rPr>
          <w:lang w:val="es-ES"/>
        </w:rPr>
        <w:t xml:space="preserve">de ET, TC y WT. Para reducir el coste, esta validación usa un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subconjunto fijo de ocho lotes</w:t>
      </w:r>
      <w:r>
        <w:rPr>
          <w:lang w:val="es-ES"/>
        </w:rPr>
        <w:t xml:space="preserve"> </w:t>
      </w:r>
      <w:r>
        <w:rPr>
          <w:lang w:val="es-ES"/>
        </w:rPr>
        <w:t xml:space="preserve">del</w:t>
      </w:r>
      <w:r>
        <w:rPr>
          <w:lang w:val="es-ES"/>
        </w:rPr>
        <w:t xml:space="preserve"> </w:t>
      </w:r>
      <w:r>
        <w:rPr>
          <w:lang w:val="es-ES"/>
        </w:rPr>
        <w:t xml:space="preserve">inicio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val.csv</w:t>
      </w:r>
      <w:r>
        <w:rPr>
          <w:lang w:val="es-ES"/>
        </w:rPr>
        <w:t xml:space="preserve">; como el cargador de validación tiene tamaño de lote uno y no baraja, equivale a</w:t>
      </w:r>
      <w:r>
        <w:rPr>
          <w:lang w:val="es-ES"/>
        </w:rPr>
        <w:t xml:space="preserve"> </w:t>
      </w:r>
      <w:r>
        <w:rPr>
          <w:lang w:val="es-ES"/>
        </w:rPr>
        <w:t xml:space="preserve">ocho estudios. Esta métrica selecciona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best.pt</w:t>
      </w:r>
      <w:r>
        <w:rPr>
          <w:lang w:val="es-ES"/>
        </w:rPr>
        <w:t xml:space="preserve">, mientras que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last.pt</w:t>
      </w:r>
      <w:r>
        <w:rPr>
          <w:lang w:val="es-ES"/>
        </w:rPr>
        <w:t xml:space="preserve"> </w:t>
      </w:r>
      <w:r>
        <w:rPr>
          <w:lang w:val="es-ES"/>
        </w:rPr>
        <w:t xml:space="preserve">conserva el estado más</w:t>
      </w:r>
      <w:r>
        <w:rPr>
          <w:lang w:val="es-ES"/>
        </w:rPr>
        <w:t xml:space="preserve"> </w:t>
      </w:r>
      <w:r>
        <w:rPr>
          <w:lang w:val="es-ES"/>
        </w:rPr>
        <w:t xml:space="preserve">reciente. La elección del mejor punto de control se basa, por tanto, en ese subconjunto y no en los</w:t>
      </w:r>
      <w:r>
        <w:rPr>
          <w:lang w:val="es-ES"/>
        </w:rPr>
        <w:t xml:space="preserve"> </w:t>
      </w:r>
      <w:r>
        <w:rPr>
          <w:lang w:val="es-ES"/>
        </w:rPr>
        <w:t xml:space="preserve">243 estudios completos de validación, limitación considerada en el Capítulo 6.</w:t>
      </w:r>
    </w:p>
    <w:p>
      <w:pPr>
        <w:rPr>
          <w:lang w:val="es-ES"/>
        </w:rPr>
      </w:pPr>
      <w:r>
        <w:rPr>
          <w:lang w:val="es-ES"/>
        </w:rPr>
        <w:t xml:space="preserve">Cada punto de control guarda el estado del modelo y del optimizador, las configuraciones, la época,</w:t>
      </w:r>
      <w:r>
        <w:rPr>
          <w:lang w:val="es-ES"/>
        </w:rPr>
        <w:t xml:space="preserve"> </w:t>
      </w:r>
      <w:r>
        <w:rPr>
          <w:lang w:val="es-ES"/>
        </w:rPr>
        <w:t xml:space="preserve">el paso global y la mejor métrica observada.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best.pt</w:t>
      </w:r>
      <w:r>
        <w:rPr>
          <w:lang w:val="es-ES"/>
        </w:rPr>
        <w:t xml:space="preserve"> </w:t>
      </w:r>
      <w:r>
        <w:rPr>
          <w:lang w:val="es-ES"/>
        </w:rPr>
        <w:t xml:space="preserve">es el artefacto utilizado posteriormente por</w:t>
      </w:r>
      <w:r>
        <w:rPr>
          <w:lang w:val="es-ES"/>
        </w:rPr>
        <w:t xml:space="preserve"> </w:t>
      </w:r>
      <w:r>
        <w:rPr>
          <w:lang w:val="es-ES"/>
        </w:rPr>
        <w:t xml:space="preserve">el subcomando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predict</w:t>
      </w:r>
      <w:r>
        <w:rPr>
          <w:lang w:val="es-ES"/>
        </w:rPr>
        <w:t xml:space="preserve">.</w:t>
      </w:r>
    </w:p>
    <w:bookmarkEnd w:id="41"/>
    <w:bookmarkStart w:id="44" w:name="Xaecb9a9add0ec443da9678302f483ba2a908249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4.4.3. Diseño de las comparaciones y reproducibilidad</w:t>
      </w:r>
    </w:p>
    <w:p>
      <w:pPr>
        <w:rPr>
          <w:lang w:val="es-ES"/>
        </w:rPr>
      </w:pPr>
      <w:r>
        <w:rPr>
          <w:lang w:val="es-ES"/>
        </w:rPr>
        <w:t xml:space="preserve">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ablación de fusión</w:t>
      </w:r>
      <w:r>
        <w:rPr>
          <w:lang w:val="es-ES"/>
        </w:rPr>
        <w:t xml:space="preserve"> </w:t>
      </w:r>
      <w:r>
        <w:rPr>
          <w:lang w:val="es-ES"/>
        </w:rPr>
        <w:t xml:space="preserve">constituye la comparación controlada del trabajo. Sus cuatro</w:t>
      </w:r>
      <w:r>
        <w:rPr>
          <w:lang w:val="es-ES"/>
        </w:rPr>
        <w:t xml:space="preserve"> </w:t>
      </w:r>
      <w:r>
        <w:rPr>
          <w:lang w:val="es-ES"/>
        </w:rPr>
        <w:t xml:space="preserve">configuraciones comparten la Residual U-Net, los estudios y particiones, las transformaciones, la</w:t>
      </w:r>
      <w:r>
        <w:rPr>
          <w:lang w:val="es-ES"/>
        </w:rPr>
        <w:t xml:space="preserve"> </w:t>
      </w:r>
      <w:r>
        <w:rPr>
          <w:lang w:val="es-ES"/>
        </w:rPr>
        <w:t xml:space="preserve">pérdida, el optimizador, el presupuesto, el entorno MPS y el protocolo de inferencia. Cada una se</w:t>
      </w:r>
      <w:r>
        <w:rPr>
          <w:lang w:val="es-ES"/>
        </w:rPr>
        <w:t xml:space="preserve"> </w:t>
      </w:r>
      <w:r>
        <w:rPr>
          <w:lang w:val="es-ES"/>
        </w:rPr>
        <w:t xml:space="preserve">entrenó con las tres semillas y sin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ensembling</w:t>
      </w:r>
      <w:r>
        <w:rPr>
          <w:lang w:val="es-ES"/>
        </w:rPr>
        <w:t xml:space="preserve">. Así, las diferencias observadas dentro de esta</w:t>
      </w:r>
      <w:r>
        <w:rPr>
          <w:lang w:val="es-ES"/>
        </w:rPr>
        <w:t xml:space="preserve"> </w:t>
      </w:r>
      <w:r>
        <w:rPr>
          <w:lang w:val="es-ES"/>
        </w:rPr>
        <w:t xml:space="preserve">ablación pueden asociarse al cambio deliberado del bloque de fusión, dentro de la variabilidad</w:t>
      </w:r>
      <w:r>
        <w:rPr>
          <w:lang w:val="es-ES"/>
        </w:rPr>
        <w:t xml:space="preserve"> </w:t>
      </w:r>
      <w:r>
        <w:rPr>
          <w:lang w:val="es-ES"/>
        </w:rPr>
        <w:t xml:space="preserve">estocástica medida.</w:t>
      </w:r>
    </w:p>
    <w:p>
      <w:pPr>
        <w:rPr>
          <w:lang w:val="es-ES"/>
        </w:rPr>
      </w:pPr>
      <w:r>
        <w:rPr>
          <w:lang w:val="es-ES"/>
        </w:rPr>
        <w:t xml:space="preserve">Attention U-Net y Swin-UNETR compartieron entre sí el protocolo MONAI A100, incluidas AMP y tres</w:t>
      </w:r>
      <w:r>
        <w:rPr>
          <w:lang w:val="es-ES"/>
        </w:rPr>
        <w:t xml:space="preserve"> </w:t>
      </w:r>
      <w:r>
        <w:rPr>
          <w:lang w:val="es-ES"/>
        </w:rPr>
        <w:t xml:space="preserve">semillas. En cambio, la comparación de estas arquitecturas con las residuales no es causal: además</w:t>
      </w:r>
      <w:r>
        <w:rPr>
          <w:lang w:val="es-ES"/>
        </w:rPr>
        <w:t xml:space="preserve"> </w:t>
      </w:r>
      <w:r>
        <w:rPr>
          <w:lang w:val="es-ES"/>
        </w:rPr>
        <w:t xml:space="preserve">de la arquitectura cambian el dispositivo y el solapamiento de inferencia. nnU-Net se separa aún más</w:t>
      </w:r>
      <w:r>
        <w:rPr>
          <w:lang w:val="es-ES"/>
        </w:rPr>
        <w:t xml:space="preserve"> </w:t>
      </w:r>
      <w:r>
        <w:rPr>
          <w:lang w:val="es-ES"/>
        </w:rPr>
        <w:t xml:space="preserve">de este protocolo, pues utiliza su propio preprocesamiento y entrenamiento y solo una ejecución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</w:t>
      </w:r>
      <w:r>
        <w:rPr>
          <w:lang w:val="es-ES"/>
        </w:rPr>
        <w:t xml:space="preserve"> </w:t>
      </w:r>
      <w:r>
        <w:rPr>
          <w:lang w:val="es-ES"/>
        </w:rPr>
        <w:t xml:space="preserve">0.</w:t>
      </w:r>
    </w:p>
    <w:p>
      <w:pPr>
        <w:rPr>
          <w:lang w:val="es-ES"/>
        </w:rPr>
      </w:pPr>
      <w:r>
        <w:rPr>
          <w:lang w:val="es-ES"/>
        </w:rPr>
        <w:t xml:space="preserve">La reproducibilidad práctica se apoya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set_reproducibility</w:t>
      </w:r>
      <w:r>
        <w:rPr>
          <w:lang w:val="es-ES"/>
        </w:rPr>
        <w:t xml:space="preserve">, que propaga cada semilla a Python,</w:t>
      </w:r>
      <w:r>
        <w:rPr>
          <w:lang w:val="es-ES"/>
        </w:rPr>
        <w:t xml:space="preserve"> </w:t>
      </w:r>
      <w:r>
        <w:rPr>
          <w:lang w:val="es-ES"/>
        </w:rPr>
        <w:t xml:space="preserve">NumPy, PyTorch y MONAI, y en la conservación de particiones, YAML, comandos, métricas y puntos de</w:t>
      </w:r>
      <w:r>
        <w:rPr>
          <w:lang w:val="es-ES"/>
        </w:rPr>
        <w:t xml:space="preserve"> </w:t>
      </w:r>
      <w:r>
        <w:rPr>
          <w:lang w:val="es-ES"/>
        </w:rPr>
        <w:t xml:space="preserve">control disponibles. Las tres semillas permiten describir la dispersión de los modelos MONAI, pero</w:t>
      </w:r>
      <w:r>
        <w:rPr>
          <w:lang w:val="es-ES"/>
        </w:rPr>
        <w:t xml:space="preserve"> </w:t>
      </w:r>
      <w:r>
        <w:rPr>
          <w:lang w:val="es-ES"/>
        </w:rPr>
        <w:t xml:space="preserve">no sustituyen un contraste inferencial con un número mayor de repeticiones.</w:t>
      </w:r>
    </w:p>
    <w:bookmarkEnd w:id="42"/>
    <w:bookmarkStart w:id="45" w:name="X2aa9dffcadbce6c277798436e573a9e5d7ae423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4.4.4. Estudio de ablación de estrategias de fusión</w:t>
      </w:r>
    </w:p>
    <w:p>
      <w:pPr>
        <w:rPr>
          <w:lang w:val="es-ES"/>
        </w:rPr>
      </w:pPr>
      <w:r>
        <w:rPr>
          <w:lang w:val="es-ES"/>
        </w:rPr>
        <w:t xml:space="preserve">La ablación compara concatenación, ponderación global, compuerta por media y compuerta por</w:t>
      </w:r>
      <w:r>
        <w:rPr>
          <w:lang w:val="es-ES"/>
        </w:rPr>
        <w:t xml:space="preserve"> </w:t>
      </w:r>
      <w:r>
        <w:rPr>
          <w:lang w:val="es-ES"/>
        </w:rPr>
        <w:t xml:space="preserve">media+desviación sobre la misma Residual U-Net. Además de Dice y HD95, se conservaron los pesos de</w:t>
      </w:r>
      <w:r>
        <w:rPr>
          <w:lang w:val="es-ES"/>
        </w:rPr>
        <w:t xml:space="preserve"> </w:t>
      </w:r>
      <w:r>
        <w:rPr>
          <w:lang w:val="es-ES"/>
        </w:rPr>
        <w:t xml:space="preserve">la variante global y se diagnosticaron las compuertas finales sobre 40 estudios de validación. Este</w:t>
      </w:r>
      <w:r>
        <w:rPr>
          <w:lang w:val="es-ES"/>
        </w:rPr>
        <w:t xml:space="preserve"> </w:t>
      </w:r>
      <w:r>
        <w:rPr>
          <w:lang w:val="es-ES"/>
        </w:rPr>
        <w:t xml:space="preserve">análisis cuantifica la variación de los pesos entre entradas, su entropía y la posible concentración</w:t>
      </w:r>
      <w:r>
        <w:rPr>
          <w:lang w:val="es-ES"/>
        </w:rPr>
        <w:t xml:space="preserve"> </w:t>
      </w:r>
      <w:r>
        <w:rPr>
          <w:lang w:val="es-ES"/>
        </w:rPr>
        <w:t xml:space="preserve">en una modalidad, sin convertir esas observaciones en una explicación causal del rendimiento. Los</w:t>
      </w:r>
      <w:r>
        <w:rPr>
          <w:lang w:val="es-ES"/>
        </w:rPr>
        <w:t xml:space="preserve"> </w:t>
      </w:r>
      <w:r>
        <w:rPr>
          <w:lang w:val="es-ES"/>
        </w:rPr>
        <w:t xml:space="preserve">resultados se presentan en el Capítulo 5.</w:t>
      </w:r>
    </w:p>
    <w:bookmarkEnd w:id="43"/>
    <w:bookmarkStart w:id="46" w:name="nnu-net-como-referencia-externa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4.4.5. nnU-Net como referencia externa</w:t>
      </w:r>
    </w:p>
    <w:p>
      <w:pPr>
        <w:rPr>
          <w:lang w:val="es-ES"/>
        </w:rPr>
      </w:pPr>
      <w:r>
        <w:rPr>
          <w:lang w:val="es-ES"/>
        </w:rPr>
        <w:t xml:space="preserve">nnU-Net se ejecutó fuera de la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factory</w:t>
      </w:r>
      <w:r>
        <w:rPr>
          <w:lang w:val="es-ES"/>
        </w:rPr>
        <w:t xml:space="preserve"> </w:t>
      </w:r>
      <w:r>
        <w:rPr>
          <w:lang w:val="es-ES"/>
        </w:rPr>
        <w:t xml:space="preserve">MONAI. El script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scripts/nnunet/prepare_brats_gli_nnunet_full.py</w:t>
      </w:r>
      <w:r>
        <w:rPr>
          <w:lang w:val="es-ES"/>
        </w:rPr>
        <w:t xml:space="preserve"> </w:t>
      </w:r>
      <w:r>
        <w:rPr>
          <w:lang w:val="es-ES"/>
        </w:rPr>
        <w:t xml:space="preserve">convirtió las particiones al formato nativo de</w:t>
      </w:r>
      <w:r>
        <w:rPr>
          <w:lang w:val="es-ES"/>
        </w:rPr>
        <w:t xml:space="preserve"> </w:t>
      </w:r>
      <w:r>
        <w:rPr>
          <w:lang w:val="es-ES"/>
        </w:rPr>
        <w:t xml:space="preserve">nnU-Net v2 mediante un NIfTI por modalidad y estudio, con nombres de canal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_0000</w:t>
      </w:r>
      <w:r>
        <w:rPr>
          <w:lang w:val="es-ES"/>
        </w:rPr>
        <w:t xml:space="preserve"> </w:t>
      </w:r>
      <w:r>
        <w:rPr>
          <w:lang w:val="es-ES"/>
        </w:rPr>
        <w:t xml:space="preserve">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_0003</w:t>
      </w:r>
      <w:r>
        <w:rPr>
          <w:lang w:val="es-ES"/>
        </w:rPr>
        <w:t xml:space="preserve">, y</w:t>
      </w:r>
      <w:r>
        <w:rPr>
          <w:lang w:val="es-ES"/>
        </w:rPr>
        <w:t xml:space="preserve"> </w:t>
      </w:r>
      <w:r>
        <w:rPr>
          <w:lang w:val="es-ES"/>
        </w:rPr>
        <w:t xml:space="preserve">conservó las etiquetas 0–4. En el entorno A100 se usó el conjunto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Dataset725_BraTSGLI2024</w:t>
      </w:r>
      <w:r>
        <w:rPr>
          <w:lang w:val="es-ES"/>
        </w:rPr>
        <w:t xml:space="preserve">, se</w:t>
      </w:r>
      <w:r>
        <w:rPr>
          <w:lang w:val="es-ES"/>
        </w:rPr>
        <w:t xml:space="preserve"> </w:t>
      </w:r>
      <w:r>
        <w:rPr>
          <w:lang w:val="es-ES"/>
        </w:rPr>
        <w:t xml:space="preserve">ejecutaron la planificación y el preprocesamiento propios de nnU-Net y se entrenó la configuración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3d_fullres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</w:t>
      </w:r>
      <w:r>
        <w:rPr>
          <w:lang w:val="es-ES"/>
        </w:rPr>
        <w:t xml:space="preserve"> </w:t>
      </w:r>
      <w:r>
        <w:rPr>
          <w:lang w:val="es-ES"/>
        </w:rPr>
        <w:t xml:space="preserve">0,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nnUNetTrainer_250epochs</w:t>
      </w:r>
      <w:r>
        <w:rPr>
          <w:lang w:val="es-ES"/>
        </w:rPr>
        <w:t xml:space="preserve">.</w:t>
      </w:r>
    </w:p>
    <w:p>
      <w:pPr>
        <w:rPr>
          <w:lang w:val="es-ES"/>
        </w:rPr>
      </w:pPr>
      <w:r>
        <w:rPr>
          <w:lang w:val="es-ES"/>
        </w:rPr>
        <w:t xml:space="preserve">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</w:t>
      </w:r>
      <w:r>
        <w:rPr>
          <w:lang w:val="es-ES"/>
        </w:rPr>
        <w:t xml:space="preserve"> </w:t>
      </w:r>
      <w:r>
        <w:rPr>
          <w:lang w:val="es-ES"/>
        </w:rPr>
        <w:t xml:space="preserve">interno dividió los 1.135 estudios del conjunto de entrenamiento externo en 908 para</w:t>
      </w:r>
      <w:r>
        <w:rPr>
          <w:lang w:val="es-ES"/>
        </w:rPr>
        <w:t xml:space="preserve"> </w:t>
      </w:r>
      <w:r>
        <w:rPr>
          <w:lang w:val="es-ES"/>
        </w:rPr>
        <w:t xml:space="preserve">ajuste y 227 para validación. Tras seleccionar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checkpoint_best.pth</w:t>
      </w:r>
      <w:r>
        <w:rPr>
          <w:lang w:val="es-ES"/>
        </w:rPr>
        <w:t xml:space="preserve">, se regeneró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imagesTs</w:t>
      </w:r>
      <w:r>
        <w:rPr>
          <w:lang w:val="es-ES"/>
        </w:rPr>
        <w:t xml:space="preserve"> </w:t>
      </w:r>
      <w:r>
        <w:rPr>
          <w:lang w:val="es-ES"/>
        </w:rPr>
        <w:t xml:space="preserve">con los</w:t>
      </w:r>
      <w:r>
        <w:rPr>
          <w:lang w:val="es-ES"/>
        </w:rPr>
        <w:t xml:space="preserve"> </w:t>
      </w:r>
      <w:r>
        <w:rPr>
          <w:lang w:val="es-ES"/>
        </w:rPr>
        <w:t xml:space="preserve">243 estudios del test externo y se realizó la predicción con la CLI nativa. Solo se efectuó una</w:t>
      </w:r>
      <w:r>
        <w:rPr>
          <w:lang w:val="es-ES"/>
        </w:rPr>
        <w:t xml:space="preserve"> </w:t>
      </w:r>
      <w:r>
        <w:rPr>
          <w:lang w:val="es-ES"/>
        </w:rPr>
        <w:t xml:space="preserve">corrida, sin conjunto de cinco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folds</w:t>
      </w:r>
      <w:r>
        <w:rPr>
          <w:lang w:val="es-ES"/>
        </w:rPr>
        <w:t xml:space="preserve"> </w:t>
      </w:r>
      <w:r>
        <w:rPr>
          <w:lang w:val="es-ES"/>
        </w:rPr>
        <w:t xml:space="preserve">ni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ensemble</w:t>
      </w:r>
      <w:r>
        <w:rPr>
          <w:lang w:val="es-ES"/>
        </w:rPr>
        <w:t xml:space="preserve">. Sus predicciones se evaluaron con el mismo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metrics.py</w:t>
      </w:r>
      <w:r>
        <w:rPr>
          <w:lang w:val="es-ES"/>
        </w:rPr>
        <w:t xml:space="preserve"> </w:t>
      </w:r>
      <w:r>
        <w:rPr>
          <w:lang w:val="es-ES"/>
        </w:rPr>
        <w:t xml:space="preserve">que los modelos MONAI para obtener Dice y HD95 comparables, pero su resultado se trata</w:t>
      </w:r>
      <w:r>
        <w:rPr>
          <w:lang w:val="es-ES"/>
        </w:rPr>
        <w:t xml:space="preserve"> </w:t>
      </w:r>
      <w:r>
        <w:rPr>
          <w:lang w:val="es-ES"/>
        </w:rPr>
        <w:t xml:space="preserve">como referencia contextual por las diferencias de datos efectivos de ajuste, preprocesamiento,</w:t>
      </w:r>
      <w:r>
        <w:rPr>
          <w:lang w:val="es-ES"/>
        </w:rPr>
        <w:t xml:space="preserve"> </w:t>
      </w:r>
      <w:r>
        <w:rPr>
          <w:lang w:val="es-ES"/>
        </w:rPr>
        <w:t xml:space="preserve">pérdida, optimizador y presupuesto.</w:t>
      </w:r>
    </w:p>
    <w:bookmarkEnd w:id="44"/>
    <w:bookmarkEnd w:id="45"/>
    <w:bookmarkStart w:id="47" w:name="Xca20db0b90b5be915372b9e72c569df8846225c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4.5. Evaluación y análisis de resultados (Fase 5)</w:t>
      </w:r>
    </w:p>
    <w:bookmarkStart w:id="48" w:name="inferencia-y-exportación-de-predicciones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4.5.1. Inferencia y exportación de predicciones</w:t>
      </w:r>
    </w:p>
    <w:p>
      <w:pPr>
        <w:rPr>
          <w:lang w:val="es-ES"/>
        </w:rPr>
      </w:pPr>
      <w:r>
        <w:rPr>
          <w:lang w:val="es-ES"/>
        </w:rPr>
        <w:t xml:space="preserve">Los modelos MONAI se infieren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sliding_window_inference</w:t>
      </w:r>
      <w:r>
        <w:rPr>
          <w:lang w:val="es-ES"/>
        </w:rPr>
        <w:t xml:space="preserve"> </w:t>
      </w:r>
      <w:r>
        <w:rPr>
          <w:lang w:val="es-ES"/>
        </w:rPr>
        <w:t xml:space="preserve">sobre ventanas 128³. Las variantes</w:t>
      </w:r>
      <w:r>
        <w:rPr>
          <w:lang w:val="es-ES"/>
        </w:rPr>
        <w:t xml:space="preserve"> </w:t>
      </w:r>
      <w:r>
        <w:rPr>
          <w:lang w:val="es-ES"/>
        </w:rPr>
        <w:t xml:space="preserve">residuales ejecutadas en MPS usan solapamiento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0,25</w:t>
      </w:r>
      <w:r>
        <w:rPr>
          <w:lang w:val="es-ES"/>
        </w:rPr>
        <w:t xml:space="preserve"> </w:t>
      </w:r>
      <w:r>
        <w:rPr>
          <w:lang w:val="es-ES"/>
        </w:rPr>
        <w:t xml:space="preserve">y tamaño de lote de ventana 1; Attention</w:t>
      </w:r>
      <w:r>
        <w:rPr>
          <w:lang w:val="es-ES"/>
        </w:rPr>
        <w:t xml:space="preserve"> </w:t>
      </w:r>
      <w:r>
        <w:rPr>
          <w:lang w:val="es-ES"/>
        </w:rPr>
        <w:t xml:space="preserve">U-Net y Swin-UNETR, ejecutados en A100, usan solapamiento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0,50</w:t>
      </w:r>
      <w:r>
        <w:rPr>
          <w:lang w:val="es-ES"/>
        </w:rPr>
        <w:t xml:space="preserve"> </w:t>
      </w:r>
      <w:r>
        <w:rPr>
          <w:lang w:val="es-ES"/>
        </w:rPr>
        <w:t xml:space="preserve">y tamaño de lote de ventana 2. El</w:t>
      </w:r>
      <w:r>
        <w:rPr>
          <w:lang w:val="es-ES"/>
        </w:rPr>
        <w:t xml:space="preserve"> </w:t>
      </w:r>
      <w:r>
        <w:rPr>
          <w:lang w:val="es-ES"/>
        </w:rPr>
        <w:t xml:space="preserve">código no especifica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mode</w:t>
      </w:r>
      <w:r>
        <w:rPr>
          <w:lang w:val="es-ES"/>
        </w:rPr>
        <w:t xml:space="preserve">, por lo que MONAI emplea su mezcla constante predeterminada, no mezcla</w:t>
      </w:r>
      <w:r>
        <w:rPr>
          <w:lang w:val="es-ES"/>
        </w:rPr>
        <w:t xml:space="preserve"> </w:t>
      </w:r>
      <w:r>
        <w:rPr>
          <w:lang w:val="es-ES"/>
        </w:rPr>
        <w:t xml:space="preserve">gaussiana. nnU-Net utiliza su procedimiento de inferencia propio.</w:t>
      </w:r>
    </w:p>
    <w:p>
      <w:pPr>
        <w:rPr>
          <w:lang w:val="es-ES"/>
        </w:rPr>
      </w:pPr>
      <w:r>
        <w:rPr>
          <w:lang w:val="es-ES"/>
        </w:rPr>
        <w:t xml:space="preserve">El subcomando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predict</w:t>
      </w:r>
      <w:r>
        <w:rPr>
          <w:lang w:val="es-ES"/>
        </w:rPr>
        <w:t xml:space="preserve"> </w:t>
      </w:r>
      <w:r>
        <w:rPr>
          <w:lang w:val="es-ES"/>
        </w:rPr>
        <w:t xml:space="preserve">reconstruye el modelo MONAI desde su YAML, carga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best.pt</w:t>
      </w:r>
      <w:r>
        <w:rPr>
          <w:lang w:val="es-ES"/>
        </w:rPr>
        <w:t xml:space="preserve">, aplica sigmoide</w:t>
      </w:r>
      <w:r>
        <w:rPr>
          <w:lang w:val="es-ES"/>
        </w:rPr>
        <w:t xml:space="preserve"> </w:t>
      </w:r>
      <w:r>
        <w:rPr>
          <w:lang w:val="es-ES"/>
        </w:rPr>
        <w:t xml:space="preserve">y umbral 0,5, fuerza el anidamiento ET ⊂ TC ⊂ WT y guarda un NIfTI por estudio. El subcomando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evaluate</w:t>
      </w:r>
      <w:r>
        <w:rPr>
          <w:lang w:val="es-ES"/>
        </w:rPr>
        <w:t xml:space="preserve"> </w:t>
      </w:r>
      <w:r>
        <w:rPr>
          <w:lang w:val="es-ES"/>
        </w:rPr>
        <w:t xml:space="preserve">es posterior e independiente: lee esos NIfTI y las máscaras de referencia y calcula las</w:t>
      </w:r>
      <w:r>
        <w:rPr>
          <w:lang w:val="es-ES"/>
        </w:rPr>
        <w:t xml:space="preserve"> </w:t>
      </w:r>
      <w:r>
        <w:rPr>
          <w:lang w:val="es-ES"/>
        </w:rPr>
        <w:t xml:space="preserve">métricas. Esta separación permite repetir el cálculo sin volver a ejecutar la red.</w:t>
      </w:r>
    </w:p>
    <w:bookmarkEnd w:id="46"/>
    <w:bookmarkStart w:id="49" w:name="métricas-de-evaluación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4.5.2. Métricas de evaluación</w:t>
      </w:r>
    </w:p>
    <w:p>
      <w:pPr>
        <w:rPr>
          <w:lang w:val="es-ES"/>
        </w:rPr>
      </w:pPr>
      <w:r>
        <w:rPr>
          <w:lang w:val="es-ES"/>
        </w:rPr>
        <w:t xml:space="preserve">El rendimiento se cuantifica con Dice y HD95 por región mediante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tfm_brats/metrics.py</w:t>
      </w:r>
      <w:r>
        <w:rPr>
          <w:lang w:val="es-ES"/>
        </w:rPr>
        <w:t xml:space="preserve">:</w:t>
      </w:r>
    </w:p>
    <w:p>
      <w:pPr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 xml:space="preserve">Dice</w:t>
      </w:r>
      <w:r>
        <w:rPr>
          <w:lang w:val="es-ES"/>
        </w:rPr>
        <w:t xml:space="preserve"> </w:t>
      </w:r>
      <w:r>
        <w:rPr>
          <w:lang w:val="es-ES"/>
        </w:rPr>
        <w:t xml:space="preserve">mide el solapamiento. Se asigna Dice = 1 cuando predicción y referencia están ambas</w:t>
      </w:r>
      <w:r>
        <w:rPr>
          <w:lang w:val="es-ES"/>
        </w:rPr>
        <w:t xml:space="preserve"> </w:t>
      </w:r>
      <w:r>
        <w:rPr>
          <w:lang w:val="es-ES"/>
        </w:rPr>
        <w:t xml:space="preserve">vacías, y Dice = 0 cuando solo una de ellas lo está.</w:t>
      </w:r>
    </w:p>
    <w:p>
      <w:pPr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 xml:space="preserve">HD95</w:t>
      </w:r>
      <w:r>
        <w:rPr>
          <w:lang w:val="es-ES"/>
        </w:rPr>
        <w:t xml:space="preserve"> </w:t>
      </w:r>
      <w:r>
        <w:rPr>
          <w:lang w:val="es-ES"/>
        </w:rPr>
        <w:t xml:space="preserve">calcula el percentil 95 de las distancias simétricas entre superficies usando el espaciado</w:t>
      </w:r>
      <w:r>
        <w:rPr>
          <w:lang w:val="es-ES"/>
        </w:rPr>
        <w:t xml:space="preserve"> </w:t>
      </w:r>
      <w:r>
        <w:rPr>
          <w:lang w:val="es-ES"/>
        </w:rPr>
        <w:t xml:space="preserve">real del NIfTI. Si ambas máscaras están vacías se asigna HD95 = 0; si exactamente una está vacía,</w:t>
      </w:r>
      <w:r>
        <w:rPr>
          <w:lang w:val="es-ES"/>
        </w:rPr>
        <w:t xml:space="preserve"> </w:t>
      </w:r>
      <w:r>
        <w:rPr>
          <w:lang w:val="es-ES"/>
        </w:rPr>
        <w:t xml:space="preserve">el resultado es infinito.</w:t>
      </w:r>
    </w:p>
    <w:p>
      <w:pPr>
        <w:rPr>
          <w:lang w:val="es-ES"/>
        </w:rPr>
      </w:pPr>
      <w:r>
        <w:rPr>
          <w:lang w:val="es-ES"/>
        </w:rPr>
        <w:t xml:space="preserve">Los resúmenes de HD95 conservan los ceros de los casos doblemente vacíos y excluyen los infinitos</w:t>
      </w:r>
      <w:r>
        <w:rPr>
          <w:lang w:val="es-ES"/>
        </w:rPr>
        <w:t xml:space="preserve"> </w:t>
      </w:r>
      <w:r>
        <w:rPr>
          <w:lang w:val="es-ES"/>
        </w:rPr>
        <w:t xml:space="preserve">del promedio. Por ello, el Capítulo 5 presenta cada media junto al número de estudios con valor</w:t>
      </w:r>
      <w:r>
        <w:rPr>
          <w:lang w:val="es-ES"/>
        </w:rPr>
        <w:t xml:space="preserve"> </w:t>
      </w:r>
      <w:r>
        <w:rPr>
          <w:lang w:val="es-ES"/>
        </w:rPr>
        <w:t xml:space="preserve">finito. Las métricas son internas y por región; no reproducen el protocolo oculto ni las métricas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lesion-wise</w:t>
      </w:r>
      <w:r>
        <w:rPr>
          <w:lang w:val="es-ES"/>
        </w:rPr>
        <w:t xml:space="preserve"> </w:t>
      </w:r>
      <w:r>
        <w:rPr>
          <w:lang w:val="es-ES"/>
        </w:rPr>
        <w:t xml:space="preserve">del reto oficial.</w:t>
      </w:r>
    </w:p>
    <w:bookmarkEnd w:id="47"/>
    <w:bookmarkStart w:id="50" w:name="análisis-de-sensibilidad-por-sujeto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4.5.3. Análisis de sensibilidad por sujeto</w:t>
      </w:r>
    </w:p>
    <w:p>
      <w:pPr>
        <w:rPr>
          <w:lang w:val="es-ES"/>
        </w:rPr>
      </w:pPr>
      <w:r>
        <w:rPr>
          <w:lang w:val="es-ES"/>
        </w:rPr>
        <w:t xml:space="preserve">Tras identificar que la partición estaba definida por estudio, se realizó una comprobación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post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hoc</w:t>
      </w:r>
      <w:r>
        <w:rPr>
          <w:lang w:val="es-ES"/>
        </w:rPr>
        <w:t xml:space="preserve"> </w:t>
      </w:r>
      <w:r>
        <w:rPr>
          <w:lang w:val="es-ES"/>
        </w:rPr>
        <w:t xml:space="preserve">sobre los 38 estudios de test pertenecientes a 29 sujetos sin presencia en entrenamiento ni</w:t>
      </w:r>
      <w:r>
        <w:rPr>
          <w:lang w:val="es-ES"/>
        </w:rPr>
        <w:t xml:space="preserve"> </w:t>
      </w:r>
      <w:r>
        <w:rPr>
          <w:lang w:val="es-ES"/>
        </w:rPr>
        <w:t xml:space="preserve">validación. Se reutilizaron las predicciones finales y se recalcularon los agregados de las cuatro</w:t>
      </w:r>
      <w:r>
        <w:rPr>
          <w:lang w:val="es-ES"/>
        </w:rPr>
        <w:t xml:space="preserve"> </w:t>
      </w:r>
      <w:r>
        <w:rPr>
          <w:lang w:val="es-ES"/>
        </w:rPr>
        <w:t xml:space="preserve">estrategias de fusión. Este análisis comprueba si se mantiene la ordenación descriptiva, pero no</w:t>
      </w:r>
      <w:r>
        <w:rPr>
          <w:lang w:val="es-ES"/>
        </w:rPr>
        <w:t xml:space="preserve"> </w:t>
      </w:r>
      <w:r>
        <w:rPr>
          <w:lang w:val="es-ES"/>
        </w:rPr>
        <w:t xml:space="preserve">sustituye una partición por sujeto diseñada antes del entrenamiento.</w:t>
      </w:r>
    </w:p>
    <w:bookmarkEnd w:id="48"/>
    <w:bookmarkStart w:id="51" w:name="huella-computacional"/>
    <w:p>
      <w:pPr>
        <w:keepNext/>
        <w:keepLines/>
        <w:numPr>
          <w:numId w:val="0"/>
        </w:numPr>
        <w:pStyle w:val="Heading3"/>
        <w:rPr>
          <w:lang w:val="es-ES"/>
        </w:rPr>
      </w:pPr>
      <w:r>
        <w:rPr>
          <w:lang w:val="es-ES"/>
        </w:rPr>
        <w:t xml:space="preserve">4.5.4. Huella computacional</w:t>
      </w:r>
    </w:p>
    <w:p>
      <w:pPr>
        <w:rPr>
          <w:lang w:val="es-ES"/>
        </w:rPr>
      </w:pPr>
      <w:r>
        <w:rPr>
          <w:lang w:val="es-ES"/>
        </w:rPr>
        <w:t xml:space="preserve">El número de parámetros se obtuvo de los modelos instanciados. En la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MONAI, el tiempo de</w:t>
      </w:r>
      <w:r>
        <w:rPr>
          <w:lang w:val="es-ES"/>
        </w:rPr>
        <w:t xml:space="preserve"> </w:t>
      </w:r>
      <w:r>
        <w:rPr>
          <w:lang w:val="es-ES"/>
        </w:rPr>
        <w:t xml:space="preserve">pared se registra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perf_counter</w:t>
      </w:r>
      <w:r>
        <w:rPr>
          <w:lang w:val="es-ES"/>
        </w:rPr>
        <w:t xml:space="preserve"> </w:t>
      </w:r>
      <w:r>
        <w:rPr>
          <w:lang w:val="es-ES"/>
        </w:rPr>
        <w:t xml:space="preserve">desde el inicio del entrenamiento hasta la última validación, y</w:t>
      </w:r>
      <w:r>
        <w:rPr>
          <w:lang w:val="es-ES"/>
        </w:rPr>
        <w:t xml:space="preserve"> </w:t>
      </w:r>
      <w:r>
        <w:rPr>
          <w:lang w:val="es-ES"/>
        </w:rPr>
        <w:t xml:space="preserve">en CUDA se consulta el máximo de memoria asignada por PyTorch. Esta medida no está disponible de</w:t>
      </w:r>
      <w:r>
        <w:rPr>
          <w:lang w:val="es-ES"/>
        </w:rPr>
        <w:t xml:space="preserve"> </w:t>
      </w:r>
      <w:r>
        <w:rPr>
          <w:lang w:val="es-ES"/>
        </w:rPr>
        <w:t xml:space="preserve">forma equivalente en MPS. Para nnU-Net, el tiempo se recuperó de las marcas del registro entre el</w:t>
      </w:r>
      <w:r>
        <w:rPr>
          <w:lang w:val="es-ES"/>
        </w:rPr>
        <w:t xml:space="preserve"> </w:t>
      </w:r>
      <w:r>
        <w:rPr>
          <w:lang w:val="es-ES"/>
        </w:rPr>
        <w:t xml:space="preserve">inicio de la época 0 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Training done</w:t>
      </w:r>
      <w:r>
        <w:rPr>
          <w:lang w:val="es-ES"/>
        </w:rPr>
        <w:t xml:space="preserve">; no incluye planificación, preprocesamiento, validación final</w:t>
      </w:r>
      <w:r>
        <w:rPr>
          <w:lang w:val="es-ES"/>
        </w:rPr>
        <w:t xml:space="preserve"> </w:t>
      </w:r>
      <w:r>
        <w:rPr>
          <w:lang w:val="es-ES"/>
        </w:rPr>
        <w:t xml:space="preserve">completa ni inferencia. Al no existir tiempos de inferencia y memoria homogéneos para todos los</w:t>
      </w:r>
      <w:r>
        <w:rPr>
          <w:lang w:val="es-ES"/>
        </w:rPr>
        <w:t xml:space="preserve"> </w:t>
      </w:r>
      <w:r>
        <w:rPr>
          <w:lang w:val="es-ES"/>
        </w:rPr>
        <w:t xml:space="preserve">modelos, el Capítulo 5 limita la comparación computacional a los registros conservados.</w:t>
      </w:r>
    </w:p>
    <w:bookmarkEnd w:id="49"/>
    <w:bookmarkEnd w:id="50"/>
    <w:bookmarkStart w:id="52" w:name="restricciones-y-alcance-clínico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4.6. Restricciones y alcance clínico</w:t>
      </w:r>
    </w:p>
    <w:p>
      <w:pPr>
        <w:rPr>
          <w:lang w:val="es-ES"/>
        </w:rPr>
      </w:pPr>
      <w:r>
        <w:rPr>
          <w:lang w:val="es-ES"/>
        </w:rPr>
        <w:t xml:space="preserve">El sistema segmenta ET, TC y WT en resonancias multimodales post-tratamiento de sujetos incluidos en</w:t>
      </w:r>
      <w:r>
        <w:rPr>
          <w:lang w:val="es-ES"/>
        </w:rPr>
        <w:t xml:space="preserve"> </w:t>
      </w:r>
      <w:r>
        <w:rPr>
          <w:lang w:val="es-ES"/>
        </w:rPr>
        <w:t xml:space="preserve">BraTS-GLI 2024. No se entrenó con cerebros sanos ni con otras patologías, por lo que no debe</w:t>
      </w:r>
      <w:r>
        <w:rPr>
          <w:lang w:val="es-ES"/>
        </w:rPr>
        <w:t xml:space="preserve"> </w:t>
      </w:r>
      <w:r>
        <w:rPr>
          <w:lang w:val="es-ES"/>
        </w:rPr>
        <w:t xml:space="preserve">interpretarse como un sistema de detección de tumor ni de diagnóstico diferencial. Tampoco se ha</w:t>
      </w:r>
      <w:r>
        <w:rPr>
          <w:lang w:val="es-ES"/>
        </w:rPr>
        <w:t xml:space="preserve"> </w:t>
      </w:r>
      <w:r>
        <w:rPr>
          <w:lang w:val="es-ES"/>
        </w:rPr>
        <w:t xml:space="preserve">evaluado en otras instituciones o protocolos de adquisición. A ello se añade que el reparto por</w:t>
      </w:r>
      <w:r>
        <w:rPr>
          <w:lang w:val="es-ES"/>
        </w:rPr>
        <w:t xml:space="preserve"> </w:t>
      </w:r>
      <w:r>
        <w:rPr>
          <w:lang w:val="es-ES"/>
        </w:rPr>
        <w:t xml:space="preserve">estudio no garantiza independencia por sujeto. En consecuencia, los resultados describen el</w:t>
      </w:r>
      <w:r>
        <w:rPr>
          <w:lang w:val="es-ES"/>
        </w:rPr>
        <w:t xml:space="preserve"> </w:t>
      </w:r>
      <w:r>
        <w:rPr>
          <w:lang w:val="es-ES"/>
        </w:rPr>
        <w:t xml:space="preserve">comportamiento experimental de los modelos dentro de este conjunto y no una validación clínica para</w:t>
      </w:r>
      <w:r>
        <w:rPr>
          <w:lang w:val="es-ES"/>
        </w:rPr>
        <w:t xml:space="preserve"> </w:t>
      </w:r>
      <w:r>
        <w:rPr>
          <w:lang w:val="es-ES"/>
        </w:rPr>
        <w:t xml:space="preserve">uso asistencial.</w:t>
      </w:r>
    </w:p>
    <w:bookmarkEnd w:id="51"/>
    <w:bookmarkEnd w:id="52"/>
    <w:bookmarkStart w:id="53" w:name="resultados"/>
    <w:p>
      <w:pPr>
        <w:keepNext/>
        <w:keepLines/>
        <w:pageBreakBefore/>
        <w:numPr>
          <w:numId w:val="0"/>
        </w:numPr>
        <w:pStyle w:val="Heading1"/>
        <w:rPr>
          <w:lang w:val="es-ES"/>
        </w:rPr>
      </w:pPr>
      <w:r>
        <w:rPr>
          <w:lang w:val="es-ES"/>
        </w:rPr>
        <w:t xml:space="preserve">5. Resultados</w:t>
      </w:r>
    </w:p>
    <w:p>
      <w:pPr>
        <w:rPr>
          <w:lang w:val="es-ES"/>
        </w:rPr>
      </w:pPr>
      <w:r>
        <w:rPr>
          <w:lang w:val="es-ES"/>
        </w:rPr>
        <w:t xml:space="preserve">Este capítulo presenta los resultados obtenidos con las configuraciones experimentales descritas en</w:t>
      </w:r>
      <w:r>
        <w:rPr>
          <w:lang w:val="es-ES"/>
        </w:rPr>
        <w:t xml:space="preserve"> </w:t>
      </w:r>
      <w:r>
        <w:rPr>
          <w:lang w:val="es-ES"/>
        </w:rPr>
        <w:t xml:space="preserve">el Capítulo 4. El análisis se centra en determinar si las estrategias explícitas de ponderación</w:t>
      </w:r>
      <w:r>
        <w:rPr>
          <w:lang w:val="es-ES"/>
        </w:rPr>
        <w:t xml:space="preserve"> </w:t>
      </w:r>
      <w:r>
        <w:rPr>
          <w:lang w:val="es-ES"/>
        </w:rPr>
        <w:t xml:space="preserve">multimodal mejoran la concatenación directa cuando se mantiene fija la Residual U-Net 3D. A</w:t>
      </w:r>
      <w:r>
        <w:rPr>
          <w:lang w:val="es-ES"/>
        </w:rPr>
        <w:t xml:space="preserve"> </w:t>
      </w:r>
      <w:r>
        <w:rPr>
          <w:lang w:val="es-ES"/>
        </w:rPr>
        <w:t xml:space="preserve">continuación, los resultados se contextualizan mediante Attention U-Net, Swin-UNETR y la referencia</w:t>
      </w:r>
      <w:r>
        <w:rPr>
          <w:lang w:val="es-ES"/>
        </w:rPr>
        <w:t xml:space="preserve"> </w:t>
      </w:r>
      <w:r>
        <w:rPr>
          <w:lang w:val="es-ES"/>
        </w:rPr>
        <w:t xml:space="preserve">externa nnU-Net. El capítulo concluye con el análisis de la huella computacional y dos comparaciones</w:t>
      </w:r>
      <w:r>
        <w:rPr>
          <w:lang w:val="es-ES"/>
        </w:rPr>
        <w:t xml:space="preserve"> </w:t>
      </w:r>
      <w:r>
        <w:rPr>
          <w:lang w:val="es-ES"/>
        </w:rPr>
        <w:t xml:space="preserve">cualitativas.</w:t>
      </w:r>
    </w:p>
    <w:bookmarkStart w:id="54" w:name="Xb98635da2c3fe931d9650eefb1c54e512211e28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5.1. Alcance del análisis y protocolo de reporte</w:t>
      </w:r>
    </w:p>
    <w:p>
      <w:pPr>
        <w:rPr>
          <w:lang w:val="es-ES"/>
        </w:rPr>
      </w:pPr>
      <w:r>
        <w:rPr>
          <w:lang w:val="es-ES"/>
        </w:rPr>
        <w:t xml:space="preserve">Las métricas se calcularon sobre la partición denominada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test</w:t>
      </w:r>
      <w:r>
        <w:rPr>
          <w:lang w:val="es-ES"/>
        </w:rPr>
        <w:t xml:space="preserve">, formada por 243 estudios de imagen</w:t>
      </w:r>
      <w:r>
        <w:rPr>
          <w:lang w:val="es-ES"/>
        </w:rPr>
        <w:t xml:space="preserve"> </w:t>
      </w:r>
      <w:r>
        <w:rPr>
          <w:lang w:val="es-ES"/>
        </w:rPr>
        <w:t xml:space="preserve">cuyos identificadores completos no aparecen en las particiones de entrenamiento o validación. Las</w:t>
      </w:r>
      <w:r>
        <w:rPr>
          <w:lang w:val="es-ES"/>
        </w:rPr>
        <w:t xml:space="preserve"> </w:t>
      </w:r>
      <w:r>
        <w:rPr>
          <w:lang w:val="es-ES"/>
        </w:rPr>
        <w:t xml:space="preserve">configuraciones basadas en MONAI se entrenaron con las semillas 20260526, 20260527 y 20260528. Para</w:t>
      </w:r>
      <w:r>
        <w:rPr>
          <w:lang w:val="es-ES"/>
        </w:rPr>
        <w:t xml:space="preserve"> </w:t>
      </w:r>
      <w:r>
        <w:rPr>
          <w:lang w:val="es-ES"/>
        </w:rPr>
        <w:t xml:space="preserve">ellas se presenta la media y la desviación estándar poblacional de las tres corridas. nnU-Net se</w:t>
      </w:r>
      <w:r>
        <w:rPr>
          <w:lang w:val="es-ES"/>
        </w:rPr>
        <w:t xml:space="preserve"> </w:t>
      </w:r>
      <w:r>
        <w:rPr>
          <w:lang w:val="es-ES"/>
        </w:rPr>
        <w:t xml:space="preserve">entrenó una sola vez con la configuración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3d_fullres</w:t>
      </w:r>
      <w:r>
        <w:rPr>
          <w:lang w:val="es-ES"/>
        </w:rPr>
        <w:t xml:space="preserve"> </w:t>
      </w:r>
      <w:r>
        <w:rPr>
          <w:lang w:val="es-ES"/>
        </w:rPr>
        <w:t xml:space="preserve">y 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</w:t>
      </w:r>
      <w:r>
        <w:rPr>
          <w:lang w:val="es-ES"/>
        </w:rPr>
        <w:t xml:space="preserve"> </w:t>
      </w:r>
      <w:r>
        <w:rPr>
          <w:lang w:val="es-ES"/>
        </w:rPr>
        <w:t xml:space="preserve">0, por lo que sus resultados no</w:t>
      </w:r>
      <w:r>
        <w:rPr>
          <w:lang w:val="es-ES"/>
        </w:rPr>
        <w:t xml:space="preserve"> </w:t>
      </w:r>
      <w:r>
        <w:rPr>
          <w:lang w:val="es-ES"/>
        </w:rPr>
        <w:t xml:space="preserve">incluyen una estimación de variabilidad entre repeticiones.</w:t>
      </w:r>
    </w:p>
    <w:p>
      <w:pPr>
        <w:rPr>
          <w:lang w:val="es-ES"/>
        </w:rPr>
      </w:pPr>
      <w:r>
        <w:rPr>
          <w:lang w:val="es-ES"/>
        </w:rPr>
        <w:t xml:space="preserve">La partición se generó a nivel de estudio de imagen, no mediante agrupación por sujeto. Debido al</w:t>
      </w:r>
      <w:r>
        <w:rPr>
          <w:lang w:val="es-ES"/>
        </w:rPr>
        <w:t xml:space="preserve"> </w:t>
      </w:r>
      <w:r>
        <w:rPr>
          <w:lang w:val="es-ES"/>
        </w:rPr>
        <w:t xml:space="preserve">carácter longitudinal del conjunto BraTS-GLI 2024, un mismo sujeto puede aportar más de un estudio y</w:t>
      </w:r>
      <w:r>
        <w:rPr>
          <w:lang w:val="es-ES"/>
        </w:rPr>
        <w:t xml:space="preserve"> </w:t>
      </w:r>
      <w:r>
        <w:rPr>
          <w:lang w:val="es-ES"/>
        </w:rPr>
        <w:t xml:space="preserve">aparecer en particiones diferentes. Una comprobación posterior identificó que 205 de los 243</w:t>
      </w:r>
      <w:r>
        <w:rPr>
          <w:lang w:val="es-ES"/>
        </w:rPr>
        <w:t xml:space="preserve"> </w:t>
      </w:r>
      <w:r>
        <w:rPr>
          <w:lang w:val="es-ES"/>
        </w:rPr>
        <w:t xml:space="preserve">estudios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test</w:t>
      </w:r>
      <w:r>
        <w:rPr>
          <w:lang w:val="es-ES"/>
        </w:rPr>
        <w:t xml:space="preserve"> </w:t>
      </w:r>
      <w:r>
        <w:rPr>
          <w:lang w:val="es-ES"/>
        </w:rPr>
        <w:t xml:space="preserve">pertenecen a sujetos con algún otro estudio en entrenamiento o validación. Por</w:t>
      </w:r>
      <w:r>
        <w:rPr>
          <w:lang w:val="es-ES"/>
        </w:rPr>
        <w:t xml:space="preserve"> </w:t>
      </w:r>
      <w:r>
        <w:rPr>
          <w:lang w:val="es-ES"/>
        </w:rPr>
        <w:t xml:space="preserve">ello, las métricas se interpretan como una comparación experimental a nivel de estudio y no como</w:t>
      </w:r>
      <w:r>
        <w:rPr>
          <w:lang w:val="es-ES"/>
        </w:rPr>
        <w:t xml:space="preserve"> </w:t>
      </w:r>
      <w:r>
        <w:rPr>
          <w:lang w:val="es-ES"/>
        </w:rPr>
        <w:t xml:space="preserve">una estimación independiente de generalización a sujetos completamente nuevos. Este alcance no</w:t>
      </w:r>
      <w:r>
        <w:rPr>
          <w:lang w:val="es-ES"/>
        </w:rPr>
        <w:t xml:space="preserve"> </w:t>
      </w:r>
      <w:r>
        <w:rPr>
          <w:lang w:val="es-ES"/>
        </w:rPr>
        <w:t xml:space="preserve">impide comparar las estrategias de fusión bajo una partición común, pero limita la interpretación</w:t>
      </w:r>
      <w:r>
        <w:rPr>
          <w:lang w:val="es-ES"/>
        </w:rPr>
        <w:t xml:space="preserve"> </w:t>
      </w:r>
      <w:r>
        <w:rPr>
          <w:lang w:val="es-ES"/>
        </w:rPr>
        <w:t xml:space="preserve">absoluta de sus valores.</w:t>
      </w:r>
    </w:p>
    <w:p>
      <w:pPr>
        <w:rPr>
          <w:lang w:val="es-ES"/>
        </w:rPr>
      </w:pPr>
      <w:r>
        <w:rPr>
          <w:lang w:val="es-ES"/>
        </w:rPr>
        <w:t xml:space="preserve">La ablación de fusión constituye la comparación más controlada del trabajo: las cuatro estrategias</w:t>
      </w:r>
      <w:r>
        <w:rPr>
          <w:lang w:val="es-ES"/>
        </w:rPr>
        <w:t xml:space="preserve"> </w:t>
      </w:r>
      <w:r>
        <w:rPr>
          <w:lang w:val="es-ES"/>
        </w:rPr>
        <w:t xml:space="preserve">comparten la misma Residual U-Net, datos, hiperparámetros, presupuesto de 15.000 pasos y protocolo de</w:t>
      </w:r>
      <w:r>
        <w:rPr>
          <w:lang w:val="es-ES"/>
        </w:rPr>
        <w:t xml:space="preserve"> </w:t>
      </w:r>
      <w:r>
        <w:rPr>
          <w:lang w:val="es-ES"/>
        </w:rPr>
        <w:t xml:space="preserve">inferencia. Swin-UNETR y Attention U-Net comparten entre sí el protocolo ejecutado en A100. En</w:t>
      </w:r>
      <w:r>
        <w:rPr>
          <w:lang w:val="es-ES"/>
        </w:rPr>
        <w:t xml:space="preserve"> </w:t>
      </w:r>
      <w:r>
        <w:rPr>
          <w:lang w:val="es-ES"/>
        </w:rPr>
        <w:t xml:space="preserve">cambio, la comparación de estas arquitecturas con las variantes residuales debe considerarse</w:t>
      </w:r>
      <w:r>
        <w:rPr>
          <w:lang w:val="es-ES"/>
        </w:rPr>
        <w:t xml:space="preserve"> </w:t>
      </w:r>
      <w:r>
        <w:rPr>
          <w:lang w:val="es-ES"/>
        </w:rPr>
        <w:t xml:space="preserve">descriptiva, puesto que se utilizaron entornos de ejecución y valores de solapamiento de ventana</w:t>
      </w:r>
      <w:r>
        <w:rPr>
          <w:lang w:val="es-ES"/>
        </w:rPr>
        <w:t xml:space="preserve"> </w:t>
      </w:r>
      <w:r>
        <w:rPr>
          <w:lang w:val="es-ES"/>
        </w:rPr>
        <w:t xml:space="preserve">diferentes. nnU-Net empleó además su propio proceso de planificación, preprocesamiento y</w:t>
      </w:r>
      <w:r>
        <w:rPr>
          <w:lang w:val="es-ES"/>
        </w:rPr>
        <w:t xml:space="preserve"> </w:t>
      </w:r>
      <w:r>
        <w:rPr>
          <w:lang w:val="es-ES"/>
        </w:rPr>
        <w:t xml:space="preserve">entrenamiento.</w:t>
      </w:r>
    </w:p>
    <w:p>
      <w:pPr>
        <w:rPr>
          <w:lang w:val="es-ES"/>
        </w:rPr>
      </w:pPr>
      <w:r>
        <w:rPr>
          <w:lang w:val="es-ES"/>
        </w:rPr>
        <w:t xml:space="preserve">Las métricas utilizadas son Dice y HD95 para ET, TC y WT. En Dice, los valores más altos indican</w:t>
      </w:r>
      <w:r>
        <w:rPr>
          <w:lang w:val="es-ES"/>
        </w:rPr>
        <w:t xml:space="preserve"> </w:t>
      </w:r>
      <w:r>
        <w:rPr>
          <w:lang w:val="es-ES"/>
        </w:rPr>
        <w:t xml:space="preserve">mayor solapamiento. En HD95, los valores más bajos indican menor discrepancia entre las superficies.</w:t>
      </w:r>
      <w:r>
        <w:rPr>
          <w:lang w:val="es-ES"/>
        </w:rPr>
        <w:t xml:space="preserve"> </w:t>
      </w:r>
      <w:r>
        <w:rPr>
          <w:lang w:val="es-ES"/>
        </w:rPr>
        <w:t xml:space="preserve">La implementación asigna HD95 igual a cero cuando predicción y referencia están ambas vacías e</w:t>
      </w:r>
      <w:r>
        <w:rPr>
          <w:lang w:val="es-ES"/>
        </w:rPr>
        <w:t xml:space="preserve"> </w:t>
      </w:r>
      <w:r>
        <w:rPr>
          <w:lang w:val="es-ES"/>
        </w:rPr>
        <w:t xml:space="preserve">infinito cuando únicamente una de ellas lo está. Los valores infinitos se excluyen posteriormente</w:t>
      </w:r>
      <w:r>
        <w:rPr>
          <w:lang w:val="es-ES"/>
        </w:rPr>
        <w:t xml:space="preserve"> </w:t>
      </w:r>
      <w:r>
        <w:rPr>
          <w:lang w:val="es-ES"/>
        </w:rPr>
        <w:t xml:space="preserve">del promedio, mientras que los ceros se conservan. En consecuencia, HD95 debe interpretarse junto</w:t>
      </w:r>
      <w:r>
        <w:rPr>
          <w:lang w:val="es-ES"/>
        </w:rPr>
        <w:t xml:space="preserve"> </w:t>
      </w:r>
      <w:r>
        <w:rPr>
          <w:lang w:val="es-ES"/>
        </w:rPr>
        <w:t xml:space="preserve">con el número de estudios que presentan un valor finito.</w:t>
      </w:r>
    </w:p>
    <w:p>
      <w:pPr>
        <w:rPr>
          <w:lang w:val="es-ES"/>
        </w:rPr>
      </w:pPr>
      <w:r>
        <w:rPr>
          <w:lang w:val="es-ES"/>
        </w:rPr>
        <w:t xml:space="preserve">Los resultados se analizan descriptivamente. No se realizaron contrastes de hipótesis ni se</w:t>
      </w:r>
      <w:r>
        <w:rPr>
          <w:lang w:val="es-ES"/>
        </w:rPr>
        <w:t xml:space="preserve"> </w:t>
      </w:r>
      <w:r>
        <w:rPr>
          <w:lang w:val="es-ES"/>
        </w:rPr>
        <w:t xml:space="preserve">definieron márgenes de equivalencia. Asimismo, el presupuesto de 15.000 pasos se fijó a partir de la</w:t>
      </w:r>
      <w:r>
        <w:rPr>
          <w:lang w:val="es-ES"/>
        </w:rPr>
        <w:t xml:space="preserve"> </w:t>
      </w:r>
      <w:r>
        <w:rPr>
          <w:lang w:val="es-ES"/>
        </w:rPr>
        <w:t xml:space="preserve">sonda descrita en el Capítulo 4, pero no se utiliza para afirmar que todas las arquitecturas</w:t>
      </w:r>
      <w:r>
        <w:rPr>
          <w:lang w:val="es-ES"/>
        </w:rPr>
        <w:t xml:space="preserve"> </w:t>
      </w:r>
      <w:r>
        <w:rPr>
          <w:lang w:val="es-ES"/>
        </w:rPr>
        <w:t xml:space="preserve">alcanzaran individualmente la convergencia ni para demostrar ausencia de sobreajuste.</w:t>
      </w:r>
    </w:p>
    <w:bookmarkEnd w:id="53"/>
    <w:bookmarkStart w:id="55" w:name="X4fc37aec60336809c8ece967bb130544a2eb126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5.2. Estudio de ablación de las estrategias de fusión</w:t>
      </w:r>
    </w:p>
    <w:p>
      <w:pPr>
        <w:rPr>
          <w:lang w:val="es-ES"/>
        </w:rPr>
      </w:pPr>
      <w:r>
        <w:rPr>
          <w:lang w:val="es-ES"/>
        </w:rPr>
        <w:t xml:space="preserve">La comparación principal incluye cuatro configuraciones construidas sobre la misma Residual U-Net</w:t>
      </w:r>
      <w:r>
        <w:rPr>
          <w:lang w:val="es-ES"/>
        </w:rPr>
        <w:t xml:space="preserve"> </w:t>
      </w:r>
      <w:r>
        <w:rPr>
          <w:lang w:val="es-ES"/>
        </w:rPr>
        <w:t xml:space="preserve">3D: concatenación directa, ponderación global estática, compuerta adaptativa basada en la media y</w:t>
      </w:r>
      <w:r>
        <w:rPr>
          <w:lang w:val="es-ES"/>
        </w:rPr>
        <w:t xml:space="preserve"> </w:t>
      </w:r>
      <w:r>
        <w:rPr>
          <w:lang w:val="es-ES"/>
        </w:rPr>
        <w:t xml:space="preserve">compuerta adaptativa basada en la media y la desviación típica. La Tabla 12 presenta el Dice medio</w:t>
      </w:r>
      <w:r>
        <w:rPr>
          <w:lang w:val="es-ES"/>
        </w:rPr>
        <w:t xml:space="preserve"> </w:t>
      </w:r>
      <w:r>
        <w:rPr>
          <w:lang w:val="es-ES"/>
        </w:rPr>
        <w:t xml:space="preserve">obtenido por cada semilla.</w:t>
      </w:r>
    </w:p>
    <w:tbl>
      <w:tblPr>
        <w:tblStyle w:val="TableGrid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Estrategia de fusión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Semilla 26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Semilla 27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Semilla 28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Media ± desv.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Concatenación (</w:t>
            </w:r>
            <w:r>
              <w:rPr>
                <w:rStyle w:val="VerbatimChar"/>
                <w:rFonts w:ascii="Arial" w:hAnsi="Arial" w:cs="Arial" w:eastAsia="Arial"/>
                <w:color w:val="000000"/>
                <w:sz w:val="16"/>
              </w:rPr>
              <w:t xml:space="preserve">concat</w:t>
            </w:r>
            <w:r>
              <w:rPr>
                <w:rFonts w:ascii="Arial" w:hAnsi="Arial" w:cs="Arial" w:eastAsia="Arial"/>
                <w:color w:val="000000"/>
                <w:sz w:val="16"/>
              </w:rPr>
              <w:t xml:space="preserve">)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0,698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0,711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0,708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0,706 ± 0,005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Ponderación global (</w:t>
            </w:r>
            <w:r>
              <w:rPr>
                <w:rStyle w:val="VerbatimChar"/>
                <w:rFonts w:ascii="Arial" w:hAnsi="Arial" w:cs="Arial" w:eastAsia="Arial"/>
                <w:color w:val="000000"/>
                <w:sz w:val="16"/>
              </w:rPr>
              <w:t xml:space="preserve">global_weighted</w:t>
            </w:r>
            <w:r>
              <w:rPr>
                <w:rFonts w:ascii="Arial" w:hAnsi="Arial" w:cs="Arial" w:eastAsia="Arial"/>
                <w:color w:val="000000"/>
                <w:sz w:val="16"/>
              </w:rPr>
              <w:t xml:space="preserve">)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0,697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0,713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0,707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0,706 ± 0,006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Compuerta adaptativa (</w:t>
            </w:r>
            <w:r>
              <w:rPr>
                <w:rStyle w:val="VerbatimChar"/>
                <w:rFonts w:ascii="Arial" w:hAnsi="Arial" w:cs="Arial" w:eastAsia="Arial"/>
                <w:color w:val="000000"/>
                <w:sz w:val="16"/>
              </w:rPr>
              <w:t xml:space="preserve">adaptive_gating</w:t>
            </w:r>
            <w:r>
              <w:rPr>
                <w:rFonts w:ascii="Arial" w:hAnsi="Arial" w:cs="Arial" w:eastAsia="Arial"/>
                <w:color w:val="000000"/>
                <w:sz w:val="16"/>
              </w:rPr>
              <w:t xml:space="preserve">)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0,702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0,710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color w:val="000000"/>
                <w:sz w:val="16"/>
              </w:rPr>
              <w:t xml:space="preserve">0,347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0,586 ± 0,169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Compuerta adaptativa (media+desv.)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0,711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color w:val="000000"/>
                <w:sz w:val="16"/>
              </w:rPr>
              <w:t xml:space="preserve">0,349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0,714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0,592 ± 0,171</w:t>
            </w:r>
          </w:p>
        </w:tc>
      </w:tr>
    </w:tbl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12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Dice medio por semilla para las estrategias de fusión evaluadas sobre la misma Residual U-Net 3D. La última columna muestra la media y la desviación estándar poblacional de las tres corridas.</w:t>
      </w:r>
    </w:p>
    <w:p>
      <w:pPr>
        <w:rPr>
          <w:lang w:val="es-ES"/>
        </w:rPr>
      </w:pPr>
      <w:r>
        <w:rPr>
          <w:lang w:val="es-ES"/>
        </w:rPr>
        <w:t xml:space="preserve">La concatenación y la ponderación global producen agregados prácticamente coincidentes. La</w:t>
      </w:r>
      <w:r>
        <w:rPr>
          <w:lang w:val="es-ES"/>
        </w:rPr>
        <w:t xml:space="preserve"> </w:t>
      </w:r>
      <w:r>
        <w:rPr>
          <w:lang w:val="es-ES"/>
        </w:rPr>
        <w:t xml:space="preserve">diferencia media entre ambas es inferior a 0,001 y cambia de signo entre semillas, por lo que no se</w:t>
      </w:r>
      <w:r>
        <w:rPr>
          <w:lang w:val="es-ES"/>
        </w:rPr>
        <w:t xml:space="preserve"> </w:t>
      </w:r>
      <w:r>
        <w:rPr>
          <w:lang w:val="es-ES"/>
        </w:rPr>
        <w:t xml:space="preserve">observa una mejora consistente asociada a la ponderación estática. Los pesos aprendidos por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global_weighted</w:t>
      </w:r>
      <w:r>
        <w:rPr>
          <w:lang w:val="es-ES"/>
        </w:rPr>
        <w:t xml:space="preserve"> </w:t>
      </w:r>
      <w:r>
        <w:rPr>
          <w:lang w:val="es-ES"/>
        </w:rPr>
        <w:t xml:space="preserve">permanecieron, además, próximos a la distribución uniforme: entre 0,244 y 0,254</w:t>
      </w:r>
      <w:r>
        <w:rPr>
          <w:lang w:val="es-ES"/>
        </w:rPr>
        <w:t xml:space="preserve"> </w:t>
      </w:r>
      <w:r>
        <w:rPr>
          <w:lang w:val="es-ES"/>
        </w:rPr>
        <w:t xml:space="preserve">para las cuatro modalidades y las tres semillas. En este experimento, el bloque no desarrolló una</w:t>
      </w:r>
      <w:r>
        <w:rPr>
          <w:lang w:val="es-ES"/>
        </w:rPr>
        <w:t xml:space="preserve"> </w:t>
      </w:r>
      <w:r>
        <w:rPr>
          <w:lang w:val="es-ES"/>
        </w:rPr>
        <w:t xml:space="preserve">preferencia marcada por ninguna modalidad.</w:t>
      </w:r>
    </w:p>
    <w:p>
      <w:pPr>
        <w:rPr>
          <w:lang w:val="es-ES"/>
        </w:rPr>
      </w:pPr>
      <w:r>
        <w:rPr>
          <w:lang w:val="es-ES"/>
        </w:rPr>
        <w:t xml:space="preserve">Las variantes adaptativas presentan un comportamiento diferente. Dos corridas de cada variante</w:t>
      </w:r>
      <w:r>
        <w:rPr>
          <w:lang w:val="es-ES"/>
        </w:rPr>
        <w:t xml:space="preserve"> </w:t>
      </w:r>
      <w:r>
        <w:rPr>
          <w:lang w:val="es-ES"/>
        </w:rPr>
        <w:t xml:space="preserve">alcanzan valores próximos a los de concatenación y ponderación global, entre 0,702 y 0,714. Sin</w:t>
      </w:r>
      <w:r>
        <w:rPr>
          <w:lang w:val="es-ES"/>
        </w:rPr>
        <w:t xml:space="preserve"> </w:t>
      </w:r>
      <w:r>
        <w:rPr>
          <w:lang w:val="es-ES"/>
        </w:rPr>
        <w:t xml:space="preserve">embargo,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adaptive_gating</w:t>
      </w:r>
      <w:r>
        <w:rPr>
          <w:lang w:val="es-ES"/>
        </w:rPr>
        <w:t xml:space="preserve"> </w:t>
      </w:r>
      <w:r>
        <w:rPr>
          <w:lang w:val="es-ES"/>
        </w:rPr>
        <w:t xml:space="preserve">obtiene 0,347 con la semilla 20260528 y la variante media+desviación</w:t>
      </w:r>
      <w:r>
        <w:rPr>
          <w:lang w:val="es-ES"/>
        </w:rPr>
        <w:t xml:space="preserve"> </w:t>
      </w:r>
      <w:r>
        <w:rPr>
          <w:lang w:val="es-ES"/>
        </w:rPr>
        <w:t xml:space="preserve">obtiene 0,349 con la semilla 20260527. Estas dos ejecuciones se denominan corridas de bajo</w:t>
      </w:r>
      <w:r>
        <w:rPr>
          <w:lang w:val="es-ES"/>
        </w:rPr>
        <w:t xml:space="preserve"> </w:t>
      </w:r>
      <w:r>
        <w:rPr>
          <w:lang w:val="es-ES"/>
        </w:rPr>
        <w:t xml:space="preserve">rendimiento porque se separan claramente de las otras repeticiones de su configuración. Su</w:t>
      </w:r>
      <w:r>
        <w:rPr>
          <w:lang w:val="es-ES"/>
        </w:rPr>
        <w:t xml:space="preserve"> </w:t>
      </w:r>
      <w:r>
        <w:rPr>
          <w:lang w:val="es-ES"/>
        </w:rPr>
        <w:t xml:space="preserve">presencia reduce el promedio y eleva la dispersión de las variantes adaptativas.</w:t>
      </w:r>
    </w:p>
    <w:p>
      <w:pPr>
        <w:rPr>
          <w:lang w:val="es-ES"/>
        </w:rPr>
      </w:pPr>
      <w:r>
        <w:rPr>
          <w:lang w:val="es-ES"/>
        </w:rPr>
        <w:t xml:space="preserve">La observación de una corrida de bajo rendimiento entre tres repeticiones no permite estimar una</w:t>
      </w:r>
      <w:r>
        <w:rPr>
          <w:lang w:val="es-ES"/>
        </w:rPr>
        <w:t xml:space="preserve"> </w:t>
      </w:r>
      <w:r>
        <w:rPr>
          <w:lang w:val="es-ES"/>
        </w:rPr>
        <w:t xml:space="preserve">probabilidad general de fallo ni determinar su causa. Sí muestra que las variantes adaptativas</w:t>
      </w:r>
      <w:r>
        <w:rPr>
          <w:lang w:val="es-ES"/>
        </w:rPr>
        <w:t xml:space="preserve"> </w:t>
      </w:r>
      <w:r>
        <w:rPr>
          <w:lang w:val="es-ES"/>
        </w:rPr>
        <w:t xml:space="preserve">presentaron mayor variabilidad entre las semillas ejecutadas que la concatenación y la ponderación</w:t>
      </w:r>
      <w:r>
        <w:rPr>
          <w:lang w:val="es-ES"/>
        </w:rPr>
        <w:t xml:space="preserve"> </w:t>
      </w:r>
      <w:r>
        <w:rPr>
          <w:lang w:val="es-ES"/>
        </w:rPr>
        <w:t xml:space="preserve">global dentro del presupuesto evaluado.</w:t>
      </w:r>
    </w:p>
    <w:p>
      <w:pPr>
        <w:rPr>
          <w:lang w:val="es-ES"/>
        </w:rPr>
      </w:pPr>
      <w:r>
        <w:rPr>
          <w:lang w:val="es-ES"/>
        </w:rPr>
        <w:t xml:space="preserve">El análisis de los pesos aporta información adicional. En los tres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checkpoints</w:t>
      </w:r>
      <w:r>
        <w:rPr>
          <w:lang w:val="es-ES"/>
        </w:rPr>
        <w:t xml:space="preserve"> </w:t>
      </w:r>
      <w:r>
        <w:rPr>
          <w:lang w:val="es-ES"/>
        </w:rPr>
        <w:t xml:space="preserve">finales de la</w:t>
      </w:r>
      <w:r>
        <w:rPr>
          <w:lang w:val="es-ES"/>
        </w:rPr>
        <w:t xml:space="preserve"> </w:t>
      </w:r>
      <w:r>
        <w:rPr>
          <w:lang w:val="es-ES"/>
        </w:rPr>
        <w:t xml:space="preserve">compuerta basada solo en la media, la desviación entre 40 estudios de validación fue prácticamente</w:t>
      </w:r>
      <w:r>
        <w:rPr>
          <w:lang w:val="es-ES"/>
        </w:rPr>
        <w:t xml:space="preserve"> </w:t>
      </w:r>
      <w:r>
        <w:rPr>
          <w:lang w:val="es-ES"/>
        </w:rPr>
        <w:t xml:space="preserve">nula. En la variante media+desviación, la máxima desviación por modalidad fue aproximadamente</w:t>
      </w:r>
      <w:r>
        <w:rPr>
          <w:lang w:val="es-ES"/>
        </w:rPr>
        <w:t xml:space="preserve"> </w:t>
      </w:r>
      <w:r>
        <w:rPr>
          <w:lang w:val="es-ES"/>
        </w:rPr>
        <w:t xml:space="preserve">0,0011. Por tanto, los pesos cambiaron muy poco entre estudios y el comportamiento efectivo de cada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checkpoint</w:t>
      </w:r>
      <w:r>
        <w:rPr>
          <w:lang w:val="es-ES"/>
        </w:rPr>
        <w:t xml:space="preserve"> </w:t>
      </w:r>
      <w:r>
        <w:rPr>
          <w:lang w:val="es-ES"/>
        </w:rPr>
        <w:t xml:space="preserve">fue próximo al de una ponderación estática.</w:t>
      </w:r>
    </w:p>
    <w:p>
      <w:pPr>
        <w:rPr>
          <w:lang w:val="es-ES"/>
        </w:rPr>
      </w:pPr>
      <w:r>
        <w:rPr>
          <w:lang w:val="es-ES"/>
        </w:rPr>
        <w:t xml:space="preserve">No se observó, sin embargo, una concentración de la compuerta en una única modalidad. Las entropías</w:t>
      </w:r>
      <w:r>
        <w:rPr>
          <w:lang w:val="es-ES"/>
        </w:rPr>
        <w:t xml:space="preserve"> </w:t>
      </w:r>
      <w:r>
        <w:rPr>
          <w:lang w:val="es-ES"/>
        </w:rPr>
        <w:t xml:space="preserve">medias se situaron entre 1,353 y 1,380, próximas al máximo de ln(4) = 1,386, y ningún peso medio</w:t>
      </w:r>
      <w:r>
        <w:rPr>
          <w:lang w:val="es-ES"/>
        </w:rPr>
        <w:t xml:space="preserve"> </w:t>
      </w:r>
      <w:r>
        <w:rPr>
          <w:lang w:val="es-ES"/>
        </w:rPr>
        <w:t xml:space="preserve">superó 0,345. Las corridas de bajo Dice deben interpretarse, por tanto, como un deterioro del</w:t>
      </w:r>
      <w:r>
        <w:rPr>
          <w:lang w:val="es-ES"/>
        </w:rPr>
        <w:t xml:space="preserve"> </w:t>
      </w:r>
      <w:r>
        <w:rPr>
          <w:lang w:val="es-ES"/>
        </w:rPr>
        <w:t xml:space="preserve">rendimiento global durante la optimización, no como un colapso de la compuerta sobre una modalidad</w:t>
      </w:r>
      <w:r>
        <w:rPr>
          <w:lang w:val="es-ES"/>
        </w:rPr>
        <w:t xml:space="preserve"> </w:t>
      </w:r>
      <w:r>
        <w:rPr>
          <w:lang w:val="es-ES"/>
        </w:rPr>
        <w:t xml:space="preserve">concreta. La escasa variación de los pesos sugiere que los descriptores globales utilizados</w:t>
      </w:r>
      <w:r>
        <w:rPr>
          <w:lang w:val="es-ES"/>
        </w:rPr>
        <w:t xml:space="preserve"> </w:t>
      </w:r>
      <w:r>
        <w:rPr>
          <w:lang w:val="es-ES"/>
        </w:rPr>
        <w:t xml:space="preserve">aportaron una señal limitada para adaptar la fusión a cada entrada, aunque este diagnóstico no</w:t>
      </w:r>
      <w:r>
        <w:rPr>
          <w:lang w:val="es-ES"/>
        </w:rPr>
        <w:t xml:space="preserve"> </w:t>
      </w:r>
      <w:r>
        <w:rPr>
          <w:lang w:val="es-ES"/>
        </w:rPr>
        <w:t xml:space="preserve">demuestra por sí solo la causa del rendimiento observado.</w:t>
      </w:r>
    </w:p>
    <w:p>
      <w:pPr>
        <w:rPr>
          <w:lang w:val="es-ES"/>
        </w:rPr>
      </w:pPr>
      <w:r>
        <w:rPr>
          <w:lang w:val="es-ES"/>
        </w:rPr>
        <w:t xml:space="preserve">Como comprobación de sensibilidad, se repitió el agregado sobre los 38 estudios correspondientes a</w:t>
      </w:r>
      <w:r>
        <w:rPr>
          <w:lang w:val="es-ES"/>
        </w:rPr>
        <w:t xml:space="preserve"> </w:t>
      </w:r>
      <w:r>
        <w:rPr>
          <w:lang w:val="es-ES"/>
        </w:rPr>
        <w:t xml:space="preserve">29 sujetos que no aparecen ni en entrenamiento ni en validación. En este subconjunto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post hoc</w:t>
      </w:r>
      <w:r>
        <w:rPr>
          <w:lang w:val="es-ES"/>
        </w:rPr>
        <w:t xml:space="preserve">, la</w:t>
      </w:r>
      <w:r>
        <w:rPr>
          <w:lang w:val="es-ES"/>
        </w:rPr>
        <w:t xml:space="preserve"> </w:t>
      </w:r>
      <w:r>
        <w:rPr>
          <w:lang w:val="es-ES"/>
        </w:rPr>
        <w:t xml:space="preserve">concatenación obtuvo 0,751 ± 0,003; la ponderación global, 0,750 ± 0,006; la compuerta adaptativa,</w:t>
      </w:r>
      <w:r>
        <w:rPr>
          <w:lang w:val="es-ES"/>
        </w:rPr>
        <w:t xml:space="preserve"> </w:t>
      </w:r>
      <w:r>
        <w:rPr>
          <w:lang w:val="es-ES"/>
        </w:rPr>
        <w:t xml:space="preserve">0,617 ± 0,192; y la variante media+desviación, 0,620 ± 0,194. La ordenación se mantiene y respalda</w:t>
      </w:r>
      <w:r>
        <w:rPr>
          <w:lang w:val="es-ES"/>
        </w:rPr>
        <w:t xml:space="preserve"> </w:t>
      </w:r>
      <w:r>
        <w:rPr>
          <w:lang w:val="es-ES"/>
        </w:rPr>
        <w:t xml:space="preserve">la interpretación principal de la ablación. El reducido tamaño del subconjunto impide utilizarlo</w:t>
      </w:r>
      <w:r>
        <w:rPr>
          <w:lang w:val="es-ES"/>
        </w:rPr>
        <w:t xml:space="preserve"> </w:t>
      </w:r>
      <w:r>
        <w:rPr>
          <w:lang w:val="es-ES"/>
        </w:rPr>
        <w:t xml:space="preserve">como sustituto de una evaluación independiente más amplia.</w:t>
      </w:r>
    </w:p>
    <w:p>
      <w:pPr>
        <w:rPr>
          <w:lang w:val="es-ES"/>
        </w:rPr>
      </w:pPr>
      <w:r>
        <w:rPr>
          <w:lang w:val="es-ES"/>
        </w:rPr>
        <w:t xml:space="preserve">En conjunto, los experimentos no aportan evidencia de que las estrategias adaptativas evaluadas</w:t>
      </w:r>
      <w:r>
        <w:rPr>
          <w:lang w:val="es-ES"/>
        </w:rPr>
        <w:t xml:space="preserve"> </w:t>
      </w:r>
      <w:r>
        <w:rPr>
          <w:lang w:val="es-ES"/>
        </w:rPr>
        <w:t xml:space="preserve">mejoren de forma consistente la concatenación directa. Dentro de este montaje, la concatenación fue</w:t>
      </w:r>
      <w:r>
        <w:rPr>
          <w:lang w:val="es-ES"/>
        </w:rPr>
        <w:t xml:space="preserve"> </w:t>
      </w:r>
      <w:r>
        <w:rPr>
          <w:lang w:val="es-ES"/>
        </w:rPr>
        <w:t xml:space="preserve">la alternativa más parsimoniosa y, junto con la ponderación global, la que presentó menor</w:t>
      </w:r>
      <w:r>
        <w:rPr>
          <w:lang w:val="es-ES"/>
        </w:rPr>
        <w:t xml:space="preserve"> </w:t>
      </w:r>
      <w:r>
        <w:rPr>
          <w:lang w:val="es-ES"/>
        </w:rPr>
        <w:t xml:space="preserve">variabilidad entre semillas.</w:t>
      </w:r>
    </w:p>
    <w:bookmarkEnd w:id="54"/>
    <w:bookmarkStart w:id="56" w:name="comparación-descriptiva-de-arquitecturas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5.3. Comparación descriptiva de arquitecturas</w:t>
      </w:r>
    </w:p>
    <w:p>
      <w:pPr>
        <w:rPr>
          <w:lang w:val="es-ES"/>
        </w:rPr>
      </w:pPr>
      <w:r>
        <w:rPr>
          <w:lang w:val="es-ES"/>
        </w:rPr>
        <w:t xml:space="preserve">La Tabla 13 amplía el análisis con Attention U-Net, Swin-UNETR y nnU-Net. La tabla muestra el Dice</w:t>
      </w:r>
      <w:r>
        <w:rPr>
          <w:lang w:val="es-ES"/>
        </w:rPr>
        <w:t xml:space="preserve"> </w:t>
      </w:r>
      <w:r>
        <w:rPr>
          <w:lang w:val="es-ES"/>
        </w:rPr>
        <w:t xml:space="preserve">por región y la media de ET, TC y WT. Los valores de las configuraciones MONAI corresponden a tres</w:t>
      </w:r>
      <w:r>
        <w:rPr>
          <w:lang w:val="es-ES"/>
        </w:rPr>
        <w:t xml:space="preserve"> </w:t>
      </w:r>
      <w:r>
        <w:rPr>
          <w:lang w:val="es-ES"/>
        </w:rPr>
        <w:t xml:space="preserve">semillas; nnU-Net procede de una única corrida de referencia.</w:t>
      </w:r>
    </w:p>
    <w:tbl>
      <w:tblPr>
        <w:tblStyle w:val="TableGrid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Modelo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n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Dice medio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ET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TC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WT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nnU-Net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4"/>
              </w:rPr>
              <w:t xml:space="preserve">3d_fullres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, fold 0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1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0,829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0,713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0,864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0,911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Swin-UNETR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0,752 ± 0,017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0,624 ± 0,011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0,774 ± 0,020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0,857 ± 0,019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Attention U-Net 3D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0,735 ± 0,006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0,572 ± 0,013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0,770 ± 0,003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0,861 ± 0,002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Residual U-Net + concatenación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0,706 ± 0,005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0,548 ± 0,009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0,729 ± 0,010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0,841 ± 0,004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Residual U-Net + ponderación global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0,706 ± 0,006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0,550 ± 0,013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0,727 ± 0,009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0,840 ± 0,004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Residual U-Net + compuerta adaptativa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0,586 ± 0,169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0,404 ± 0,200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0,585 ± 0,205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0,770 ± 0,102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Residual U-Net + compuerta media+desv.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0,592 ± 0,171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0,419 ± 0,211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0,591 ± 0,209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0,765 ± 0,095</w:t>
            </w:r>
          </w:p>
        </w:tc>
      </w:tr>
    </w:tbl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13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Coeficiente Dice en la partición de evaluación. Para las configuraciones con tres semillas se presenta media ± desviación estándar poblacional.</w:t>
      </w:r>
    </w:p>
    <w:p>
      <w:pPr>
        <w:rPr>
          <w:lang w:val="es-ES"/>
        </w:rPr>
      </w:pPr>
      <w:r>
        <w:rPr>
          <w:lang w:val="es-ES"/>
        </w:rPr>
        <w:t xml:space="preserve">nnU-Net alcanza el mayor Dice medio observado, con 0,829. Este resultado se utiliza como referencia</w:t>
      </w:r>
      <w:r>
        <w:rPr>
          <w:lang w:val="es-ES"/>
        </w:rPr>
        <w:t xml:space="preserve"> </w:t>
      </w:r>
      <w:r>
        <w:rPr>
          <w:lang w:val="es-ES"/>
        </w:rPr>
        <w:t xml:space="preserve">contextual fuerte, no como una ablación controlada de arquitectura. nnU-Net empleó su propio</w:t>
      </w:r>
      <w:r>
        <w:rPr>
          <w:lang w:val="es-ES"/>
        </w:rPr>
        <w:t xml:space="preserve"> </w:t>
      </w:r>
      <w:r>
        <w:rPr>
          <w:lang w:val="es-ES"/>
        </w:rPr>
        <w:t xml:space="preserve">preprocesamiento, aumento de datos, función de pérdida, optimizador y planificación, además de un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checkpoint</w:t>
      </w:r>
      <w:r>
        <w:rPr>
          <w:lang w:val="es-ES"/>
        </w:rPr>
        <w:t xml:space="preserve"> </w:t>
      </w:r>
      <w:r>
        <w:rPr>
          <w:lang w:val="es-ES"/>
        </w:rPr>
        <w:t xml:space="preserve">seleccionado mediante su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</w:t>
      </w:r>
      <w:r>
        <w:rPr>
          <w:lang w:val="es-ES"/>
        </w:rPr>
        <w:t xml:space="preserve"> </w:t>
      </w:r>
      <w:r>
        <w:rPr>
          <w:lang w:val="es-ES"/>
        </w:rPr>
        <w:t xml:space="preserve">interno. Solo se ejecutó una corrida, por lo que</w:t>
      </w:r>
      <w:r>
        <w:rPr>
          <w:lang w:val="es-ES"/>
        </w:rPr>
        <w:t xml:space="preserve"> </w:t>
      </w:r>
      <w:r>
        <w:rPr>
          <w:lang w:val="es-ES"/>
        </w:rPr>
        <w:t xml:space="preserve">tampoco es posible estimar su variabilidad entre semillas.</w:t>
      </w:r>
    </w:p>
    <w:p>
      <w:pPr>
        <w:rPr>
          <w:lang w:val="es-ES"/>
        </w:rPr>
      </w:pPr>
      <w:r>
        <w:rPr>
          <w:lang w:val="es-ES"/>
        </w:rPr>
        <w:t xml:space="preserve">Swin-UNETR alcanza el mayor Dice medio entre las configuraciones MONAI, con 0,752 ± 0,017, seguido</w:t>
      </w:r>
      <w:r>
        <w:rPr>
          <w:lang w:val="es-ES"/>
        </w:rPr>
        <w:t xml:space="preserve"> </w:t>
      </w:r>
      <w:r>
        <w:rPr>
          <w:lang w:val="es-ES"/>
        </w:rPr>
        <w:t xml:space="preserve">de Attention U-Net con 0,735 ± 0,006. Ambos modelos compartieron el protocolo A100, lo que permite</w:t>
      </w:r>
      <w:r>
        <w:rPr>
          <w:lang w:val="es-ES"/>
        </w:rPr>
        <w:t xml:space="preserve"> </w:t>
      </w:r>
      <w:r>
        <w:rPr>
          <w:lang w:val="es-ES"/>
        </w:rPr>
        <w:t xml:space="preserve">una comparación descriptiva más directa. Swin-UNETR obtuvo una media superior en dos semillas,</w:t>
      </w:r>
      <w:r>
        <w:rPr>
          <w:lang w:val="es-ES"/>
        </w:rPr>
        <w:t xml:space="preserve"> </w:t>
      </w:r>
      <w:r>
        <w:rPr>
          <w:lang w:val="es-ES"/>
        </w:rPr>
        <w:t xml:space="preserve">mientras que Attention U-Net alcanzó el mejor resultado en la semilla 20260528. Attention U-Net</w:t>
      </w:r>
      <w:r>
        <w:rPr>
          <w:lang w:val="es-ES"/>
        </w:rPr>
        <w:t xml:space="preserve"> </w:t>
      </w:r>
      <w:r>
        <w:rPr>
          <w:lang w:val="es-ES"/>
        </w:rPr>
        <w:t xml:space="preserve">presentó además una dispersión menor entre repeticiones. Con tres semillas puede describirse esta</w:t>
      </w:r>
      <w:r>
        <w:rPr>
          <w:lang w:val="es-ES"/>
        </w:rPr>
        <w:t xml:space="preserve"> </w:t>
      </w:r>
      <w:r>
        <w:rPr>
          <w:lang w:val="es-ES"/>
        </w:rPr>
        <w:t xml:space="preserve">ordenación, pero no establecer una superioridad estadística.</w:t>
      </w:r>
    </w:p>
    <w:p>
      <w:pPr>
        <w:rPr>
          <w:lang w:val="es-ES"/>
        </w:rPr>
      </w:pPr>
      <w:r>
        <w:rPr>
          <w:lang w:val="es-ES"/>
        </w:rPr>
        <w:t xml:space="preserve">La principal diferencia regional entre ambos modelos aparece en el Dice agregado de ET: 0,624 para</w:t>
      </w:r>
      <w:r>
        <w:rPr>
          <w:lang w:val="es-ES"/>
        </w:rPr>
        <w:t xml:space="preserve"> </w:t>
      </w:r>
      <w:r>
        <w:rPr>
          <w:lang w:val="es-ES"/>
        </w:rPr>
        <w:t xml:space="preserve">Swin-UNETR y 0,572 para Attention U-Net. ET está presente en 182 de los 243 estudios y ausente en</w:t>
      </w:r>
      <w:r>
        <w:rPr>
          <w:lang w:val="es-ES"/>
        </w:rPr>
        <w:t xml:space="preserve"> </w:t>
      </w:r>
      <w:r>
        <w:rPr>
          <w:lang w:val="es-ES"/>
        </w:rPr>
        <w:t xml:space="preserve">los 61 restantes. Al restringir el cálculo a los estudios con ET presente, los resultados se</w:t>
      </w:r>
      <w:r>
        <w:rPr>
          <w:lang w:val="es-ES"/>
        </w:rPr>
        <w:t xml:space="preserve"> </w:t>
      </w:r>
      <w:r>
        <w:rPr>
          <w:lang w:val="es-ES"/>
        </w:rPr>
        <w:t xml:space="preserve">aproximan: alrededor de 0,735 para Swin-UNETR y 0,731 para Attention U-Net. Por tanto, una parte</w:t>
      </w:r>
      <w:r>
        <w:rPr>
          <w:lang w:val="es-ES"/>
        </w:rPr>
        <w:t xml:space="preserve"> </w:t>
      </w:r>
      <w:r>
        <w:rPr>
          <w:lang w:val="es-ES"/>
        </w:rPr>
        <w:t xml:space="preserve">importante de la diferencia agregada procede de la detección correcta de la ausencia de ET y no</w:t>
      </w:r>
      <w:r>
        <w:rPr>
          <w:lang w:val="es-ES"/>
        </w:rPr>
        <w:t xml:space="preserve"> </w:t>
      </w:r>
      <w:r>
        <w:rPr>
          <w:lang w:val="es-ES"/>
        </w:rPr>
        <w:t xml:space="preserve">exclusivamente de una mayor precisión del contorno cuando la región está presente.</w:t>
      </w:r>
    </w:p>
    <w:p>
      <w:pPr>
        <w:rPr>
          <w:lang w:val="es-ES"/>
        </w:rPr>
      </w:pPr>
      <w:r>
        <w:rPr>
          <w:lang w:val="es-ES"/>
        </w:rPr>
        <w:t xml:space="preserve">La comparación global con las Residual U-Net debe mantenerse en el plano contextual. Aunque los</w:t>
      </w:r>
      <w:r>
        <w:rPr>
          <w:lang w:val="es-ES"/>
        </w:rPr>
        <w:t xml:space="preserve"> </w:t>
      </w:r>
      <w:r>
        <w:rPr>
          <w:lang w:val="es-ES"/>
        </w:rPr>
        <w:t xml:space="preserve">modelos MONAI compartieron el mismo presupuesto de entrenamiento, las configuraciones ejecutadas</w:t>
      </w:r>
      <w:r>
        <w:rPr>
          <w:lang w:val="es-ES"/>
        </w:rPr>
        <w:t xml:space="preserve"> </w:t>
      </w:r>
      <w:r>
        <w:rPr>
          <w:lang w:val="es-ES"/>
        </w:rPr>
        <w:t xml:space="preserve">localmente utilizaron un solapamiento de ventana de 0,25 y las ejecutadas en A100 utilizaron 0,50.</w:t>
      </w:r>
      <w:r>
        <w:rPr>
          <w:lang w:val="es-ES"/>
        </w:rPr>
        <w:t xml:space="preserve"> </w:t>
      </w:r>
      <w:r>
        <w:rPr>
          <w:lang w:val="es-ES"/>
        </w:rPr>
        <w:t xml:space="preserve">La tabla permite describir los resultados obtenidos por cada configuración, pero no atribuir toda</w:t>
      </w:r>
      <w:r>
        <w:rPr>
          <w:lang w:val="es-ES"/>
        </w:rPr>
        <w:t xml:space="preserve"> </w:t>
      </w:r>
      <w:r>
        <w:rPr>
          <w:lang w:val="es-ES"/>
        </w:rPr>
        <w:t xml:space="preserve">la diferencia observada exclusivamente a la arquitectura.</w:t>
      </w:r>
    </w:p>
    <w:p>
      <w:pPr>
        <w:rPr>
          <w:lang w:val="es-ES"/>
        </w:rPr>
      </w:pPr>
      <w:r>
        <w:rPr>
          <w:lang w:val="es-ES"/>
        </w:rPr>
        <w:t xml:space="preserve">La Tabla 14 muestra HD95. Para las configuraciones con tres semillas, cada celda contiene la media</w:t>
      </w:r>
      <w:r>
        <w:rPr>
          <w:lang w:val="es-ES"/>
        </w:rPr>
        <w:t xml:space="preserve"> </w:t>
      </w:r>
      <w:r>
        <w:rPr>
          <w:lang w:val="es-ES"/>
        </w:rPr>
        <w:t xml:space="preserve">y la desviación estándar de los tres promedios por corrida. Entre corchetes se indica el intervalo</w:t>
      </w:r>
      <w:r>
        <w:rPr>
          <w:lang w:val="es-ES"/>
        </w:rPr>
        <w:t xml:space="preserve"> </w:t>
      </w:r>
      <w:r>
        <w:rPr>
          <w:lang w:val="es-ES"/>
        </w:rPr>
        <w:t xml:space="preserve">del número de estudios con HD95 finito. En nnU-Net se presenta el denominador de su única corrida.</w:t>
      </w:r>
    </w:p>
    <w:tbl>
      <w:tblPr>
        <w:tblStyle w:val="TableGrid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Modelo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HD95 ET [n finitos]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HD95 TC [n finitos]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HD95 WT [n finitos]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nnU-Net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3d_fullres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, fold 0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2,95 [207]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3,27 [238]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3,33 [242]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Swin-UNETR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5,76 ± 0,34 [197–201]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7,26 ± 1,14 [236–238]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7,60 ± 1,00 [242–243]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Attention U-Net 3D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8,31 ± 0,45 [186–191]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8,93 ± 0,70 [236–237]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7,88 ± 0,52 [243]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Residual U-Net + concatenación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8,75 ± 1,05 [192–194]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11,00 ± 1,37 [237–239]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10,28 ± 0,58 [243]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Residual U-Net + ponderación global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8,90 ± 0,80 [193–194]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11,30 ± 0,86 [236–238]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10,66 ± 0,16 [243]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Residual U-Net + compuerta adaptativa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23,83 ± 20,03 [182–195]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24,52 ± 18,25 [237–238]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17,17 ± 9,46 [243]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Residual U-Net + compuerta media+desv.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22,85 ± 20,98 [182–195]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23,62 ± 19,52 [237–239]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17,78 ± 10,77 [243]</w:t>
            </w:r>
          </w:p>
        </w:tc>
      </w:tr>
    </w:tbl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14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HD95 en milímetros y número de estudios con valor finito. Un valor menor indica menor discrepancia de superficie entre los casos incluidos en el promedio.</w:t>
      </w:r>
    </w:p>
    <w:p>
      <w:pPr>
        <w:rPr>
          <w:lang w:val="es-ES"/>
        </w:rPr>
      </w:pPr>
      <w:r>
        <w:rPr>
          <w:lang w:val="es-ES"/>
        </w:rPr>
        <w:t xml:space="preserve">La ordenación descriptiva de HD95 es compatible, en términos generales, con la observada en Dice.</w:t>
      </w:r>
      <w:r>
        <w:rPr>
          <w:lang w:val="es-ES"/>
        </w:rPr>
        <w:t xml:space="preserve"> </w:t>
      </w:r>
      <w:r>
        <w:rPr>
          <w:lang w:val="es-ES"/>
        </w:rPr>
        <w:t xml:space="preserve">nnU-Net presenta los valores más bajos y Swin-UNETR los menores entre las configuraciones MONAI.</w:t>
      </w:r>
      <w:r>
        <w:rPr>
          <w:lang w:val="es-ES"/>
        </w:rPr>
        <w:t xml:space="preserve"> </w:t>
      </w:r>
      <w:r>
        <w:rPr>
          <w:lang w:val="es-ES"/>
        </w:rPr>
        <w:t xml:space="preserve">Las variantes adaptativas muestran medias y desviaciones mayores debido principalmente a sus</w:t>
      </w:r>
      <w:r>
        <w:rPr>
          <w:lang w:val="es-ES"/>
        </w:rPr>
        <w:t xml:space="preserve"> </w:t>
      </w:r>
      <w:r>
        <w:rPr>
          <w:lang w:val="es-ES"/>
        </w:rPr>
        <w:t xml:space="preserve">corridas de bajo rendimiento.</w:t>
      </w:r>
    </w:p>
    <w:p>
      <w:pPr>
        <w:rPr>
          <w:lang w:val="es-ES"/>
        </w:rPr>
      </w:pPr>
      <w:r>
        <w:rPr>
          <w:lang w:val="es-ES"/>
        </w:rPr>
        <w:t xml:space="preserve">Estos valores no deben interpretarse de forma aislada. El promedio incluye los casos en los que</w:t>
      </w:r>
      <w:r>
        <w:rPr>
          <w:lang w:val="es-ES"/>
        </w:rPr>
        <w:t xml:space="preserve"> </w:t>
      </w:r>
      <w:r>
        <w:rPr>
          <w:lang w:val="es-ES"/>
        </w:rPr>
        <w:t xml:space="preserve">predicción y referencia están ambas vacías, con HD95 igual a cero, pero excluye los casos en los que</w:t>
      </w:r>
      <w:r>
        <w:rPr>
          <w:lang w:val="es-ES"/>
        </w:rPr>
        <w:t xml:space="preserve"> </w:t>
      </w:r>
      <w:r>
        <w:rPr>
          <w:lang w:val="es-ES"/>
        </w:rPr>
        <w:t xml:space="preserve">solo una de ellas está vacía. Por esta razón, una cifra inferior puede depender tanto de la precisión</w:t>
      </w:r>
      <w:r>
        <w:rPr>
          <w:lang w:val="es-ES"/>
        </w:rPr>
        <w:t xml:space="preserve"> </w:t>
      </w:r>
      <w:r>
        <w:rPr>
          <w:lang w:val="es-ES"/>
        </w:rPr>
        <w:t xml:space="preserve">de las superficies como de los casos que han quedado fuera del agregado.</w:t>
      </w:r>
    </w:p>
    <w:bookmarkEnd w:id="55"/>
    <w:bookmarkStart w:id="57" w:name="huella-computacional-1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5.4. Huella computacional</w:t>
      </w:r>
    </w:p>
    <w:p>
      <w:pPr>
        <w:rPr>
          <w:lang w:val="es-ES"/>
        </w:rPr>
      </w:pPr>
      <w:r>
        <w:rPr>
          <w:lang w:val="es-ES"/>
        </w:rPr>
        <w:t xml:space="preserve">La Tabla 15 resume el número exacto de parámetros y los tiempos de entrenamiento conservados en los</w:t>
      </w:r>
      <w:r>
        <w:rPr>
          <w:lang w:val="es-ES"/>
        </w:rPr>
        <w:t xml:space="preserve"> </w:t>
      </w:r>
      <w:r>
        <w:rPr>
          <w:lang w:val="es-ES"/>
        </w:rPr>
        <w:t xml:space="preserve">registros finales. En las configuraciones MONAI, los tiempos representan duración de pared hasta la</w:t>
      </w:r>
      <w:r>
        <w:rPr>
          <w:lang w:val="es-ES"/>
        </w:rPr>
        <w:t xml:space="preserve"> </w:t>
      </w:r>
      <w:r>
        <w:rPr>
          <w:lang w:val="es-ES"/>
        </w:rPr>
        <w:t xml:space="preserve">última validación. Debido a las diferencias entre MPS, CUDA y el protocolo propio de nnU-Net, no se</w:t>
      </w:r>
      <w:r>
        <w:rPr>
          <w:lang w:val="es-ES"/>
        </w:rPr>
        <w:t xml:space="preserve"> </w:t>
      </w:r>
      <w:r>
        <w:rPr>
          <w:lang w:val="es-ES"/>
        </w:rPr>
        <w:t xml:space="preserve">emplean para establecer una ordenación general de eficiencia entre arquitecturas.</w:t>
      </w:r>
    </w:p>
    <w:tbl>
      <w:tblPr>
        <w:tblStyle w:val="TableGrid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Modelo o configuración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Parámetros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Incremento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Entorno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Tiempo por corrida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Memoria máxima registrada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Residual U-Net + concatenación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1.190.358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—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M4 Pro (MPS)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4,99–5,00 h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No registrada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Residual U-Net + ponderación global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1.190.362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+4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M4 Pro (MPS)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5,65–5,81 h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No registrada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Residual U-Net + compuerta adaptativa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1.190.434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+76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M4 Pro (MPS)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5,67–6,02 h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No registrada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Residual U-Net + compuerta media+desv.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1.190.466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+108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M4 Pro (MPS)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5,79–5,88 h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No registrada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Attention U-Net 3D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5.910.443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—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A100 (CUDA)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2,14 h*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6,52 GiB*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Swin-UNETR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62.191.941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—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A100 (CUDA)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No registrado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No registrada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nnU-Net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4"/>
              </w:rPr>
              <w:t xml:space="preserve">3d_fullres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Auto-configurado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—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A100 (CUDA)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4,77 h**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No registrada</w:t>
            </w:r>
          </w:p>
        </w:tc>
      </w:tr>
    </w:tbl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15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Parámetros, entorno y coste registrado. «No registrado» indica que el artefacto necesario no se conservó o que el mecanismo de registro no era compatible con el entorno.</w:t>
      </w:r>
    </w:p>
    <w:p>
      <w:pPr>
        <w:rPr>
          <w:lang w:val="es-ES"/>
        </w:rPr>
      </w:pPr>
      <w:r>
        <w:rPr>
          <w:lang w:val="es-ES"/>
        </w:rPr>
        <w:t xml:space="preserve">* El tiempo y la memoria de Attention U-Net corresponden únicamente a la semilla 20260528, cuyo</w:t>
      </w:r>
      <w:r>
        <w:rPr>
          <w:lang w:val="es-ES"/>
        </w:rPr>
        <w:t xml:space="preserve"> </w:t>
      </w:r>
      <w:r>
        <w:rPr>
          <w:lang w:val="es-ES"/>
        </w:rPr>
        <w:t xml:space="preserve">registro fue el único conservado de las corridas A100.</w:t>
      </w:r>
    </w:p>
    <w:p>
      <w:pPr>
        <w:rPr>
          <w:lang w:val="es-ES"/>
        </w:rPr>
      </w:pPr>
      <w:r>
        <w:rPr>
          <w:lang w:val="es-ES"/>
        </w:rPr>
        <w:t xml:space="preserve">** El tiempo de nnU-Net se calculó desde el inicio de la época 0 hasta el mensaje de finalización</w:t>
      </w:r>
      <w:r>
        <w:rPr>
          <w:lang w:val="es-ES"/>
        </w:rPr>
        <w:t xml:space="preserve"> </w:t>
      </w:r>
      <w:r>
        <w:rPr>
          <w:lang w:val="es-ES"/>
        </w:rPr>
        <w:t xml:space="preserve">del entrenamiento. Incluye las validaciones internas de las 250 épocas, pero no la planificación, el</w:t>
      </w:r>
      <w:r>
        <w:rPr>
          <w:lang w:val="es-ES"/>
        </w:rPr>
        <w:t xml:space="preserve"> </w:t>
      </w:r>
      <w:r>
        <w:rPr>
          <w:lang w:val="es-ES"/>
        </w:rPr>
        <w:t xml:space="preserve">preprocesamiento, la validación final completa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</w:t>
      </w:r>
      <w:r>
        <w:rPr>
          <w:lang w:val="es-ES"/>
        </w:rPr>
        <w:t xml:space="preserve"> </w:t>
      </w:r>
      <w:r>
        <w:rPr>
          <w:lang w:val="es-ES"/>
        </w:rPr>
        <w:t xml:space="preserve">ni la inferencia sobre el conjunto de test.</w:t>
      </w:r>
    </w:p>
    <w:p>
      <w:pPr>
        <w:rPr>
          <w:lang w:val="es-ES"/>
        </w:rPr>
      </w:pPr>
      <w:r>
        <w:rPr>
          <w:lang w:val="es-ES"/>
        </w:rPr>
        <w:t xml:space="preserve">Los mecanismos de fusión añaden pocos parámetros respecto a la red base: cuatro para la ponderación</w:t>
      </w:r>
      <w:r>
        <w:rPr>
          <w:lang w:val="es-ES"/>
        </w:rPr>
        <w:t xml:space="preserve"> </w:t>
      </w:r>
      <w:r>
        <w:rPr>
          <w:lang w:val="es-ES"/>
        </w:rPr>
        <w:t xml:space="preserve">global, 76 para la compuerta basada en la media y 108 para la variante media+desviación. Este</w:t>
      </w:r>
      <w:r>
        <w:rPr>
          <w:lang w:val="es-ES"/>
        </w:rPr>
        <w:t xml:space="preserve"> </w:t>
      </w:r>
      <w:r>
        <w:rPr>
          <w:lang w:val="es-ES"/>
        </w:rPr>
        <w:t xml:space="preserve">incremento es pequeño en relación con los aproximadamente 1,19 millones de parámetros de la</w:t>
      </w:r>
      <w:r>
        <w:rPr>
          <w:lang w:val="es-ES"/>
        </w:rPr>
        <w:t xml:space="preserve"> </w:t>
      </w:r>
      <w:r>
        <w:rPr>
          <w:lang w:val="es-ES"/>
        </w:rPr>
        <w:t xml:space="preserve">Residual U-Net.</w:t>
      </w:r>
    </w:p>
    <w:p>
      <w:pPr>
        <w:rPr>
          <w:lang w:val="es-ES"/>
        </w:rPr>
      </w:pPr>
      <w:r>
        <w:rPr>
          <w:lang w:val="es-ES"/>
        </w:rPr>
        <w:t xml:space="preserve">El reducido número de parámetros adicionales no implica un coste temporal nulo. En el entorno MPS,</w:t>
      </w:r>
      <w:r>
        <w:rPr>
          <w:lang w:val="es-ES"/>
        </w:rPr>
        <w:t xml:space="preserve"> </w:t>
      </w:r>
      <w:r>
        <w:rPr>
          <w:lang w:val="es-ES"/>
        </w:rPr>
        <w:t xml:space="preserve">la concatenación requirió aproximadamente cinco horas por corrida, mientras que las variantes con</w:t>
      </w:r>
      <w:r>
        <w:rPr>
          <w:lang w:val="es-ES"/>
        </w:rPr>
        <w:t xml:space="preserve"> </w:t>
      </w:r>
      <w:r>
        <w:rPr>
          <w:lang w:val="es-ES"/>
        </w:rPr>
        <w:t xml:space="preserve">ponderación necesitaron entre 5,65 y 6,02 horas. Estas diferencias son tiempos de pared observados y</w:t>
      </w:r>
      <w:r>
        <w:rPr>
          <w:lang w:val="es-ES"/>
        </w:rPr>
        <w:t xml:space="preserve"> </w:t>
      </w:r>
      <w:r>
        <w:rPr>
          <w:lang w:val="es-ES"/>
        </w:rPr>
        <w:t xml:space="preserve">pueden incluir variaciones de carga, entrada/salida y validación, por lo que no permiten aislar con</w:t>
      </w:r>
      <w:r>
        <w:rPr>
          <w:lang w:val="es-ES"/>
        </w:rPr>
        <w:t xml:space="preserve"> </w:t>
      </w:r>
      <w:r>
        <w:rPr>
          <w:lang w:val="es-ES"/>
        </w:rPr>
        <w:t xml:space="preserve">precisión el coste del bloque de fusión.</w:t>
      </w:r>
    </w:p>
    <w:p>
      <w:pPr>
        <w:rPr>
          <w:lang w:val="es-ES"/>
        </w:rPr>
      </w:pPr>
      <w:r>
        <w:rPr>
          <w:lang w:val="es-ES"/>
        </w:rPr>
        <w:t xml:space="preserve">Swin-UNETR contiene aproximadamente 52 veces más parámetros que la Residual U-Net y fue entrenado</w:t>
      </w:r>
      <w:r>
        <w:rPr>
          <w:lang w:val="es-ES"/>
        </w:rPr>
        <w:t xml:space="preserve"> </w:t>
      </w:r>
      <w:r>
        <w:rPr>
          <w:lang w:val="es-ES"/>
        </w:rPr>
        <w:t xml:space="preserve">en A100. Sus registros finales de tiempo y memoria no se conservaron por separado para las tres</w:t>
      </w:r>
      <w:r>
        <w:rPr>
          <w:lang w:val="es-ES"/>
        </w:rPr>
        <w:t xml:space="preserve"> </w:t>
      </w:r>
      <w:r>
        <w:rPr>
          <w:lang w:val="es-ES"/>
        </w:rPr>
        <w:t xml:space="preserve">semillas, por lo que no se incluyen estimaciones indirectas. En nnU-Net pudo recuperarse una duración</w:t>
      </w:r>
      <w:r>
        <w:rPr>
          <w:lang w:val="es-ES"/>
        </w:rPr>
        <w:t xml:space="preserve"> </w:t>
      </w:r>
      <w:r>
        <w:rPr>
          <w:lang w:val="es-ES"/>
        </w:rPr>
        <w:t xml:space="preserve">de 4,77 horas a partir del registro del entrenamiento, pero no una medida de memoria máxima. Tampoco</w:t>
      </w:r>
      <w:r>
        <w:rPr>
          <w:lang w:val="es-ES"/>
        </w:rPr>
        <w:t xml:space="preserve"> </w:t>
      </w:r>
      <w:r>
        <w:rPr>
          <w:lang w:val="es-ES"/>
        </w:rPr>
        <w:t xml:space="preserve">se registró de forma homogénea el tiempo de inferencia. En consecuencia, el análisis computacional</w:t>
      </w:r>
      <w:r>
        <w:rPr>
          <w:lang w:val="es-ES"/>
        </w:rPr>
        <w:t xml:space="preserve"> </w:t>
      </w:r>
      <w:r>
        <w:rPr>
          <w:lang w:val="es-ES"/>
        </w:rPr>
        <w:t xml:space="preserve">demuestra que las fusiones son ligeras en número de parámetros y documenta los tiempos disponibles,</w:t>
      </w:r>
      <w:r>
        <w:rPr>
          <w:lang w:val="es-ES"/>
        </w:rPr>
        <w:t xml:space="preserve"> </w:t>
      </w:r>
      <w:r>
        <w:rPr>
          <w:lang w:val="es-ES"/>
        </w:rPr>
        <w:t xml:space="preserve">pero no permite comparar de forma completa la eficiencia de todas las arquitecturas.</w:t>
      </w:r>
    </w:p>
    <w:bookmarkEnd w:id="56"/>
    <w:bookmarkStart w:id="58" w:name="análisis-cualitativo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5.5. Análisis cualitativo</w:t>
      </w:r>
    </w:p>
    <w:p>
      <w:pPr>
        <w:rPr>
          <w:lang w:val="es-ES"/>
        </w:rPr>
      </w:pPr>
      <w:r>
        <w:rPr>
          <w:lang w:val="es-ES"/>
        </w:rPr>
        <w:t xml:space="preserve">Las métricas agregadas se complementaron mediante la inspección del estudio</w:t>
      </w:r>
      <w:r>
        <w:rPr>
          <w:lang w:val="es-ES"/>
        </w:rPr>
        <w:t xml:space="preserve"> </w:t>
      </w:r>
      <w:r>
        <w:rPr>
          <w:lang w:val="es-ES"/>
        </w:rPr>
        <w:t xml:space="preserve">BraTS-GLI-02273-100. Este estudio pertenece a un sujeto no representado en entrenamiento ni</w:t>
      </w:r>
      <w:r>
        <w:rPr>
          <w:lang w:val="es-ES"/>
        </w:rPr>
        <w:t xml:space="preserve"> </w:t>
      </w:r>
      <w:r>
        <w:rPr>
          <w:lang w:val="es-ES"/>
        </w:rPr>
        <w:t xml:space="preserve">validación y se seleccionó con finalidad ilustrativa: contiene las tres regiones con extensión</w:t>
      </w:r>
      <w:r>
        <w:rPr>
          <w:lang w:val="es-ES"/>
        </w:rPr>
        <w:t xml:space="preserve"> </w:t>
      </w:r>
      <w:r>
        <w:rPr>
          <w:lang w:val="es-ES"/>
        </w:rPr>
        <w:t xml:space="preserve">visible y permite distinguir sus diferencias en un mismo corte. La selección favorece además un</w:t>
      </w:r>
      <w:r>
        <w:rPr>
          <w:lang w:val="es-ES"/>
        </w:rPr>
        <w:t xml:space="preserve"> </w:t>
      </w:r>
      <w:r>
        <w:rPr>
          <w:lang w:val="es-ES"/>
        </w:rPr>
        <w:t xml:space="preserve">caso en el que la concatenación obtiene un resultado adecuado, por lo que no debe considerarse</w:t>
      </w:r>
      <w:r>
        <w:rPr>
          <w:lang w:val="es-ES"/>
        </w:rPr>
        <w:t xml:space="preserve"> </w:t>
      </w:r>
      <w:r>
        <w:rPr>
          <w:lang w:val="es-ES"/>
        </w:rPr>
        <w:t xml:space="preserve">representativa de la distribución completa.</w:t>
      </w:r>
    </w:p>
    <w:p>
      <w:pPr>
        <w:rPr>
          <w:lang w:val="es-ES"/>
        </w:rPr>
      </w:pPr>
      <w:r>
        <w:rPr>
          <w:lang w:val="es-ES"/>
        </w:rPr>
        <w:t xml:space="preserve">La Figura 3 muestra el corte axial de mayor extensión de WT. Las cuatro configuraciones reproducen</w:t>
      </w:r>
      <w:r>
        <w:rPr>
          <w:lang w:val="es-ES"/>
        </w:rPr>
        <w:t xml:space="preserve"> </w:t>
      </w:r>
      <w:r>
        <w:rPr>
          <w:lang w:val="es-ES"/>
        </w:rPr>
        <w:t xml:space="preserve">la extensión principal de la lesión, aunque presentan diferencias locales en los límites y en la</w:t>
      </w:r>
      <w:r>
        <w:rPr>
          <w:lang w:val="es-ES"/>
        </w:rPr>
        <w:t xml:space="preserve"> </w:t>
      </w:r>
      <w:r>
        <w:rPr>
          <w:lang w:val="es-ES"/>
        </w:rPr>
        <w:t xml:space="preserve">distribución interna de ET y TC. Estas observaciones se restringen al ejemplo mostrado y se utilizan</w:t>
      </w:r>
      <w:r>
        <w:rPr>
          <w:lang w:val="es-ES"/>
        </w:rPr>
        <w:t xml:space="preserve"> </w:t>
      </w:r>
      <w:r>
        <w:rPr>
          <w:lang w:val="es-ES"/>
        </w:rPr>
        <w:t xml:space="preserve">únicamente como complemento visual de las métricas agregadas.</w:t>
      </w:r>
    </w:p>
    <w:p xmlns:a="http://schemas.openxmlformats.org/drawingml/2006/main" xmlns:pic="http://schemas.openxmlformats.org/drawingml/2006/picture">
      <w:pPr>
        <w:keepNext/>
        <w:spacing w:before="120" w:after="0"/>
        <w:jc w:val="center"/>
        <w:rPr>
          <w:lang w:val="es-ES"/>
        </w:rPr>
      </w:pPr>
      <w:r>
        <w:rPr>
          <w:lang w:val="es-ES"/>
        </w:rPr>
        <w:drawing>
          <wp:inline>
            <wp:extent cx="5400000" cy="1255135"/>
            <wp:effectExtent b="0" l="0" r="0" t="0"/>
            <wp:docPr descr="Comparación cualitativa de arquitecturas: referencia, nnU-Net, Swin-UNETR, Attention U-Net y Residual U-Net con concatenación." title="Comparación cualitativa de arquitecturas: referencia, nnU-Net, Swin-UNETR, Attention U-Net y Residual U-Net con concatenación." id="4" name="Picture"/>
            <a:graphic>
              <a:graphicData uri="http://schemas.openxmlformats.org/drawingml/2006/picture">
                <pic:pic>
                  <pic:nvPicPr>
                    <pic:cNvPr descr="figuras/fig_comparacion_arquitecturas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255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Figura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Figura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3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Comparación cualitativa sobre el estudio BraTS-GLI-02273-100, en el corte axial de mayor extensión de WT. De izquierda a derecha: referencia manual, nnU-Net, Swin-UNETR, Attention U-Net y Residual U-Net con concatenación. Las configuraciones MONAI mostradas corresponden a la semilla 20260526.</w:t>
      </w:r>
    </w:p>
    <w:p>
      <w:pPr>
        <w:rPr>
          <w:lang w:val="es-ES"/>
        </w:rPr>
      </w:pPr>
      <w:r>
        <w:rPr>
          <w:lang w:val="es-ES"/>
        </w:rPr>
        <w:t xml:space="preserve">La Figura 4 compara, para el mismo estudio y corte, la concatenación de la semilla 20260526 con la</w:t>
      </w:r>
      <w:r>
        <w:rPr>
          <w:lang w:val="es-ES"/>
        </w:rPr>
        <w:t xml:space="preserve"> </w:t>
      </w:r>
      <w:r>
        <w:rPr>
          <w:lang w:val="es-ES"/>
        </w:rPr>
        <w:t xml:space="preserve">compuerta adaptativa de la semilla 20260528, correspondiente a la corrida de bajo rendimiento</w:t>
      </w:r>
      <w:r>
        <w:rPr>
          <w:lang w:val="es-ES"/>
        </w:rPr>
        <w:t xml:space="preserve"> </w:t>
      </w:r>
      <w:r>
        <w:rPr>
          <w:lang w:val="es-ES"/>
        </w:rPr>
        <w:t xml:space="preserve">identificada en la Tabla 12. En este ejemplo, la segunda predicción sobreestima ET y representa con</w:t>
      </w:r>
      <w:r>
        <w:rPr>
          <w:lang w:val="es-ES"/>
        </w:rPr>
        <w:t xml:space="preserve"> </w:t>
      </w:r>
      <w:r>
        <w:rPr>
          <w:lang w:val="es-ES"/>
        </w:rPr>
        <w:t xml:space="preserve">menor precisión la distribución interna de las regiones. La figura ilustra el tipo de error</w:t>
      </w:r>
      <w:r>
        <w:rPr>
          <w:lang w:val="es-ES"/>
        </w:rPr>
        <w:t xml:space="preserve"> </w:t>
      </w:r>
      <w:r>
        <w:rPr>
          <w:lang w:val="es-ES"/>
        </w:rPr>
        <w:t xml:space="preserve">producido por esa corrida concreta, sin utilizarse como evidencia independiente del comportamiento</w:t>
      </w:r>
      <w:r>
        <w:rPr>
          <w:lang w:val="es-ES"/>
        </w:rPr>
        <w:t xml:space="preserve"> </w:t>
      </w:r>
      <w:r>
        <w:rPr>
          <w:lang w:val="es-ES"/>
        </w:rPr>
        <w:t xml:space="preserve">general de la estrategia.</w:t>
      </w:r>
    </w:p>
    <w:p xmlns:a="http://schemas.openxmlformats.org/drawingml/2006/main" xmlns:pic="http://schemas.openxmlformats.org/drawingml/2006/picture">
      <w:pPr>
        <w:keepNext/>
        <w:spacing w:before="120" w:after="0"/>
        <w:jc w:val="center"/>
        <w:rPr>
          <w:lang w:val="es-ES"/>
        </w:rPr>
      </w:pPr>
      <w:r>
        <w:rPr>
          <w:lang w:val="es-ES"/>
        </w:rPr>
        <w:drawing>
          <wp:inline>
            <wp:extent cx="5400000" cy="2024999"/>
            <wp:effectExtent b="0" l="0" r="0" t="0"/>
            <wp:docPr descr="Comparación entre la concatenación y una corrida de bajo rendimiento de la compuerta adaptativa." title="Comparación entre la concatenación y una corrida de bajo rendimiento de la compuerta adaptativa." id="5" name="Picture"/>
            <a:graphic>
              <a:graphicData uri="http://schemas.openxmlformats.org/drawingml/2006/picture">
                <pic:pic>
                  <pic:nvPicPr>
                    <pic:cNvPr descr="figuras/fig_colapso_adaptive_gating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2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Figura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Figura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4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Ejemplo cualitativo de una corrida de bajo rendimiento de adaptive_gating. De izquierda a derecha: referencia manual, concatenación (semilla 20260526) y compuerta adaptativa (semilla 20260528).</w:t>
      </w:r>
    </w:p>
    <w:bookmarkEnd w:id="57"/>
    <w:bookmarkStart w:id="59" w:name="síntesis-de-los-resultados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5.6. Síntesis de los resultados</w:t>
      </w:r>
    </w:p>
    <w:p>
      <w:pPr>
        <w:rPr>
          <w:lang w:val="es-ES"/>
        </w:rPr>
      </w:pPr>
      <w:r>
        <w:rPr>
          <w:lang w:val="es-ES"/>
        </w:rPr>
        <w:t xml:space="preserve">Los resultados permiten establecer las siguientes observaciones dentro del alcance del montaje</w:t>
      </w:r>
      <w:r>
        <w:rPr>
          <w:lang w:val="es-ES"/>
        </w:rPr>
        <w:t xml:space="preserve"> </w:t>
      </w:r>
      <w:r>
        <w:rPr>
          <w:lang w:val="es-ES"/>
        </w:rPr>
        <w:t xml:space="preserve">experimental:</w:t>
      </w:r>
    </w:p>
    <w:p>
      <w:pPr>
        <w:numPr>
          <w:ilvl w:val="0"/>
          <w:numId w:val="8"/>
        </w:numPr>
        <w:rPr>
          <w:lang w:val="es-ES"/>
        </w:rPr>
      </w:pPr>
      <w:r>
        <w:rPr>
          <w:lang w:val="es-ES"/>
        </w:rPr>
        <w:t xml:space="preserve">La concatenación y la ponderación global producen valores prácticamente coincidentes. Los pesos</w:t>
      </w:r>
      <w:r>
        <w:rPr>
          <w:lang w:val="es-ES"/>
        </w:rPr>
        <w:t xml:space="preserve"> </w:t>
      </w:r>
      <w:r>
        <w:rPr>
          <w:lang w:val="es-ES"/>
        </w:rPr>
        <w:t xml:space="preserve">aprendidos por la ponderación global permanecen próximos a una distribución uniforme.</w:t>
      </w:r>
    </w:p>
    <w:p>
      <w:pPr>
        <w:numPr>
          <w:ilvl w:val="0"/>
          <w:numId w:val="8"/>
        </w:numPr>
        <w:rPr>
          <w:lang w:val="es-ES"/>
        </w:rPr>
      </w:pPr>
      <w:r>
        <w:rPr>
          <w:lang w:val="es-ES"/>
        </w:rPr>
        <w:t xml:space="preserve">Las compuertas adaptativas no muestran una mejora consistente y presentan mayor variabilidad</w:t>
      </w:r>
      <w:r>
        <w:rPr>
          <w:lang w:val="es-ES"/>
        </w:rPr>
        <w:t xml:space="preserve"> </w:t>
      </w:r>
      <w:r>
        <w:rPr>
          <w:lang w:val="es-ES"/>
        </w:rPr>
        <w:t xml:space="preserve">entre semillas debido a una corrida de bajo rendimiento en cada variante.</w:t>
      </w:r>
    </w:p>
    <w:p>
      <w:pPr>
        <w:numPr>
          <w:ilvl w:val="0"/>
          <w:numId w:val="8"/>
        </w:numPr>
        <w:rPr>
          <w:lang w:val="es-ES"/>
        </w:rPr>
      </w:pPr>
      <w:r>
        <w:rPr>
          <w:lang w:val="es-ES"/>
        </w:rPr>
        <w:t xml:space="preserve">Los pesos de las compuertas cambian muy poco entre estudios. La variante media+desviación aumenta</w:t>
      </w:r>
      <w:r>
        <w:rPr>
          <w:lang w:val="es-ES"/>
        </w:rPr>
        <w:t xml:space="preserve"> </w:t>
      </w:r>
      <w:r>
        <w:rPr>
          <w:lang w:val="es-ES"/>
        </w:rPr>
        <w:t xml:space="preserve">la información de entrada del bloque, pero la variación observada entre estudios sigue siendo</w:t>
      </w:r>
      <w:r>
        <w:rPr>
          <w:lang w:val="es-ES"/>
        </w:rPr>
        <w:t xml:space="preserve"> </w:t>
      </w:r>
      <w:r>
        <w:rPr>
          <w:lang w:val="es-ES"/>
        </w:rPr>
        <w:t xml:space="preserve">muy pequeña y no se obtiene una mejora consistente.</w:t>
      </w:r>
    </w:p>
    <w:p>
      <w:pPr>
        <w:numPr>
          <w:ilvl w:val="0"/>
          <w:numId w:val="8"/>
        </w:numPr>
        <w:rPr>
          <w:lang w:val="es-ES"/>
        </w:rPr>
      </w:pPr>
      <w:r>
        <w:rPr>
          <w:lang w:val="es-ES"/>
        </w:rPr>
        <w:t xml:space="preserve">nnU-Net obtiene el mayor rendimiento numérico y actúa como referencia externa. Entre las</w:t>
      </w:r>
      <w:r>
        <w:rPr>
          <w:lang w:val="es-ES"/>
        </w:rPr>
        <w:t xml:space="preserve"> </w:t>
      </w:r>
      <w:r>
        <w:rPr>
          <w:lang w:val="es-ES"/>
        </w:rPr>
        <w:t xml:space="preserve">configuraciones MONAI, Swin-UNETR alcanza el mayor Dice medio, aunque la comparación completa de</w:t>
      </w:r>
      <w:r>
        <w:rPr>
          <w:lang w:val="es-ES"/>
        </w:rPr>
        <w:t xml:space="preserve"> </w:t>
      </w:r>
      <w:r>
        <w:rPr>
          <w:lang w:val="es-ES"/>
        </w:rPr>
        <w:t xml:space="preserve">arquitecturas es contextual y no una ablación causal.</w:t>
      </w:r>
    </w:p>
    <w:p>
      <w:pPr>
        <w:numPr>
          <w:ilvl w:val="0"/>
          <w:numId w:val="8"/>
        </w:numPr>
        <w:rPr>
          <w:lang w:val="es-ES"/>
        </w:rPr>
      </w:pPr>
      <w:r>
        <w:rPr>
          <w:lang w:val="es-ES"/>
        </w:rPr>
        <w:t xml:space="preserve">Las estrategias de fusión añaden pocos parámetros. Sus tiempos de pared fueron mayores que los</w:t>
      </w:r>
      <w:r>
        <w:rPr>
          <w:lang w:val="es-ES"/>
        </w:rPr>
        <w:t xml:space="preserve"> </w:t>
      </w:r>
      <w:r>
        <w:rPr>
          <w:lang w:val="es-ES"/>
        </w:rPr>
        <w:t xml:space="preserve">de la concatenación en las ejecuciones locales, aunque el diseño no permite atribuir esta</w:t>
      </w:r>
      <w:r>
        <w:rPr>
          <w:lang w:val="es-ES"/>
        </w:rPr>
        <w:t xml:space="preserve"> </w:t>
      </w:r>
      <w:r>
        <w:rPr>
          <w:lang w:val="es-ES"/>
        </w:rPr>
        <w:t xml:space="preserve">diferencia exclusivamente al bloque de fusión.</w:t>
      </w:r>
    </w:p>
    <w:p>
      <w:pPr>
        <w:rPr>
          <w:lang w:val="es-ES"/>
        </w:rPr>
      </w:pPr>
      <w:r>
        <w:rPr>
          <w:lang w:val="es-ES"/>
        </w:rPr>
        <w:t xml:space="preserve">En respuesta a la pregunta de investigación, bajo las configuraciones, el presupuesto y la</w:t>
      </w:r>
      <w:r>
        <w:rPr>
          <w:lang w:val="es-ES"/>
        </w:rPr>
        <w:t xml:space="preserve"> </w:t>
      </w:r>
      <w:r>
        <w:rPr>
          <w:lang w:val="es-ES"/>
        </w:rPr>
        <w:t xml:space="preserve">partición utilizados no se obtuvo evidencia de que la ponderación adaptativa ligera mejore de forma</w:t>
      </w:r>
      <w:r>
        <w:rPr>
          <w:lang w:val="es-ES"/>
        </w:rPr>
        <w:t xml:space="preserve"> </w:t>
      </w:r>
      <w:r>
        <w:rPr>
          <w:lang w:val="es-ES"/>
        </w:rPr>
        <w:t xml:space="preserve">consistente la concatenación directa. Este resultado negativo delimita las condiciones en las que</w:t>
      </w:r>
      <w:r>
        <w:rPr>
          <w:lang w:val="es-ES"/>
        </w:rPr>
        <w:t xml:space="preserve"> </w:t>
      </w:r>
      <w:r>
        <w:rPr>
          <w:lang w:val="es-ES"/>
        </w:rPr>
        <w:t xml:space="preserve">los mecanismos evaluados no aportaron la ventaja esperada y constituye la base de las conclusiones</w:t>
      </w:r>
      <w:r>
        <w:rPr>
          <w:lang w:val="es-ES"/>
        </w:rPr>
        <w:t xml:space="preserve"> </w:t>
      </w:r>
      <w:r>
        <w:rPr>
          <w:lang w:val="es-ES"/>
        </w:rPr>
        <w:t xml:space="preserve">del Capítulo 6.</w:t>
      </w:r>
    </w:p>
    <w:bookmarkEnd w:id="58"/>
    <w:bookmarkEnd w:id="59"/>
    <w:bookmarkStart w:id="60" w:name="conclusiones"/>
    <w:p>
      <w:pPr>
        <w:keepNext/>
        <w:keepLines/>
        <w:pageBreakBefore/>
        <w:numPr>
          <w:numId w:val="0"/>
        </w:numPr>
        <w:pStyle w:val="Heading1"/>
        <w:rPr>
          <w:lang w:val="es-ES"/>
        </w:rPr>
      </w:pPr>
      <w:r>
        <w:rPr>
          <w:lang w:val="es-ES"/>
        </w:rPr>
        <w:t xml:space="preserve">6. Conclusiones</w:t>
      </w:r>
    </w:p>
    <w:p>
      <w:pPr>
        <w:rPr>
          <w:lang w:val="es-ES"/>
        </w:rPr>
      </w:pPr>
      <w:r>
        <w:rPr>
          <w:lang w:val="es-ES"/>
        </w:rPr>
        <w:t xml:space="preserve">Este capítulo sintetiza los principales resultados del trabajo, responde a la pregunta de</w:t>
      </w:r>
      <w:r>
        <w:rPr>
          <w:lang w:val="es-ES"/>
        </w:rPr>
        <w:t xml:space="preserve"> </w:t>
      </w:r>
      <w:r>
        <w:rPr>
          <w:lang w:val="es-ES"/>
        </w:rPr>
        <w:t xml:space="preserve">investigación formulada en el Capítulo 1, valora el grado de cumplimiento de los objetivos y delimita</w:t>
      </w:r>
      <w:r>
        <w:rPr>
          <w:lang w:val="es-ES"/>
        </w:rPr>
        <w:t xml:space="preserve"> </w:t>
      </w:r>
      <w:r>
        <w:rPr>
          <w:lang w:val="es-ES"/>
        </w:rPr>
        <w:t xml:space="preserve">el alcance de las conclusiones. Finalmente, presenta las principales limitaciones del estudio y las</w:t>
      </w:r>
      <w:r>
        <w:rPr>
          <w:lang w:val="es-ES"/>
        </w:rPr>
        <w:t xml:space="preserve"> </w:t>
      </w:r>
      <w:r>
        <w:rPr>
          <w:lang w:val="es-ES"/>
        </w:rPr>
        <w:t xml:space="preserve">líneas de trabajo que se derivan de ellas.</w:t>
      </w:r>
    </w:p>
    <w:bookmarkStart w:id="61" w:name="respuesta-a-la-pregunta-de-investigación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6.1. Respuesta a la pregunta de investigación</w:t>
      </w:r>
    </w:p>
    <w:p>
      <w:pPr>
        <w:rPr>
          <w:lang w:val="es-ES"/>
        </w:rPr>
      </w:pPr>
      <w:r>
        <w:rPr>
          <w:lang w:val="es-ES"/>
        </w:rPr>
        <w:t xml:space="preserve">La pregunta de investigación planteaba si una ponderación explícita y ligera de las modalidades</w:t>
      </w:r>
      <w:r>
        <w:rPr>
          <w:lang w:val="es-ES"/>
        </w:rPr>
        <w:t xml:space="preserve"> </w:t>
      </w:r>
      <w:r>
        <w:rPr>
          <w:lang w:val="es-ES"/>
        </w:rPr>
        <w:t xml:space="preserve">T1n, T1c, T2w y FLAIR —en particular, una compuerta adaptativa condicionada por la entrada— podía</w:t>
      </w:r>
      <w:r>
        <w:rPr>
          <w:lang w:val="es-ES"/>
        </w:rPr>
        <w:t xml:space="preserve"> </w:t>
      </w:r>
      <w:r>
        <w:rPr>
          <w:lang w:val="es-ES"/>
        </w:rPr>
        <w:t xml:space="preserve">mejorar de forma consistente la segmentación 3D de ET, TC y WT frente a la concatenación directa,</w:t>
      </w:r>
      <w:r>
        <w:rPr>
          <w:lang w:val="es-ES"/>
        </w:rPr>
        <w:t xml:space="preserve"> </w:t>
      </w:r>
      <w:r>
        <w:rPr>
          <w:lang w:val="es-ES"/>
        </w:rPr>
        <w:t xml:space="preserve">manteniendo fija la Residual U-Net 3D y un coste computacional asumible.</w:t>
      </w:r>
    </w:p>
    <w:p>
      <w:pPr>
        <w:rPr>
          <w:lang w:val="es-ES"/>
        </w:rPr>
      </w:pPr>
      <w:r>
        <w:rPr>
          <w:lang w:val="es-ES"/>
        </w:rPr>
        <w:t xml:space="preserve">Los resultados obtenidos no aportan evidencia de una mejora consistente. La concatenación alcanzó</w:t>
      </w:r>
      <w:r>
        <w:rPr>
          <w:lang w:val="es-ES"/>
        </w:rPr>
        <w:t xml:space="preserve"> </w:t>
      </w:r>
      <w:r>
        <w:rPr>
          <w:lang w:val="es-ES"/>
        </w:rPr>
        <w:t xml:space="preserve">un Dice medio de 0,706 ± 0,005 y la ponderación global estática obtuvo 0,706 ± 0,006. La diferencia</w:t>
      </w:r>
      <w:r>
        <w:rPr>
          <w:lang w:val="es-ES"/>
        </w:rPr>
        <w:t xml:space="preserve"> </w:t>
      </w:r>
      <w:r>
        <w:rPr>
          <w:lang w:val="es-ES"/>
        </w:rPr>
        <w:t xml:space="preserve">entre ambas medias fue inferior a 0,001 y cambió de signo entre semillas. Por tanto, en las</w:t>
      </w:r>
      <w:r>
        <w:rPr>
          <w:lang w:val="es-ES"/>
        </w:rPr>
        <w:t xml:space="preserve"> </w:t>
      </w:r>
      <w:r>
        <w:rPr>
          <w:lang w:val="es-ES"/>
        </w:rPr>
        <w:t xml:space="preserve">ejecuciones realizadas no se observó una ventaja sistemática asociada a la ponderación global.</w:t>
      </w:r>
    </w:p>
    <w:p>
      <w:pPr>
        <w:rPr>
          <w:lang w:val="es-ES"/>
        </w:rPr>
      </w:pPr>
      <w:r>
        <w:rPr>
          <w:lang w:val="es-ES"/>
        </w:rPr>
        <w:t xml:space="preserve">Las dos variantes adaptativas presentaron medias inferiores, de 0,586 ± 0,169 y 0,592 ± 0,171,</w:t>
      </w:r>
      <w:r>
        <w:rPr>
          <w:lang w:val="es-ES"/>
        </w:rPr>
        <w:t xml:space="preserve"> </w:t>
      </w:r>
      <w:r>
        <w:rPr>
          <w:lang w:val="es-ES"/>
        </w:rPr>
        <w:t xml:space="preserve">debido principalmente a una corrida de bajo rendimiento en cada configuración. Las restantes</w:t>
      </w:r>
      <w:r>
        <w:rPr>
          <w:lang w:val="es-ES"/>
        </w:rPr>
        <w:t xml:space="preserve"> </w:t>
      </w:r>
      <w:r>
        <w:rPr>
          <w:lang w:val="es-ES"/>
        </w:rPr>
        <w:t xml:space="preserve">corridas obtuvieron valores próximos a los de las estrategias no adaptativas. Con tres repeticiones</w:t>
      </w:r>
      <w:r>
        <w:rPr>
          <w:lang w:val="es-ES"/>
        </w:rPr>
        <w:t xml:space="preserve"> </w:t>
      </w:r>
      <w:r>
        <w:rPr>
          <w:lang w:val="es-ES"/>
        </w:rPr>
        <w:t xml:space="preserve">por variante no es posible estimar una probabilidad general de fallo, establecer diferencias</w:t>
      </w:r>
      <w:r>
        <w:rPr>
          <w:lang w:val="es-ES"/>
        </w:rPr>
        <w:t xml:space="preserve"> </w:t>
      </w:r>
      <w:r>
        <w:rPr>
          <w:lang w:val="es-ES"/>
        </w:rPr>
        <w:t xml:space="preserve">estadísticamente significativas ni determinar la causa de esas ejecuciones. Sí puede concluirse que,</w:t>
      </w:r>
      <w:r>
        <w:rPr>
          <w:lang w:val="es-ES"/>
        </w:rPr>
        <w:t xml:space="preserve"> </w:t>
      </w:r>
      <w:r>
        <w:rPr>
          <w:lang w:val="es-ES"/>
        </w:rPr>
        <w:t xml:space="preserve">dentro del presupuesto evaluado, las variantes adaptativas mostraron una variabilidad entre semillas</w:t>
      </w:r>
      <w:r>
        <w:rPr>
          <w:lang w:val="es-ES"/>
        </w:rPr>
        <w:t xml:space="preserve"> </w:t>
      </w:r>
      <w:r>
        <w:rPr>
          <w:lang w:val="es-ES"/>
        </w:rPr>
        <w:t xml:space="preserve">mayor que la concatenación y la ponderación global.</w:t>
      </w:r>
    </w:p>
    <w:p>
      <w:pPr>
        <w:rPr>
          <w:lang w:val="es-ES"/>
        </w:rPr>
      </w:pPr>
      <w:r>
        <w:rPr>
          <w:lang w:val="es-ES"/>
        </w:rPr>
        <w:t xml:space="preserve">El análisis de las compuertas aporta información adicional. Los pesos generados por cada modelo</w:t>
      </w:r>
      <w:r>
        <w:rPr>
          <w:lang w:val="es-ES"/>
        </w:rPr>
        <w:t xml:space="preserve"> </w:t>
      </w:r>
      <w:r>
        <w:rPr>
          <w:lang w:val="es-ES"/>
        </w:rPr>
        <w:t xml:space="preserve">variaron muy poco entre estudios y mantuvieron una entropía elevada, próxima al máximo correspondiente</w:t>
      </w:r>
      <w:r>
        <w:rPr>
          <w:lang w:val="es-ES"/>
        </w:rPr>
        <w:t xml:space="preserve"> </w:t>
      </w:r>
      <w:r>
        <w:rPr>
          <w:lang w:val="es-ES"/>
        </w:rPr>
        <w:t xml:space="preserve">a cuatro modalidades. Por tanto, no se produjo una concentración sistemática en una única modalidad.</w:t>
      </w:r>
      <w:r>
        <w:rPr>
          <w:lang w:val="es-ES"/>
        </w:rPr>
        <w:t xml:space="preserve"> </w:t>
      </w:r>
      <w:r>
        <w:rPr>
          <w:lang w:val="es-ES"/>
        </w:rPr>
        <w:t xml:space="preserve">La escasa variación entre entradas es compatible con que los descriptores globales empleados</w:t>
      </w:r>
      <w:r>
        <w:rPr>
          <w:lang w:val="es-ES"/>
        </w:rPr>
        <w:t xml:space="preserve"> </w:t>
      </w:r>
      <w:r>
        <w:rPr>
          <w:lang w:val="es-ES"/>
        </w:rPr>
        <w:t xml:space="preserve">proporcionaran una señal limitada para condicionar la fusión. Esta observación, sin embargo, no</w:t>
      </w:r>
      <w:r>
        <w:rPr>
          <w:lang w:val="es-ES"/>
        </w:rPr>
        <w:t xml:space="preserve"> </w:t>
      </w:r>
      <w:r>
        <w:rPr>
          <w:lang w:val="es-ES"/>
        </w:rPr>
        <w:t xml:space="preserve">demuestra por sí sola la causa del bajo rendimiento de algunas ejecuciones.</w:t>
      </w:r>
    </w:p>
    <w:p>
      <w:pPr>
        <w:rPr>
          <w:lang w:val="es-ES"/>
        </w:rPr>
      </w:pPr>
      <w:r>
        <w:rPr>
          <w:lang w:val="es-ES"/>
        </w:rPr>
        <w:t xml:space="preserve">Los bloques de fusión fueron ligeros en número de parámetros: añadieron entre 4 y 108 parámetros</w:t>
      </w:r>
      <w:r>
        <w:rPr>
          <w:lang w:val="es-ES"/>
        </w:rPr>
        <w:t xml:space="preserve"> </w:t>
      </w:r>
      <w:r>
        <w:rPr>
          <w:lang w:val="es-ES"/>
        </w:rPr>
        <w:t xml:space="preserve">respecto a la Residual U-Net con concatenación. En las ejecuciones locales se observaron tiempos de</w:t>
      </w:r>
      <w:r>
        <w:rPr>
          <w:lang w:val="es-ES"/>
        </w:rPr>
        <w:t xml:space="preserve"> </w:t>
      </w:r>
      <w:r>
        <w:rPr>
          <w:lang w:val="es-ES"/>
        </w:rPr>
        <w:t xml:space="preserve">pared superiores para las variantes ponderadas, aunque las diferencias de carga, entrada/salida y</w:t>
      </w:r>
      <w:r>
        <w:rPr>
          <w:lang w:val="es-ES"/>
        </w:rPr>
        <w:t xml:space="preserve"> </w:t>
      </w:r>
      <w:r>
        <w:rPr>
          <w:lang w:val="es-ES"/>
        </w:rPr>
        <w:t xml:space="preserve">validación impiden atribuir ese incremento exclusivamente al bloque de fusión. Además, no se</w:t>
      </w:r>
      <w:r>
        <w:rPr>
          <w:lang w:val="es-ES"/>
        </w:rPr>
        <w:t xml:space="preserve"> </w:t>
      </w:r>
      <w:r>
        <w:rPr>
          <w:lang w:val="es-ES"/>
        </w:rPr>
        <w:t xml:space="preserve">conservaron medidas homogéneas de memoria y tiempo de inferencia para todas las configuraciones. En</w:t>
      </w:r>
      <w:r>
        <w:rPr>
          <w:lang w:val="es-ES"/>
        </w:rPr>
        <w:t xml:space="preserve"> </w:t>
      </w:r>
      <w:r>
        <w:rPr>
          <w:lang w:val="es-ES"/>
        </w:rPr>
        <w:t xml:space="preserve">consecuencia, puede afirmarse que las estrategias son ligeras desde el punto de vista paramétrico,</w:t>
      </w:r>
      <w:r>
        <w:rPr>
          <w:lang w:val="es-ES"/>
        </w:rPr>
        <w:t xml:space="preserve"> </w:t>
      </w:r>
      <w:r>
        <w:rPr>
          <w:lang w:val="es-ES"/>
        </w:rPr>
        <w:t xml:space="preserve">pero no establecer una comparación completa de eficiencia computacional.</w:t>
      </w:r>
    </w:p>
    <w:p>
      <w:pPr>
        <w:rPr>
          <w:lang w:val="es-ES"/>
        </w:rPr>
      </w:pPr>
      <w:r>
        <w:rPr>
          <w:lang w:val="es-ES"/>
        </w:rPr>
        <w:t xml:space="preserve">La respuesta a la pregunta de investigación es, por tanto, negativa dentro de las configuraciones,</w:t>
      </w:r>
      <w:r>
        <w:rPr>
          <w:lang w:val="es-ES"/>
        </w:rPr>
        <w:t xml:space="preserve"> </w:t>
      </w:r>
      <w:r>
        <w:rPr>
          <w:lang w:val="es-ES"/>
        </w:rPr>
        <w:t xml:space="preserve">el presupuesto y la partición utilizados: no se obtuvo evidencia de que la ponderación adaptativa</w:t>
      </w:r>
      <w:r>
        <w:rPr>
          <w:lang w:val="es-ES"/>
        </w:rPr>
        <w:t xml:space="preserve"> </w:t>
      </w:r>
      <w:r>
        <w:rPr>
          <w:lang w:val="es-ES"/>
        </w:rPr>
        <w:t xml:space="preserve">ligera evaluada mejore de forma consistente la concatenación directa. Esta conclusión se limita al</w:t>
      </w:r>
      <w:r>
        <w:rPr>
          <w:lang w:val="es-ES"/>
        </w:rPr>
        <w:t xml:space="preserve"> </w:t>
      </w:r>
      <w:r>
        <w:rPr>
          <w:lang w:val="es-ES"/>
        </w:rPr>
        <w:t xml:space="preserve">mecanismo implementado y al montaje experimental del trabajo, y no supone que cualquier forma de</w:t>
      </w:r>
      <w:r>
        <w:rPr>
          <w:lang w:val="es-ES"/>
        </w:rPr>
        <w:t xml:space="preserve"> </w:t>
      </w:r>
      <w:r>
        <w:rPr>
          <w:lang w:val="es-ES"/>
        </w:rPr>
        <w:t xml:space="preserve">fusión adaptativa de modalidades deba producir el mismo resultado.</w:t>
      </w:r>
    </w:p>
    <w:bookmarkEnd w:id="60"/>
    <w:bookmarkStart w:id="62" w:name="grado-de-cumplimiento-de-los-objetivos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6.2. Grado de cumplimiento de los objetivos</w:t>
      </w:r>
    </w:p>
    <w:p>
      <w:pPr>
        <w:rPr>
          <w:lang w:val="es-ES"/>
        </w:rPr>
      </w:pPr>
      <w:r>
        <w:rPr>
          <w:lang w:val="es-ES"/>
        </w:rPr>
        <w:t xml:space="preserve">El objetivo principal consistía en diseñar, implementar y evaluar un sistema reproducible que</w:t>
      </w:r>
      <w:r>
        <w:rPr>
          <w:lang w:val="es-ES"/>
        </w:rPr>
        <w:t xml:space="preserve"> </w:t>
      </w:r>
      <w:r>
        <w:rPr>
          <w:lang w:val="es-ES"/>
        </w:rPr>
        <w:t xml:space="preserve">permitiera determinar si la ponderación adaptativa mejoraba la concatenación, considerando el</w:t>
      </w:r>
      <w:r>
        <w:rPr>
          <w:lang w:val="es-ES"/>
        </w:rPr>
        <w:t xml:space="preserve"> </w:t>
      </w:r>
      <w:r>
        <w:rPr>
          <w:lang w:val="es-ES"/>
        </w:rPr>
        <w:t xml:space="preserve">rendimiento de segmentación y el coste computacional. Este objetivo se alcanzó en su finalidad</w:t>
      </w:r>
      <w:r>
        <w:rPr>
          <w:lang w:val="es-ES"/>
        </w:rPr>
        <w:t xml:space="preserve"> </w:t>
      </w:r>
      <w:r>
        <w:rPr>
          <w:lang w:val="es-ES"/>
        </w:rPr>
        <w:t xml:space="preserve">experimental: el sistema fue construido, las estrategias se compararon y la pregunta de</w:t>
      </w:r>
      <w:r>
        <w:rPr>
          <w:lang w:val="es-ES"/>
        </w:rPr>
        <w:t xml:space="preserve"> </w:t>
      </w:r>
      <w:r>
        <w:rPr>
          <w:lang w:val="es-ES"/>
        </w:rPr>
        <w:t xml:space="preserve">investigación pudo responderse. La caracterización del coste quedó limitada por la disponibilidad</w:t>
      </w:r>
      <w:r>
        <w:rPr>
          <w:lang w:val="es-ES"/>
        </w:rPr>
        <w:t xml:space="preserve"> </w:t>
      </w:r>
      <w:r>
        <w:rPr>
          <w:lang w:val="es-ES"/>
        </w:rPr>
        <w:t xml:space="preserve">incompleta de medidas homogéneas de memoria y tiempo de inferencia.</w:t>
      </w:r>
    </w:p>
    <w:p>
      <w:pPr>
        <w:rPr>
          <w:lang w:val="es-ES"/>
        </w:rPr>
      </w:pPr>
      <w:r>
        <w:rPr>
          <w:lang w:val="es-ES"/>
        </w:rPr>
        <w:t xml:space="preserve">Respecto a los objetivos específicos, el grado de cumplimiento fue el siguiente:</w:t>
      </w:r>
    </w:p>
    <w:p>
      <w:pPr>
        <w:numPr>
          <w:ilvl w:val="0"/>
          <w:numId w:val="9"/>
        </w:numPr>
        <w:rPr>
          <w:lang w:val="es-ES"/>
        </w:rPr>
      </w:pPr>
      <w:r>
        <w:rPr>
          <w:lang w:val="es-ES"/>
        </w:rPr>
        <w:t xml:space="preserve">Se construyó un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con MONAI que integra la carga y verificación de los volúmenes, la</w:t>
      </w:r>
      <w:r>
        <w:rPr>
          <w:lang w:val="es-ES"/>
        </w:rPr>
        <w:t xml:space="preserve"> </w:t>
      </w:r>
      <w:r>
        <w:rPr>
          <w:lang w:val="es-ES"/>
        </w:rPr>
        <w:t xml:space="preserve">transformación de etiquetas, la normalización, el aumento de datos, el entrenamiento, la</w:t>
      </w:r>
      <w:r>
        <w:rPr>
          <w:lang w:val="es-ES"/>
        </w:rPr>
        <w:t xml:space="preserve"> </w:t>
      </w:r>
      <w:r>
        <w:rPr>
          <w:lang w:val="es-ES"/>
        </w:rPr>
        <w:t xml:space="preserve">inferencia y la evaluación. Las configuraciones, semillas y particiones quedaron registradas para</w:t>
      </w:r>
      <w:r>
        <w:rPr>
          <w:lang w:val="es-ES"/>
        </w:rPr>
        <w:t xml:space="preserve"> </w:t>
      </w:r>
      <w:r>
        <w:rPr>
          <w:lang w:val="es-ES"/>
        </w:rPr>
        <w:t xml:space="preserve">permitir una reproducibilidad práctica del flujo experimental.</w:t>
      </w:r>
    </w:p>
    <w:p>
      <w:pPr>
        <w:numPr>
          <w:ilvl w:val="0"/>
          <w:numId w:val="9"/>
        </w:numPr>
        <w:rPr>
          <w:lang w:val="es-ES"/>
        </w:rPr>
      </w:pPr>
      <w:r>
        <w:rPr>
          <w:lang w:val="es-ES"/>
        </w:rPr>
        <w:t xml:space="preserve">Se implementó y entrenó una Residual U-Net 3D con concatenación directa de las cuatro modalidades,</w:t>
      </w:r>
      <w:r>
        <w:rPr>
          <w:lang w:val="es-ES"/>
        </w:rPr>
        <w:t xml:space="preserve"> </w:t>
      </w:r>
      <w:r>
        <w:rPr>
          <w:lang w:val="es-ES"/>
        </w:rPr>
        <w:t xml:space="preserve">utilizada como referencia común del estudio de fusión.</w:t>
      </w:r>
    </w:p>
    <w:p>
      <w:pPr>
        <w:numPr>
          <w:ilvl w:val="0"/>
          <w:numId w:val="9"/>
        </w:numPr>
        <w:rPr>
          <w:lang w:val="es-ES"/>
        </w:rPr>
      </w:pPr>
      <w:r>
        <w:rPr>
          <w:lang w:val="es-ES"/>
        </w:rPr>
        <w:t xml:space="preserve">Se diseñó e integró antes del codificador una compuerta adaptativa ligera, condicionada por</w:t>
      </w:r>
      <w:r>
        <w:rPr>
          <w:lang w:val="es-ES"/>
        </w:rPr>
        <w:t xml:space="preserve"> </w:t>
      </w:r>
      <w:r>
        <w:rPr>
          <w:lang w:val="es-ES"/>
        </w:rPr>
        <w:t xml:space="preserve">descriptores globales de la entrada. También se evaluó una extensión que incorpora la media y la</w:t>
      </w:r>
      <w:r>
        <w:rPr>
          <w:lang w:val="es-ES"/>
        </w:rPr>
        <w:t xml:space="preserve"> </w:t>
      </w:r>
      <w:r>
        <w:rPr>
          <w:lang w:val="es-ES"/>
        </w:rPr>
        <w:t xml:space="preserve">desviación típica por modalidad.</w:t>
      </w:r>
    </w:p>
    <w:p>
      <w:pPr>
        <w:numPr>
          <w:ilvl w:val="0"/>
          <w:numId w:val="9"/>
        </w:numPr>
        <w:rPr>
          <w:lang w:val="es-ES"/>
        </w:rPr>
      </w:pPr>
      <w:r>
        <w:rPr>
          <w:lang w:val="es-ES"/>
        </w:rPr>
        <w:t xml:space="preserve">Se completó una ablación controlada de cuatro estrategias de fusión sobre la misma Residual U-Net:</w:t>
      </w:r>
      <w:r>
        <w:rPr>
          <w:lang w:val="es-ES"/>
        </w:rPr>
        <w:t xml:space="preserve"> </w:t>
      </w:r>
      <w:r>
        <w:rPr>
          <w:lang w:val="es-ES"/>
        </w:rPr>
        <w:t xml:space="preserve">concatenación, ponderación global, compuerta adaptativa basada en la media y compuerta basada en</w:t>
      </w:r>
      <w:r>
        <w:rPr>
          <w:lang w:val="es-ES"/>
        </w:rPr>
        <w:t xml:space="preserve"> </w:t>
      </w:r>
      <w:r>
        <w:rPr>
          <w:lang w:val="es-ES"/>
        </w:rPr>
        <w:t xml:space="preserve">media y desviación típica. Estas configuraciones compartieron datos, arquitectura,</w:t>
      </w:r>
      <w:r>
        <w:rPr>
          <w:lang w:val="es-ES"/>
        </w:rPr>
        <w:t xml:space="preserve"> </w:t>
      </w:r>
      <w:r>
        <w:rPr>
          <w:lang w:val="es-ES"/>
        </w:rPr>
        <w:t xml:space="preserve">hiperparámetros, presupuesto de entrenamiento y protocolo de inferencia.</w:t>
      </w:r>
    </w:p>
    <w:p>
      <w:pPr>
        <w:numPr>
          <w:ilvl w:val="0"/>
          <w:numId w:val="9"/>
        </w:numPr>
        <w:rPr>
          <w:lang w:val="es-ES"/>
        </w:rPr>
      </w:pPr>
      <w:r>
        <w:rPr>
          <w:lang w:val="es-ES"/>
        </w:rPr>
        <w:t xml:space="preserve">La evaluación mediante Dice y HD95 para ET, TC y WT se completó para todas las configuraciones.</w:t>
      </w:r>
      <w:r>
        <w:rPr>
          <w:lang w:val="es-ES"/>
        </w:rPr>
        <w:t xml:space="preserve"> </w:t>
      </w:r>
      <w:r>
        <w:rPr>
          <w:lang w:val="es-ES"/>
        </w:rPr>
        <w:t xml:space="preserve">También se cuantificaron los parámetros y los tiempos disponibles. Este objetivo se cumplió</w:t>
      </w:r>
      <w:r>
        <w:rPr>
          <w:lang w:val="es-ES"/>
        </w:rPr>
        <w:t xml:space="preserve"> </w:t>
      </w:r>
      <w:r>
        <w:rPr>
          <w:lang w:val="es-ES"/>
        </w:rPr>
        <w:t xml:space="preserve">parcialmente en su dimensión computacional, porque no se dispuso de registros homogéneos de</w:t>
      </w:r>
      <w:r>
        <w:rPr>
          <w:lang w:val="es-ES"/>
        </w:rPr>
        <w:t xml:space="preserve"> </w:t>
      </w:r>
      <w:r>
        <w:rPr>
          <w:lang w:val="es-ES"/>
        </w:rPr>
        <w:t xml:space="preserve">memoria y tiempo de inferencia para toda la comparación.</w:t>
      </w:r>
    </w:p>
    <w:p>
      <w:pPr>
        <w:numPr>
          <w:ilvl w:val="0"/>
          <w:numId w:val="9"/>
        </w:numPr>
        <w:rPr>
          <w:lang w:val="es-ES"/>
        </w:rPr>
      </w:pPr>
      <w:r>
        <w:rPr>
          <w:lang w:val="es-ES"/>
        </w:rPr>
        <w:t xml:space="preserve">Los resultados se contextualizaron mediante Attention U-Net, Swin-UNETR y nnU-Net. Esta</w:t>
      </w:r>
      <w:r>
        <w:rPr>
          <w:lang w:val="es-ES"/>
        </w:rPr>
        <w:t xml:space="preserve"> </w:t>
      </w:r>
      <w:r>
        <w:rPr>
          <w:lang w:val="es-ES"/>
        </w:rPr>
        <w:t xml:space="preserve">contextualización permitió situar el rendimiento observado, aunque no constituye una ablación</w:t>
      </w:r>
      <w:r>
        <w:rPr>
          <w:lang w:val="es-ES"/>
        </w:rPr>
        <w:t xml:space="preserve"> </w:t>
      </w:r>
      <w:r>
        <w:rPr>
          <w:lang w:val="es-ES"/>
        </w:rPr>
        <w:t xml:space="preserve">causal de arquitecturas debido a las diferencias de entorno, inferencia y, en nnU-Net, de</w:t>
      </w:r>
      <w:r>
        <w:rPr>
          <w:lang w:val="es-ES"/>
        </w:rPr>
        <w:t xml:space="preserve"> </w:t>
      </w:r>
      <w:r>
        <w:rPr>
          <w:lang w:val="es-ES"/>
        </w:rPr>
        <w:t xml:space="preserve">preprocesamiento y entrenamiento.</w:t>
      </w:r>
    </w:p>
    <w:p>
      <w:pPr>
        <w:rPr>
          <w:lang w:val="es-ES"/>
        </w:rPr>
      </w:pPr>
      <w:r>
        <w:rPr>
          <w:lang w:val="es-ES"/>
        </w:rPr>
        <w:t xml:space="preserve">El signo negativo del resultado de la fusión adaptativa no implica el incumplimiento del objetivo</w:t>
      </w:r>
      <w:r>
        <w:rPr>
          <w:lang w:val="es-ES"/>
        </w:rPr>
        <w:t xml:space="preserve"> </w:t>
      </w:r>
      <w:r>
        <w:rPr>
          <w:lang w:val="es-ES"/>
        </w:rPr>
        <w:t xml:space="preserve">principal. El propósito del trabajo era determinar empíricamente si se producía la mejora, no</w:t>
      </w:r>
      <w:r>
        <w:rPr>
          <w:lang w:val="es-ES"/>
        </w:rPr>
        <w:t xml:space="preserve"> </w:t>
      </w:r>
      <w:r>
        <w:rPr>
          <w:lang w:val="es-ES"/>
        </w:rPr>
        <w:t xml:space="preserve">presuponerla.</w:t>
      </w:r>
    </w:p>
    <w:p>
      <w:pPr>
        <w:rPr>
          <w:lang w:val="es-ES"/>
        </w:rPr>
      </w:pPr>
      <w:r>
        <w:rPr>
          <w:lang w:val="es-ES"/>
        </w:rPr>
        <w:t xml:space="preserve">En la contextualización arquitectónica, la ordenación descriptiva de las medias observadas fue</w:t>
      </w:r>
      <w:r>
        <w:rPr>
          <w:lang w:val="es-ES"/>
        </w:rPr>
        <w:t xml:space="preserve"> </w:t>
      </w:r>
      <w:r>
        <w:rPr>
          <w:lang w:val="es-ES"/>
        </w:rPr>
        <w:t xml:space="preserve">nnU-Net, con 0,829; Swin-UNETR, con 0,752 ± 0,017; Attention U-Net, con 0,735 ± 0,006; y la Residual</w:t>
      </w:r>
      <w:r>
        <w:rPr>
          <w:lang w:val="es-ES"/>
        </w:rPr>
        <w:t xml:space="preserve"> </w:t>
      </w:r>
      <w:r>
        <w:rPr>
          <w:lang w:val="es-ES"/>
        </w:rPr>
        <w:t xml:space="preserve">U-Net con concatenación, con 0,706 ± 0,005. Dentro de la ablación residual, la ponderación global</w:t>
      </w:r>
      <w:r>
        <w:rPr>
          <w:lang w:val="es-ES"/>
        </w:rPr>
        <w:t xml:space="preserve"> </w:t>
      </w:r>
      <w:r>
        <w:rPr>
          <w:lang w:val="es-ES"/>
        </w:rPr>
        <w:t xml:space="preserve">obtuvo 0,706 ± 0,006 y las compuertas adaptativas, afectadas por una corrida de bajo rendimiento cada</w:t>
      </w:r>
      <w:r>
        <w:rPr>
          <w:lang w:val="es-ES"/>
        </w:rPr>
        <w:t xml:space="preserve"> </w:t>
      </w:r>
      <w:r>
        <w:rPr>
          <w:lang w:val="es-ES"/>
        </w:rPr>
        <w:t xml:space="preserve">una, 0,586 ± 0,169 y 0,592 ± 0,171. nnU-Net procede de una única corrida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</w:t>
      </w:r>
      <w:r>
        <w:rPr>
          <w:lang w:val="es-ES"/>
        </w:rPr>
        <w:t xml:space="preserve"> </w:t>
      </w:r>
      <w:r>
        <w:rPr>
          <w:lang w:val="es-ES"/>
        </w:rPr>
        <w:t xml:space="preserve">0 y de su propio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Swin-UNETR obtuvo el mayor promedio entre las configuraciones basadas en MONAI y superó a Attention</w:t>
      </w:r>
      <w:r>
        <w:rPr>
          <w:lang w:val="es-ES"/>
        </w:rPr>
        <w:t xml:space="preserve"> </w:t>
      </w:r>
      <w:r>
        <w:rPr>
          <w:lang w:val="es-ES"/>
        </w:rPr>
        <w:t xml:space="preserve">U-Net en dos de las tres semillas, mientras que Attention U-Net presentó menor variabilidad. Esta</w:t>
      </w:r>
      <w:r>
        <w:rPr>
          <w:lang w:val="es-ES"/>
        </w:rPr>
        <w:t xml:space="preserve"> </w:t>
      </w:r>
      <w:r>
        <w:rPr>
          <w:lang w:val="es-ES"/>
        </w:rPr>
        <w:t xml:space="preserve">ordenación no permite afirmar superioridad estadística ni atribuir las diferencias exclusivamente a</w:t>
      </w:r>
      <w:r>
        <w:rPr>
          <w:lang w:val="es-ES"/>
        </w:rPr>
        <w:t xml:space="preserve"> </w:t>
      </w:r>
      <w:r>
        <w:rPr>
          <w:lang w:val="es-ES"/>
        </w:rPr>
        <w:t xml:space="preserve">la arquitectura.</w:t>
      </w:r>
    </w:p>
    <w:p>
      <w:pPr>
        <w:rPr>
          <w:lang w:val="es-ES"/>
        </w:rPr>
      </w:pPr>
      <w:r>
        <w:rPr>
          <w:lang w:val="es-ES"/>
        </w:rPr>
        <w:t xml:space="preserve">Tampoco se establece una comparación numérica directa con los resultados oficiales de BraTS-GLI</w:t>
      </w:r>
      <w:r>
        <w:rPr>
          <w:lang w:val="es-ES"/>
        </w:rPr>
        <w:t xml:space="preserve"> </w:t>
      </w:r>
      <w:r>
        <w:rPr>
          <w:lang w:val="es-ES"/>
        </w:rPr>
        <w:t xml:space="preserve">2024, ya que el reto utiliza una evaluación oculta y métricas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lesion-wise</w:t>
      </w:r>
      <w:r>
        <w:rPr>
          <w:lang w:val="es-ES"/>
        </w:rPr>
        <w:t xml:space="preserve">, mientras que este</w:t>
      </w:r>
      <w:r>
        <w:rPr>
          <w:lang w:val="es-ES"/>
        </w:rPr>
        <w:t xml:space="preserve"> </w:t>
      </w:r>
      <w:r>
        <w:rPr>
          <w:lang w:val="es-ES"/>
        </w:rPr>
        <w:t xml:space="preserve">trabajo emplea una partición interna y convenciones propias para los casos vacíos.</w:t>
      </w:r>
    </w:p>
    <w:bookmarkEnd w:id="61"/>
    <w:bookmarkStart w:id="63" w:name="interpretación-de-la-contribución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6.3. Interpretación de la contribución</w:t>
      </w:r>
    </w:p>
    <w:p>
      <w:pPr>
        <w:rPr>
          <w:lang w:val="es-ES"/>
        </w:rPr>
      </w:pPr>
      <w:r>
        <w:rPr>
          <w:lang w:val="es-ES"/>
        </w:rPr>
        <w:t xml:space="preserve">La principal contribución del trabajo es una comparación controlada y reproducible de estrategias</w:t>
      </w:r>
      <w:r>
        <w:rPr>
          <w:lang w:val="es-ES"/>
        </w:rPr>
        <w:t xml:space="preserve"> </w:t>
      </w:r>
      <w:r>
        <w:rPr>
          <w:lang w:val="es-ES"/>
        </w:rPr>
        <w:t xml:space="preserve">ligeras de fusión multimodal sobre una arquitectura común. Este diseño permite separar el efecto del</w:t>
      </w:r>
      <w:r>
        <w:rPr>
          <w:lang w:val="es-ES"/>
        </w:rPr>
        <w:t xml:space="preserve"> </w:t>
      </w:r>
      <w:r>
        <w:rPr>
          <w:lang w:val="es-ES"/>
        </w:rPr>
        <w:t xml:space="preserve">mecanismo de fusión de las diferencias atribuibles a la red de segmentación.</w:t>
      </w:r>
    </w:p>
    <w:p>
      <w:pPr>
        <w:rPr>
          <w:lang w:val="es-ES"/>
        </w:rPr>
      </w:pPr>
      <w:r>
        <w:rPr>
          <w:lang w:val="es-ES"/>
        </w:rPr>
        <w:t xml:space="preserve">La ponderación global aprendió coeficientes próximos a una distribución uniforme y no produjo una</w:t>
      </w:r>
      <w:r>
        <w:rPr>
          <w:lang w:val="es-ES"/>
        </w:rPr>
        <w:t xml:space="preserve"> </w:t>
      </w:r>
      <w:r>
        <w:rPr>
          <w:lang w:val="es-ES"/>
        </w:rPr>
        <w:t xml:space="preserve">mejora consistente respecto a la concatenación. En las compuertas adaptativas, el diagnóstico</w:t>
      </w:r>
      <w:r>
        <w:rPr>
          <w:lang w:val="es-ES"/>
        </w:rPr>
        <w:t xml:space="preserve"> </w:t>
      </w:r>
      <w:r>
        <w:rPr>
          <w:lang w:val="es-ES"/>
        </w:rPr>
        <w:t xml:space="preserve">realizado sobre estudios de validación mostró que los pesos variaban muy poco entre entradas y que</w:t>
      </w:r>
      <w:r>
        <w:rPr>
          <w:lang w:val="es-ES"/>
        </w:rPr>
        <w:t xml:space="preserve"> </w:t>
      </w:r>
      <w:r>
        <w:rPr>
          <w:lang w:val="es-ES"/>
        </w:rPr>
        <w:t xml:space="preserve">no se concentraban de forma sistemática en una única modalidad. Este comportamiento sugiere que los</w:t>
      </w:r>
      <w:r>
        <w:rPr>
          <w:lang w:val="es-ES"/>
        </w:rPr>
        <w:t xml:space="preserve"> </w:t>
      </w:r>
      <w:r>
        <w:rPr>
          <w:lang w:val="es-ES"/>
        </w:rPr>
        <w:t xml:space="preserve">descriptores globales empleados aportaron una señal limitada para adaptar la fusión a cada entrada,</w:t>
      </w:r>
      <w:r>
        <w:rPr>
          <w:lang w:val="es-ES"/>
        </w:rPr>
        <w:t xml:space="preserve"> </w:t>
      </w:r>
      <w:r>
        <w:rPr>
          <w:lang w:val="es-ES"/>
        </w:rPr>
        <w:t xml:space="preserve">aunque no permite identificar por sí solo la causa de las corridas de bajo rendimiento.</w:t>
      </w:r>
    </w:p>
    <w:p>
      <w:pPr>
        <w:rPr>
          <w:lang w:val="es-ES"/>
        </w:rPr>
      </w:pPr>
      <w:r>
        <w:rPr>
          <w:lang w:val="es-ES"/>
        </w:rPr>
        <w:t xml:space="preserve">Desde una perspectiva práctica, la concatenación fue la alternativa más parsimoniosa del estudio:</w:t>
      </w:r>
      <w:r>
        <w:rPr>
          <w:lang w:val="es-ES"/>
        </w:rPr>
        <w:t xml:space="preserve"> </w:t>
      </w:r>
      <w:r>
        <w:rPr>
          <w:lang w:val="es-ES"/>
        </w:rPr>
        <w:t xml:space="preserve">no requirió parámetros adicionales y presentó, junto con la ponderación global, la menor</w:t>
      </w:r>
      <w:r>
        <w:rPr>
          <w:lang w:val="es-ES"/>
        </w:rPr>
        <w:t xml:space="preserve"> </w:t>
      </w:r>
      <w:r>
        <w:rPr>
          <w:lang w:val="es-ES"/>
        </w:rPr>
        <w:t xml:space="preserve">variabilidad entre semillas. La evidencia obtenida no justifica añadir las compuertas evaluadas a</w:t>
      </w:r>
      <w:r>
        <w:rPr>
          <w:lang w:val="es-ES"/>
        </w:rPr>
        <w:t xml:space="preserve"> </w:t>
      </w:r>
      <w:r>
        <w:rPr>
          <w:lang w:val="es-ES"/>
        </w:rPr>
        <w:t xml:space="preserve">esta Residual U-Net bajo el protocolo utilizado. Esta conclusión no debe extrapolarse a mecanismos</w:t>
      </w:r>
      <w:r>
        <w:rPr>
          <w:lang w:val="es-ES"/>
        </w:rPr>
        <w:t xml:space="preserve"> </w:t>
      </w:r>
      <w:r>
        <w:rPr>
          <w:lang w:val="es-ES"/>
        </w:rPr>
        <w:t xml:space="preserve">de atención espacial, fusión de características intermedias o diseños adaptativos con señales de</w:t>
      </w:r>
      <w:r>
        <w:rPr>
          <w:lang w:val="es-ES"/>
        </w:rPr>
        <w:t xml:space="preserve"> </w:t>
      </w:r>
      <w:r>
        <w:rPr>
          <w:lang w:val="es-ES"/>
        </w:rPr>
        <w:t xml:space="preserve">condicionamiento diferentes.</w:t>
      </w:r>
    </w:p>
    <w:p>
      <w:pPr>
        <w:rPr>
          <w:lang w:val="es-ES"/>
        </w:rPr>
      </w:pPr>
      <w:r>
        <w:rPr>
          <w:lang w:val="es-ES"/>
        </w:rPr>
        <w:t xml:space="preserve">La comparación de arquitecturas desempeñó una función contextual. Las cifras describen el</w:t>
      </w:r>
      <w:r>
        <w:rPr>
          <w:lang w:val="es-ES"/>
        </w:rPr>
        <w:t xml:space="preserve"> </w:t>
      </w:r>
      <w:r>
        <w:rPr>
          <w:lang w:val="es-ES"/>
        </w:rPr>
        <w:t xml:space="preserve">rendimiento obtenido por cada configuración, pero las diferencias de protocolo impiden atribuir la</w:t>
      </w:r>
      <w:r>
        <w:rPr>
          <w:lang w:val="es-ES"/>
        </w:rPr>
        <w:t xml:space="preserve"> </w:t>
      </w:r>
      <w:r>
        <w:rPr>
          <w:lang w:val="es-ES"/>
        </w:rPr>
        <w:t xml:space="preserve">ordenación observada exclusivamente a la arquitectura. En particular, nnU-Net utilizó su propio</w:t>
      </w:r>
      <w:r>
        <w:rPr>
          <w:lang w:val="es-ES"/>
        </w:rPr>
        <w:t xml:space="preserve"> </w:t>
      </w:r>
      <w:r>
        <w:rPr>
          <w:lang w:val="es-ES"/>
        </w:rPr>
        <w:t xml:space="preserve">proceso de planificación, preprocesamiento y entrenamiento, por lo que actúa como una referencia</w:t>
      </w:r>
      <w:r>
        <w:rPr>
          <w:lang w:val="es-ES"/>
        </w:rPr>
        <w:t xml:space="preserve"> </w:t>
      </w:r>
      <w:r>
        <w:rPr>
          <w:lang w:val="es-ES"/>
        </w:rPr>
        <w:t xml:space="preserve">externa y no como parte de una ablación causal.</w:t>
      </w:r>
    </w:p>
    <w:p>
      <w:pPr>
        <w:rPr>
          <w:lang w:val="es-ES"/>
        </w:rPr>
      </w:pPr>
      <w:r>
        <w:rPr>
          <w:lang w:val="es-ES"/>
        </w:rPr>
        <w:t xml:space="preserve">Otra aportación es la infraestructura reproducible desarrollada para configurar experimentos,</w:t>
      </w:r>
      <w:r>
        <w:rPr>
          <w:lang w:val="es-ES"/>
        </w:rPr>
        <w:t xml:space="preserve"> </w:t>
      </w:r>
      <w:r>
        <w:rPr>
          <w:lang w:val="es-ES"/>
        </w:rPr>
        <w:t xml:space="preserve">registrar métricas, generar predicciones y comparar resultados. Esta infraestructura facilita la</w:t>
      </w:r>
      <w:r>
        <w:rPr>
          <w:lang w:val="es-ES"/>
        </w:rPr>
        <w:t xml:space="preserve"> </w:t>
      </w:r>
      <w:r>
        <w:rPr>
          <w:lang w:val="es-ES"/>
        </w:rPr>
        <w:t xml:space="preserve">extensión del estudio a nuevas estrategias de fusión y conserva la trazabilidad entre</w:t>
      </w:r>
      <w:r>
        <w:rPr>
          <w:lang w:val="es-ES"/>
        </w:rPr>
        <w:t xml:space="preserve"> </w:t>
      </w:r>
      <w:r>
        <w:rPr>
          <w:lang w:val="es-ES"/>
        </w:rPr>
        <w:t xml:space="preserve">configuraciones, puntos de control y resultados.</w:t>
      </w:r>
    </w:p>
    <w:bookmarkEnd w:id="62"/>
    <w:bookmarkStart w:id="64" w:name="limitaciones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6.4. Limitaciones</w:t>
      </w:r>
    </w:p>
    <w:p>
      <w:pPr>
        <w:rPr>
          <w:lang w:val="es-ES"/>
        </w:rPr>
      </w:pPr>
      <w:r>
        <w:rPr>
          <w:lang w:val="es-ES"/>
        </w:rPr>
        <w:t xml:space="preserve">Las conclusiones deben interpretarse considerando las siguientes limitaciones:</w:t>
      </w:r>
    </w:p>
    <w:p>
      <w:pPr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t xml:space="preserve">Dominio único.</w:t>
      </w:r>
      <w:r>
        <w:rPr>
          <w:lang w:val="es-ES"/>
        </w:rPr>
        <w:t xml:space="preserve"> </w:t>
      </w:r>
      <w:r>
        <w:rPr>
          <w:lang w:val="es-ES"/>
        </w:rPr>
        <w:t xml:space="preserve">El estudio se realizó exclusivamente sobre imágenes post-tratamiento de</w:t>
      </w:r>
      <w:r>
        <w:rPr>
          <w:lang w:val="es-ES"/>
        </w:rPr>
        <w:t xml:space="preserve"> </w:t>
      </w:r>
      <w:r>
        <w:rPr>
          <w:lang w:val="es-ES"/>
        </w:rPr>
        <w:t xml:space="preserve">BraTS-GLI 2024 con las cuatro modalidades disponibles. No se evaluó la generalización a otras</w:t>
      </w:r>
      <w:r>
        <w:rPr>
          <w:lang w:val="es-ES"/>
        </w:rPr>
        <w:t xml:space="preserve"> </w:t>
      </w:r>
      <w:r>
        <w:rPr>
          <w:lang w:val="es-ES"/>
        </w:rPr>
        <w:t xml:space="preserve">instituciones, protocolos de adquisición o dominios clínicos.</w:t>
      </w:r>
    </w:p>
    <w:p>
      <w:pPr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t xml:space="preserve">Partición por estudio.</w:t>
      </w:r>
      <w:r>
        <w:rPr>
          <w:lang w:val="es-ES"/>
        </w:rPr>
        <w:t xml:space="preserve"> </w:t>
      </w:r>
      <w:r>
        <w:rPr>
          <w:lang w:val="es-ES"/>
        </w:rPr>
        <w:t xml:space="preserve">La partición no se agrupó por sujeto. Aunque los identificadores</w:t>
      </w:r>
      <w:r>
        <w:rPr>
          <w:lang w:val="es-ES"/>
        </w:rPr>
        <w:t xml:space="preserve"> </w:t>
      </w:r>
      <w:r>
        <w:rPr>
          <w:lang w:val="es-ES"/>
        </w:rPr>
        <w:t xml:space="preserve">completos de los estudios de test no aparecen en entrenamiento o validación, 205 de los 243</w:t>
      </w:r>
      <w:r>
        <w:rPr>
          <w:lang w:val="es-ES"/>
        </w:rPr>
        <w:t xml:space="preserve"> </w:t>
      </w:r>
      <w:r>
        <w:rPr>
          <w:lang w:val="es-ES"/>
        </w:rPr>
        <w:t xml:space="preserve">estudios pertenecen a sujetos con otro estudio en alguna de esas particiones. Esta circunstancia</w:t>
      </w:r>
      <w:r>
        <w:rPr>
          <w:lang w:val="es-ES"/>
        </w:rPr>
        <w:t xml:space="preserve"> </w:t>
      </w:r>
      <w:r>
        <w:rPr>
          <w:lang w:val="es-ES"/>
        </w:rPr>
        <w:t xml:space="preserve">no invalida la comparación interna entre estrategias, ya que todas utilizaron la misma partición,</w:t>
      </w:r>
      <w:r>
        <w:rPr>
          <w:lang w:val="es-ES"/>
        </w:rPr>
        <w:t xml:space="preserve"> </w:t>
      </w:r>
      <w:r>
        <w:rPr>
          <w:lang w:val="es-ES"/>
        </w:rPr>
        <w:t xml:space="preserve">pero limita la interpretación de las métricas como estimación de la generalización a pacientes</w:t>
      </w:r>
      <w:r>
        <w:rPr>
          <w:lang w:val="es-ES"/>
        </w:rPr>
        <w:t xml:space="preserve"> </w:t>
      </w:r>
      <w:r>
        <w:rPr>
          <w:lang w:val="es-ES"/>
        </w:rPr>
        <w:t xml:space="preserve">completamente nuevos.</w:t>
      </w:r>
    </w:p>
    <w:p>
      <w:pPr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t xml:space="preserve">Número de repeticiones.</w:t>
      </w:r>
      <w:r>
        <w:rPr>
          <w:lang w:val="es-ES"/>
        </w:rPr>
        <w:t xml:space="preserve"> </w:t>
      </w:r>
      <w:r>
        <w:rPr>
          <w:lang w:val="es-ES"/>
        </w:rPr>
        <w:t xml:space="preserve">Las configuraciones basadas en MONAI se evaluaron con tres semillas.</w:t>
      </w:r>
      <w:r>
        <w:rPr>
          <w:lang w:val="es-ES"/>
        </w:rPr>
        <w:t xml:space="preserve"> </w:t>
      </w:r>
      <w:r>
        <w:rPr>
          <w:lang w:val="es-ES"/>
        </w:rPr>
        <w:t xml:space="preserve">Este número permite describir la variabilidad observada, pero no realizar estimaciones precisas ni</w:t>
      </w:r>
      <w:r>
        <w:rPr>
          <w:lang w:val="es-ES"/>
        </w:rPr>
        <w:t xml:space="preserve"> </w:t>
      </w:r>
      <w:r>
        <w:rPr>
          <w:lang w:val="es-ES"/>
        </w:rPr>
        <w:t xml:space="preserve">contrastes inferenciales sólidos. nnU-Net se evaluó mediante una única corrida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</w:t>
      </w:r>
      <w:r>
        <w:rPr>
          <w:lang w:val="es-ES"/>
        </w:rPr>
        <w:t xml:space="preserve"> </w:t>
      </w:r>
      <w:r>
        <w:rPr>
          <w:lang w:val="es-ES"/>
        </w:rPr>
        <w:t xml:space="preserve">0.</w:t>
      </w:r>
    </w:p>
    <w:p>
      <w:pPr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t xml:space="preserve">Presupuesto y selección de puntos de control.</w:t>
      </w:r>
      <w:r>
        <w:rPr>
          <w:lang w:val="es-ES"/>
        </w:rPr>
        <w:t xml:space="preserve"> </w:t>
      </w:r>
      <w:r>
        <w:rPr>
          <w:lang w:val="es-ES"/>
        </w:rPr>
        <w:t xml:space="preserve">Las configuraciones MONAI utilizaron un</w:t>
      </w:r>
      <w:r>
        <w:rPr>
          <w:lang w:val="es-ES"/>
        </w:rPr>
        <w:t xml:space="preserve"> </w:t>
      </w:r>
      <w:r>
        <w:rPr>
          <w:lang w:val="es-ES"/>
        </w:rPr>
        <w:t xml:space="preserve">presupuesto de 15.000 pasos, elegido a partir de una sonda de la configuración de concatenación.</w:t>
      </w:r>
      <w:r>
        <w:rPr>
          <w:lang w:val="es-ES"/>
        </w:rPr>
        <w:t xml:space="preserve"> </w:t>
      </w:r>
      <w:r>
        <w:rPr>
          <w:lang w:val="es-ES"/>
        </w:rPr>
        <w:t xml:space="preserve">Este presupuesto no demuestra que cada configuración alcanzara individualmente su mejor punto de</w:t>
      </w:r>
      <w:r>
        <w:rPr>
          <w:lang w:val="es-ES"/>
        </w:rPr>
        <w:t xml:space="preserve"> </w:t>
      </w:r>
      <w:r>
        <w:rPr>
          <w:lang w:val="es-ES"/>
        </w:rPr>
        <w:t xml:space="preserve">convergencia. Además, sus puntos de control se seleccionaron mediante un subconjunto fijo de ocho</w:t>
      </w:r>
      <w:r>
        <w:rPr>
          <w:lang w:val="es-ES"/>
        </w:rPr>
        <w:t xml:space="preserve"> </w:t>
      </w:r>
      <w:r>
        <w:rPr>
          <w:lang w:val="es-ES"/>
        </w:rPr>
        <w:t xml:space="preserve">lotes de validación, lo que redujo el coste durante el entrenamiento, pero puede introducir ruido</w:t>
      </w:r>
      <w:r>
        <w:rPr>
          <w:lang w:val="es-ES"/>
        </w:rPr>
        <w:t xml:space="preserve"> </w:t>
      </w:r>
      <w:r>
        <w:rPr>
          <w:lang w:val="es-ES"/>
        </w:rPr>
        <w:t xml:space="preserve">en la elección del mejor modelo. nnU-Net utilizó 250 épocas y su propio protocolo.</w:t>
      </w:r>
    </w:p>
    <w:p>
      <w:pPr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t xml:space="preserve">Protocolo de evaluación.</w:t>
      </w:r>
      <w:r>
        <w:rPr>
          <w:lang w:val="es-ES"/>
        </w:rPr>
        <w:t xml:space="preserve"> </w:t>
      </w:r>
      <w:r>
        <w:rPr>
          <w:lang w:val="es-ES"/>
        </w:rPr>
        <w:t xml:space="preserve">La evaluación interna no reproduce exactamente las métricas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lesion-wise</w:t>
      </w:r>
      <w:r>
        <w:rPr>
          <w:lang w:val="es-ES"/>
        </w:rPr>
        <w:t xml:space="preserve"> </w:t>
      </w:r>
      <w:r>
        <w:rPr>
          <w:lang w:val="es-ES"/>
        </w:rPr>
        <w:t xml:space="preserve">ni el protocolo oculto del reto oficial. En HD95, los promedios incluyen valores cero</w:t>
      </w:r>
      <w:r>
        <w:rPr>
          <w:lang w:val="es-ES"/>
        </w:rPr>
        <w:t xml:space="preserve"> </w:t>
      </w:r>
      <w:r>
        <w:rPr>
          <w:lang w:val="es-ES"/>
        </w:rPr>
        <w:t xml:space="preserve">cuando predicción y referencia están vacías y excluyen los infinitos cuando solo una lo está, por</w:t>
      </w:r>
      <w:r>
        <w:rPr>
          <w:lang w:val="es-ES"/>
        </w:rPr>
        <w:t xml:space="preserve"> </w:t>
      </w:r>
      <w:r>
        <w:rPr>
          <w:lang w:val="es-ES"/>
        </w:rPr>
        <w:t xml:space="preserve">lo que los denominadores finitos varían entre modelos y regiones.</w:t>
      </w:r>
    </w:p>
    <w:p>
      <w:pPr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t xml:space="preserve">Comparación arquitectónica heterogénea.</w:t>
      </w:r>
      <w:r>
        <w:rPr>
          <w:lang w:val="es-ES"/>
        </w:rPr>
        <w:t xml:space="preserve"> </w:t>
      </w:r>
      <w:r>
        <w:rPr>
          <w:lang w:val="es-ES"/>
        </w:rPr>
        <w:t xml:space="preserve">Las variantes residuales se ejecutaron en MPS,</w:t>
      </w:r>
      <w:r>
        <w:rPr>
          <w:lang w:val="es-ES"/>
        </w:rPr>
        <w:t xml:space="preserve"> </w:t>
      </w:r>
      <w:r>
        <w:rPr>
          <w:lang w:val="es-ES"/>
        </w:rPr>
        <w:t xml:space="preserve">Attention U-Net y Swin-UNETR en CUDA, se utilizaron diferentes solapamientos durante la inferencia</w:t>
      </w:r>
      <w:r>
        <w:rPr>
          <w:lang w:val="es-ES"/>
        </w:rPr>
        <w:t xml:space="preserve"> </w:t>
      </w:r>
      <w:r>
        <w:rPr>
          <w:lang w:val="es-ES"/>
        </w:rPr>
        <w:t xml:space="preserve">y nnU-Net empleó su propio preprocesamiento y protocolo de entrenamiento. Por ello, la comparación</w:t>
      </w:r>
      <w:r>
        <w:rPr>
          <w:lang w:val="es-ES"/>
        </w:rPr>
        <w:t xml:space="preserve"> </w:t>
      </w:r>
      <w:r>
        <w:rPr>
          <w:lang w:val="es-ES"/>
        </w:rPr>
        <w:t xml:space="preserve">global de arquitecturas es descriptiva.</w:t>
      </w:r>
    </w:p>
    <w:p>
      <w:pPr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t xml:space="preserve">Caracterización computacional incompleta.</w:t>
      </w:r>
      <w:r>
        <w:rPr>
          <w:lang w:val="es-ES"/>
        </w:rPr>
        <w:t xml:space="preserve"> </w:t>
      </w:r>
      <w:r>
        <w:rPr>
          <w:lang w:val="es-ES"/>
        </w:rPr>
        <w:t xml:space="preserve">Aunque se dispone del número de parámetros y de</w:t>
      </w:r>
      <w:r>
        <w:rPr>
          <w:lang w:val="es-ES"/>
        </w:rPr>
        <w:t xml:space="preserve"> </w:t>
      </w:r>
      <w:r>
        <w:rPr>
          <w:lang w:val="es-ES"/>
        </w:rPr>
        <w:t xml:space="preserve">varios tiempos de entrenamiento, faltan mediciones homogéneas de memoria máxima y tiempo de</w:t>
      </w:r>
      <w:r>
        <w:rPr>
          <w:lang w:val="es-ES"/>
        </w:rPr>
        <w:t xml:space="preserve"> </w:t>
      </w:r>
      <w:r>
        <w:rPr>
          <w:lang w:val="es-ES"/>
        </w:rPr>
        <w:t xml:space="preserve">inferencia para todos los modelos.</w:t>
      </w:r>
    </w:p>
    <w:p>
      <w:pPr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t xml:space="preserve">Alcance de la fusión.</w:t>
      </w:r>
      <w:r>
        <w:rPr>
          <w:lang w:val="es-ES"/>
        </w:rPr>
        <w:t xml:space="preserve"> </w:t>
      </w:r>
      <w:r>
        <w:rPr>
          <w:lang w:val="es-ES"/>
        </w:rPr>
        <w:t xml:space="preserve">Las estrategias estudiadas actúan únicamente antes del codificador y</w:t>
      </w:r>
      <w:r>
        <w:rPr>
          <w:lang w:val="es-ES"/>
        </w:rPr>
        <w:t xml:space="preserve"> </w:t>
      </w:r>
      <w:r>
        <w:rPr>
          <w:lang w:val="es-ES"/>
        </w:rPr>
        <w:t xml:space="preserve">generan pesos globales por modalidad. No se evaluaron mecanismos espaciales, fusiones en niveles</w:t>
      </w:r>
      <w:r>
        <w:rPr>
          <w:lang w:val="es-ES"/>
        </w:rPr>
        <w:t xml:space="preserve"> </w:t>
      </w:r>
      <w:r>
        <w:rPr>
          <w:lang w:val="es-ES"/>
        </w:rPr>
        <w:t xml:space="preserve">intermedios, interacciones entre modalidades ni estrategias específicas para modalidades ausentes</w:t>
      </w:r>
      <w:r>
        <w:rPr>
          <w:lang w:val="es-ES"/>
        </w:rPr>
        <w:t xml:space="preserve"> </w:t>
      </w:r>
      <w:r>
        <w:rPr>
          <w:lang w:val="es-ES"/>
        </w:rPr>
        <w:t xml:space="preserve">o degradadas.</w:t>
      </w:r>
    </w:p>
    <w:bookmarkEnd w:id="63"/>
    <w:bookmarkStart w:id="65" w:name="líneas-de-trabajo-futuro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6.5. Líneas de trabajo futuro</w:t>
      </w:r>
    </w:p>
    <w:p>
      <w:pPr>
        <w:rPr>
          <w:lang w:val="es-ES"/>
        </w:rPr>
      </w:pPr>
      <w:r>
        <w:rPr>
          <w:lang w:val="es-ES"/>
        </w:rPr>
        <w:t xml:space="preserve">Una primera línea consiste en estudiar mecanismos de fusión aplicados a características</w:t>
      </w:r>
      <w:r>
        <w:rPr>
          <w:lang w:val="es-ES"/>
        </w:rPr>
        <w:t xml:space="preserve"> </w:t>
      </w:r>
      <w:r>
        <w:rPr>
          <w:lang w:val="es-ES"/>
        </w:rPr>
        <w:t xml:space="preserve">intermedias. La atención cruzada entre modalidades o las compuertas con información espacial podrían</w:t>
      </w:r>
      <w:r>
        <w:rPr>
          <w:lang w:val="es-ES"/>
        </w:rPr>
        <w:t xml:space="preserve"> </w:t>
      </w:r>
      <w:r>
        <w:rPr>
          <w:lang w:val="es-ES"/>
        </w:rPr>
        <w:t xml:space="preserve">capturar relaciones que los descriptores globales evaluados no representan. Estas alternativas</w:t>
      </w:r>
      <w:r>
        <w:rPr>
          <w:lang w:val="es-ES"/>
        </w:rPr>
        <w:t xml:space="preserve"> </w:t>
      </w:r>
      <w:r>
        <w:rPr>
          <w:lang w:val="es-ES"/>
        </w:rPr>
        <w:t xml:space="preserve">deberían compararse manteniendo fija la red base y definiendo de antemano el protocolo de ablación.</w:t>
      </w:r>
    </w:p>
    <w:p>
      <w:pPr>
        <w:rPr>
          <w:lang w:val="es-ES"/>
        </w:rPr>
      </w:pPr>
      <w:r>
        <w:rPr>
          <w:lang w:val="es-ES"/>
        </w:rPr>
        <w:t xml:space="preserve">También sería conveniente profundizar en la estabilidad de la optimización. Un estudio posterior</w:t>
      </w:r>
      <w:r>
        <w:rPr>
          <w:lang w:val="es-ES"/>
        </w:rPr>
        <w:t xml:space="preserve"> </w:t>
      </w:r>
      <w:r>
        <w:rPr>
          <w:lang w:val="es-ES"/>
        </w:rPr>
        <w:t xml:space="preserve">podría ampliar el número de semillas, definir criterios previos para identificar corridas de bajo</w:t>
      </w:r>
      <w:r>
        <w:rPr>
          <w:lang w:val="es-ES"/>
        </w:rPr>
        <w:t xml:space="preserve"> </w:t>
      </w:r>
      <w:r>
        <w:rPr>
          <w:lang w:val="es-ES"/>
        </w:rPr>
        <w:t xml:space="preserve">rendimiento y analizar conjuntamente las trayectorias de pérdida, los gradientes y la evolución de</w:t>
      </w:r>
      <w:r>
        <w:rPr>
          <w:lang w:val="es-ES"/>
        </w:rPr>
        <w:t xml:space="preserve"> </w:t>
      </w:r>
      <w:r>
        <w:rPr>
          <w:lang w:val="es-ES"/>
        </w:rPr>
        <w:t xml:space="preserve">los pesos. Las variantes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warmup</w:t>
      </w:r>
      <w:r>
        <w:rPr>
          <w:lang w:val="es-ES"/>
        </w:rPr>
        <w:t xml:space="preserve">, tasa de aprendizaje específica, regularización de entropía y</w:t>
      </w:r>
      <w:r>
        <w:rPr>
          <w:lang w:val="es-ES"/>
        </w:rPr>
        <w:t xml:space="preserve"> </w:t>
      </w:r>
      <w:r>
        <w:rPr>
          <w:lang w:val="es-ES"/>
        </w:rPr>
        <w:t xml:space="preserve">temperatura ya se estudiaron preliminarmente con 5.000 pasos; cualquier continuación de esa vía</w:t>
      </w:r>
      <w:r>
        <w:rPr>
          <w:lang w:val="es-ES"/>
        </w:rPr>
        <w:t xml:space="preserve"> </w:t>
      </w:r>
      <w:r>
        <w:rPr>
          <w:lang w:val="es-ES"/>
        </w:rPr>
        <w:t xml:space="preserve">debería ampliar de forma explícita esa evidencia en lugar de presentar esas intervenciones como no</w:t>
      </w:r>
      <w:r>
        <w:rPr>
          <w:lang w:val="es-ES"/>
        </w:rPr>
        <w:t xml:space="preserve"> </w:t>
      </w:r>
      <w:r>
        <w:rPr>
          <w:lang w:val="es-ES"/>
        </w:rPr>
        <w:t xml:space="preserve">exploradas.</w:t>
      </w:r>
    </w:p>
    <w:p>
      <w:pPr>
        <w:rPr>
          <w:lang w:val="es-ES"/>
        </w:rPr>
      </w:pPr>
      <w:r>
        <w:rPr>
          <w:lang w:val="es-ES"/>
        </w:rPr>
        <w:t xml:space="preserve">La evaluación computacional podría completarse mediante un protocolo común que registre tiempo de</w:t>
      </w:r>
      <w:r>
        <w:rPr>
          <w:lang w:val="es-ES"/>
        </w:rPr>
        <w:t xml:space="preserve"> </w:t>
      </w:r>
      <w:r>
        <w:rPr>
          <w:lang w:val="es-ES"/>
        </w:rPr>
        <w:t xml:space="preserve">entrenamiento e inferencia, memoria máxima, rendimiento por paso y consumo de recursos en el mismo</w:t>
      </w:r>
      <w:r>
        <w:rPr>
          <w:lang w:val="es-ES"/>
        </w:rPr>
        <w:t xml:space="preserve"> </w:t>
      </w:r>
      <w:r>
        <w:rPr>
          <w:lang w:val="es-ES"/>
        </w:rPr>
        <w:t xml:space="preserve">hardware. Para la comparación arquitectónica también sería útil establecer criterios de parada o</w:t>
      </w:r>
      <w:r>
        <w:rPr>
          <w:lang w:val="es-ES"/>
        </w:rPr>
        <w:t xml:space="preserve"> </w:t>
      </w:r>
      <w:r>
        <w:rPr>
          <w:lang w:val="es-ES"/>
        </w:rPr>
        <w:t xml:space="preserve">presupuestos adaptados a cada modelo, evitando interpretar un presupuesto fijo como garantía de</w:t>
      </w:r>
      <w:r>
        <w:rPr>
          <w:lang w:val="es-ES"/>
        </w:rPr>
        <w:t xml:space="preserve"> </w:t>
      </w:r>
      <w:r>
        <w:rPr>
          <w:lang w:val="es-ES"/>
        </w:rPr>
        <w:t xml:space="preserve">convergencia equivalente.</w:t>
      </w:r>
    </w:p>
    <w:p>
      <w:pPr>
        <w:rPr>
          <w:lang w:val="es-ES"/>
        </w:rPr>
      </w:pPr>
      <w:r>
        <w:rPr>
          <w:lang w:val="es-ES"/>
        </w:rPr>
        <w:t xml:space="preserve">Si el alcance del trabajo se amplía hacia la generalización a pacientes nuevos, esta debería</w:t>
      </w:r>
      <w:r>
        <w:rPr>
          <w:lang w:val="es-ES"/>
        </w:rPr>
        <w:t xml:space="preserve"> </w:t>
      </w:r>
      <w:r>
        <w:rPr>
          <w:lang w:val="es-ES"/>
        </w:rPr>
        <w:t xml:space="preserve">evaluarse mediante particiones definidas por sujeto desde el inicio del ciclo experimental y, cuando</w:t>
      </w:r>
      <w:r>
        <w:rPr>
          <w:lang w:val="es-ES"/>
        </w:rPr>
        <w:t xml:space="preserve"> </w:t>
      </w:r>
      <w:r>
        <w:rPr>
          <w:lang w:val="es-ES"/>
        </w:rPr>
        <w:t xml:space="preserve">sea posible, mediante conjuntos externos. Esta ampliación respondería a una pregunta distinta de la</w:t>
      </w:r>
      <w:r>
        <w:rPr>
          <w:lang w:val="es-ES"/>
        </w:rPr>
        <w:t xml:space="preserve"> </w:t>
      </w:r>
      <w:r>
        <w:rPr>
          <w:lang w:val="es-ES"/>
        </w:rPr>
        <w:t xml:space="preserve">ablación controlada realizada en el presente trabajo y permitiría medir de forma más rigurosa la</w:t>
      </w:r>
      <w:r>
        <w:rPr>
          <w:lang w:val="es-ES"/>
        </w:rPr>
        <w:t xml:space="preserve"> </w:t>
      </w:r>
      <w:r>
        <w:rPr>
          <w:lang w:val="es-ES"/>
        </w:rPr>
        <w:t xml:space="preserve">capacidad de generalización.</w:t>
      </w:r>
    </w:p>
    <w:p>
      <w:pPr>
        <w:rPr>
          <w:lang w:val="es-ES"/>
        </w:rPr>
      </w:pPr>
      <w:r>
        <w:rPr>
          <w:lang w:val="es-ES"/>
        </w:rPr>
        <w:t xml:space="preserve">Otras extensiones relevantes son la evaluación ante modalidades ausentes o degradadas y la</w:t>
      </w:r>
      <w:r>
        <w:rPr>
          <w:lang w:val="es-ES"/>
        </w:rPr>
        <w:t xml:space="preserve"> </w:t>
      </w:r>
      <w:r>
        <w:rPr>
          <w:lang w:val="es-ES"/>
        </w:rPr>
        <w:t xml:space="preserve">repetición de nnU-Net con varios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folds</w:t>
      </w:r>
      <w:r>
        <w:rPr>
          <w:lang w:val="es-ES"/>
        </w:rPr>
        <w:t xml:space="preserve"> </w:t>
      </w:r>
      <w:r>
        <w:rPr>
          <w:lang w:val="es-ES"/>
        </w:rPr>
        <w:t xml:space="preserve">o ejecuciones para cuantificar su variabilidad. También</w:t>
      </w:r>
      <w:r>
        <w:rPr>
          <w:lang w:val="es-ES"/>
        </w:rPr>
        <w:t xml:space="preserve"> </w:t>
      </w:r>
      <w:r>
        <w:rPr>
          <w:lang w:val="es-ES"/>
        </w:rPr>
        <w:t xml:space="preserve">podría estudiarse de forma controlada el efecto de ampliar el presupuesto de entrenamiento, el</w:t>
      </w:r>
      <w:r>
        <w:rPr>
          <w:lang w:val="es-ES"/>
        </w:rPr>
        <w:t xml:space="preserve"> </w:t>
      </w:r>
      <w:r>
        <w:rPr>
          <w:lang w:val="es-ES"/>
        </w:rPr>
        <w:t xml:space="preserve">tamaño de parche o el lote, sin presuponer que el aumento de cómputo eliminará las diferencias</w:t>
      </w:r>
      <w:r>
        <w:rPr>
          <w:lang w:val="es-ES"/>
        </w:rPr>
        <w:t xml:space="preserve"> </w:t>
      </w:r>
      <w:r>
        <w:rPr>
          <w:lang w:val="es-ES"/>
        </w:rPr>
        <w:t xml:space="preserve">observadas.</w:t>
      </w:r>
    </w:p>
    <w:p>
      <w:pPr>
        <w:rPr>
          <w:lang w:val="es-ES"/>
        </w:rPr>
      </w:pPr>
      <w:r>
        <w:rPr>
          <w:lang w:val="es-ES"/>
        </w:rPr>
        <w:t xml:space="preserve">En síntesis, el trabajo proporciona un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reproducible y una evaluación controlada de varias</w:t>
      </w:r>
      <w:r>
        <w:rPr>
          <w:lang w:val="es-ES"/>
        </w:rPr>
        <w:t xml:space="preserve"> </w:t>
      </w:r>
      <w:r>
        <w:rPr>
          <w:lang w:val="es-ES"/>
        </w:rPr>
        <w:t xml:space="preserve">estrategias ligeras de fusión multimodal. Bajo el montaje estudiado, las compuertas adaptativas no</w:t>
      </w:r>
      <w:r>
        <w:rPr>
          <w:lang w:val="es-ES"/>
        </w:rPr>
        <w:t xml:space="preserve"> </w:t>
      </w:r>
      <w:r>
        <w:rPr>
          <w:lang w:val="es-ES"/>
        </w:rPr>
        <w:t xml:space="preserve">ofrecieron una mejora consistente frente a la concatenación y mostraron una variabilidad mayor entre</w:t>
      </w:r>
      <w:r>
        <w:rPr>
          <w:lang w:val="es-ES"/>
        </w:rPr>
        <w:t xml:space="preserve"> </w:t>
      </w:r>
      <w:r>
        <w:rPr>
          <w:lang w:val="es-ES"/>
        </w:rPr>
        <w:t xml:space="preserve">las ejecuciones realizadas. La concatenación constituye, por tanto, la referencia más parsimoniosa</w:t>
      </w:r>
      <w:r>
        <w:rPr>
          <w:lang w:val="es-ES"/>
        </w:rPr>
        <w:t xml:space="preserve"> </w:t>
      </w:r>
      <w:r>
        <w:rPr>
          <w:lang w:val="es-ES"/>
        </w:rPr>
        <w:t xml:space="preserve">para este experimento, mientras que el posible valor de mecanismos adaptativos más expresivos queda</w:t>
      </w:r>
      <w:r>
        <w:rPr>
          <w:lang w:val="es-ES"/>
        </w:rPr>
        <w:t xml:space="preserve"> </w:t>
      </w:r>
      <w:r>
        <w:rPr>
          <w:lang w:val="es-ES"/>
        </w:rPr>
        <w:t xml:space="preserve">abierto para investigaciones posteriores.</w:t>
      </w:r>
    </w:p>
    <w:bookmarkEnd w:id="64"/>
    <w:bookmarkEnd w:id="65"/>
    <w:bookmarkStart w:id="66" w:name="referencias-bibliográficas"/>
    <w:p>
      <w:pPr>
        <w:keepNext/>
        <w:keepLines/>
        <w:pageBreakBefore/>
        <w:numPr>
          <w:numId w:val="0"/>
        </w:numPr>
        <w:pStyle w:val="Heading1"/>
        <w:rPr>
          <w:lang w:val="es-ES"/>
        </w:rPr>
      </w:pPr>
      <w:r>
        <w:rPr>
          <w:lang w:val="es-ES"/>
        </w:rPr>
        <w:t xml:space="preserve">Referencias bibliográficas</w:t>
      </w:r>
    </w:p>
    <w:p>
      <w:pPr>
        <w:pStyle w:val="TFMBibliography"/>
        <w:rPr>
          <w:lang w:val="es-ES"/>
        </w:rPr>
      </w:pPr>
      <w:r>
        <w:rPr>
          <w:lang w:val="es-ES"/>
        </w:rPr>
        <w:t xml:space="preserve">Berkley, A., Saueressig, C., Shukla, U., Chowdhury, I., Munoz-Gauna, A., Shehu, O., Singh, R., &amp; Munbodh, R. (2023). Clinical capability of modern brain tumor segmentation models.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Medical Physics, 50</w:t>
      </w:r>
      <w:r>
        <w:rPr>
          <w:lang w:val="es-ES"/>
        </w:rPr>
        <w:t xml:space="preserve">(8), 4943–4959.</w:t>
      </w:r>
      <w:r>
        <w:rPr>
          <w:lang w:val="es-ES"/>
        </w:rPr>
        <w:t xml:space="preserve"> </w:t>
      </w:r>
      <w:hyperlink r:id="rId24">
        <w:r>
          <w:rPr>
            <w:rStyle w:val="Hyperlink"/>
          </w:rPr>
          <w:t xml:space="preserve">https://doi.org/10.1002/mp.16321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Cardoso, M. J., Li, W., Brown, R., Ma, N., Kerfoot, E., Wang, Y., Murrey, B., Myronenko, A., Zhao, C., Yang, D., Nath, V., He, Y., Xu, Z., Hatamizadeh, A., Myronenko, A., Zhu, W., Liu, Y., Zheng, M., Tang, Y., . . . Feng, A. (2022). MONAI: An open-source framework for deep learning in healthcare.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arXiv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hyperlink r:id="rId25">
        <w:r>
          <w:rPr>
            <w:rStyle w:val="Hyperlink"/>
          </w:rPr>
          <w:t xml:space="preserve">https://doi.org/10.48550/arXiv.2211.02701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Çiçek, Ö., Abdulkadir, A., Lienkamp, S. S., Brox, T., &amp; Ronneberger, O. (2016). 3D U-Net: Learning dense volumetric segmentation from sparse annotation. In S. Ourselin, L. Joskowicz, M. R. Sabuncu, G. Unal, &amp; W. Wells (Eds.),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Medical Image Computing and Computer-Assisted Intervention—MICCAI 2016</w:t>
      </w:r>
      <w:r>
        <w:rPr>
          <w:lang w:val="es-ES"/>
        </w:rPr>
        <w:t xml:space="preserve"> </w:t>
      </w:r>
      <w:r>
        <w:rPr>
          <w:lang w:val="es-ES"/>
        </w:rPr>
        <w:t xml:space="preserve">(pp. 424–432). Springer.</w:t>
      </w:r>
      <w:r>
        <w:rPr>
          <w:lang w:val="es-ES"/>
        </w:rPr>
        <w:t xml:space="preserve"> </w:t>
      </w:r>
      <w:hyperlink r:id="rId26">
        <w:r>
          <w:rPr>
            <w:rStyle w:val="Hyperlink"/>
          </w:rPr>
          <w:t xml:space="preserve">https://doi.org/10.1007/978-3-319-46723-8_49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de Verdier, M. C., Saluja, R., Gagnon, L., LaBella, D., Baid, U., Tahon, N. H., Foltyn-Dumitru, M., Zhang, J., Alafif, M., Baig, S., Chang, K., D’Anna, G., Deptula, L., Gupta, D., Haider, M. A., Hussain, A., Iv, M., Kontzialis, M., Manning, P., . . . Rudie, J. D. (2024). The 2024 Brain Tumor Segmentation (BraTS) Challenge: Glioma segmentation on post-treatment MRI.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arXiv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hyperlink r:id="rId27">
        <w:r>
          <w:rPr>
            <w:rStyle w:val="Hyperlink"/>
          </w:rPr>
          <w:t xml:space="preserve">https://doi.org/10.48550/arXiv.2405.18368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Dice, L. R. (1945). Measures of the amount of ecologic association between species.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Ecology, 26</w:t>
      </w:r>
      <w:r>
        <w:rPr>
          <w:lang w:val="es-ES"/>
        </w:rPr>
        <w:t xml:space="preserve">(3), 297–302.</w:t>
      </w:r>
      <w:r>
        <w:rPr>
          <w:lang w:val="es-ES"/>
        </w:rPr>
        <w:t xml:space="preserve"> </w:t>
      </w:r>
      <w:hyperlink r:id="rId28">
        <w:r>
          <w:rPr>
            <w:rStyle w:val="Hyperlink"/>
          </w:rPr>
          <w:t xml:space="preserve">https://doi.org/10.2307/1932409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Dosovitskiy, A., Beyer, L., Kolesnikov, A., Weissenborn, D., Zhai, X., Unterthiner, T., Dehghani, M., Minderer, M., Heigold, G., Gelly, S., Uszkoreit, J., &amp; Houlsby, N. (2021). An image is worth 16x16 words: Transformers for image recognition at scale. 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International Conference on Learning Representations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hyperlink r:id="rId29">
        <w:r>
          <w:rPr>
            <w:rStyle w:val="Hyperlink"/>
          </w:rPr>
          <w:t xml:space="preserve">https://openreview.net/forum?id=YicbFdNTTy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Gao, P., Shan, W., Guo, Y., Wang, Y., Sun, R., Cai, J., Li, H., Chan, W. S., Liu, P., Yi, L., Zhang, S., Li, W., Jiang, T., He, K., &amp; Wu, Z. (2022). Development and validation of a deep learning model for brain tumor diagnosis and classification using magnetic resonance imaging.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JAMA Network Open, 5</w:t>
      </w:r>
      <w:r>
        <w:rPr>
          <w:lang w:val="es-ES"/>
        </w:rPr>
        <w:t xml:space="preserve">(8), e2225608.</w:t>
      </w:r>
      <w:r>
        <w:rPr>
          <w:lang w:val="es-ES"/>
        </w:rPr>
        <w:t xml:space="preserve"> </w:t>
      </w:r>
      <w:hyperlink r:id="rId30">
        <w:r>
          <w:rPr>
            <w:rStyle w:val="Hyperlink"/>
          </w:rPr>
          <w:t xml:space="preserve">https://doi.org/10.1001/jamanetworkopen.2022.25608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Hatamizadeh, A., Tang, Y., Nath, V., Yang, D., Myronenko, A., Landman, B., Roth, H. R., &amp; Xu, D. (2022). UNETR: Transformers for 3D medical image segmentation. 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2022 IEEE/CVF Winter Conference on Applications of Computer Vision (WACV)</w:t>
      </w:r>
      <w:r>
        <w:rPr>
          <w:lang w:val="es-ES"/>
        </w:rPr>
        <w:t xml:space="preserve"> </w:t>
      </w:r>
      <w:r>
        <w:rPr>
          <w:lang w:val="es-ES"/>
        </w:rPr>
        <w:t xml:space="preserve">(pp. 1748–1758). IEEE.</w:t>
      </w:r>
      <w:r>
        <w:rPr>
          <w:lang w:val="es-ES"/>
        </w:rPr>
        <w:t xml:space="preserve"> </w:t>
      </w:r>
      <w:hyperlink r:id="rId31">
        <w:r>
          <w:rPr>
            <w:rStyle w:val="Hyperlink"/>
          </w:rPr>
          <w:t xml:space="preserve">https://doi.org/10.1109/WACV51458.2022.00181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Havaei, M., Davy, A., Warde-Farley, D., Biard, A., Courville, A., Bengio, Y., Pal, C., Jodoin, P.-M., &amp; Larochelle, H. (2017). Brain tumor segmentation with deep neural networks.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Medical Image Analysis, 35</w:t>
      </w:r>
      <w:r>
        <w:rPr>
          <w:lang w:val="es-ES"/>
        </w:rPr>
        <w:t xml:space="preserve">, 18–31.</w:t>
      </w:r>
      <w:r>
        <w:rPr>
          <w:lang w:val="es-ES"/>
        </w:rPr>
        <w:t xml:space="preserve"> </w:t>
      </w:r>
      <w:hyperlink r:id="rId32">
        <w:r>
          <w:rPr>
            <w:rStyle w:val="Hyperlink"/>
          </w:rPr>
          <w:t xml:space="preserve">https://doi.org/10.1016/j.media.2016.05.004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He, K., Zhang, X., Ren, S., &amp; Sun, J. (2016). Deep residual learning for image recognition. 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2016 IEEE Conference on Computer Vision and Pattern Recognition (CVPR)</w:t>
      </w:r>
      <w:r>
        <w:rPr>
          <w:lang w:val="es-ES"/>
        </w:rPr>
        <w:t xml:space="preserve"> </w:t>
      </w:r>
      <w:r>
        <w:rPr>
          <w:lang w:val="es-ES"/>
        </w:rPr>
        <w:t xml:space="preserve">(pp. 770–778). IEEE.</w:t>
      </w:r>
      <w:r>
        <w:rPr>
          <w:lang w:val="es-ES"/>
        </w:rPr>
        <w:t xml:space="preserve"> </w:t>
      </w:r>
      <w:hyperlink r:id="rId33">
        <w:r>
          <w:rPr>
            <w:rStyle w:val="Hyperlink"/>
          </w:rPr>
          <w:t xml:space="preserve">https://doi.org/10.1109/CVPR.2016.90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Hoebel, K. V., Bridge, C. P., Ahmed, S., Akintola, O., Chung, C., Huang, R. Y., Johnson, J. M., Kim, A., Ly, K. I., Chang, K., Patel, J., Pinho, M., Batchelor, T. T., Rosen, B. R., Gerstner, E. R., &amp; Kalpathy-Cramer, J. (2024). Expert-centered evaluation of deep learning algorithms for brain tumor segmentation.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Radiology: Artificial Intelligence, 6</w:t>
      </w:r>
      <w:r>
        <w:rPr>
          <w:lang w:val="es-ES"/>
        </w:rPr>
        <w:t xml:space="preserve">(1), e220231.</w:t>
      </w:r>
      <w:r>
        <w:rPr>
          <w:lang w:val="es-ES"/>
        </w:rPr>
        <w:t xml:space="preserve"> </w:t>
      </w:r>
      <w:hyperlink r:id="rId34">
        <w:r>
          <w:rPr>
            <w:rStyle w:val="Hyperlink"/>
          </w:rPr>
          <w:t xml:space="preserve">https://doi.org/10.1148/ryai.220231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Huttenlocher, D. P., Klanderman, G. A., &amp; Rucklidge, W. J. (1993). Comparing images using the Hausdorff distance.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IEEE Transactions on Pattern Analysis and Machine Intelligence, 15</w:t>
      </w:r>
      <w:r>
        <w:rPr>
          <w:lang w:val="es-ES"/>
        </w:rPr>
        <w:t xml:space="preserve">(9), 850–863.</w:t>
      </w:r>
      <w:r>
        <w:rPr>
          <w:lang w:val="es-ES"/>
        </w:rPr>
        <w:t xml:space="preserve"> </w:t>
      </w:r>
      <w:hyperlink r:id="rId35">
        <w:r>
          <w:rPr>
            <w:rStyle w:val="Hyperlink"/>
          </w:rPr>
          <w:t xml:space="preserve">https://doi.org/10.1109/34.232073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Isensee, F., Jaeger, P. F., Kohl, S. A. A., Petersen, J., &amp; Maier-Hein, K. H. (2021). nnU-Net: A self-configuring method for deep learning-based biomedical image segmentation.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Nature Methods, 18</w:t>
      </w:r>
      <w:r>
        <w:rPr>
          <w:lang w:val="es-ES"/>
        </w:rPr>
        <w:t xml:space="preserve">(2), 203–211.</w:t>
      </w:r>
      <w:r>
        <w:rPr>
          <w:lang w:val="es-ES"/>
        </w:rPr>
        <w:t xml:space="preserve"> </w:t>
      </w:r>
      <w:hyperlink r:id="rId36">
        <w:r>
          <w:rPr>
            <w:rStyle w:val="Hyperlink"/>
          </w:rPr>
          <w:t xml:space="preserve">https://doi.org/10.1038/s41592-020-01008-z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Kamnitsas, K., Ledig, C., Newcombe, V. F. J., Simpson, J. P., Kane, A. D., Menon, D. K., Rueckert, D., &amp; Glocker, B. (2017). Efficient multi-scale 3D CNN with fully connected CRF for accurate brain lesion segmentation.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Medical Image Analysis, 36</w:t>
      </w:r>
      <w:r>
        <w:rPr>
          <w:lang w:val="es-ES"/>
        </w:rPr>
        <w:t xml:space="preserve">, 61–78.</w:t>
      </w:r>
      <w:r>
        <w:rPr>
          <w:lang w:val="es-ES"/>
        </w:rPr>
        <w:t xml:space="preserve"> </w:t>
      </w:r>
      <w:hyperlink r:id="rId37">
        <w:r>
          <w:rPr>
            <w:rStyle w:val="Hyperlink"/>
          </w:rPr>
          <w:t xml:space="preserve">https://doi.org/10.1016/j.media.2016.10.004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Khalighi, S., Reddy, K., Midya, A., Pandav, K. B., Madabhushi, A., &amp; Abedalthagafi, M. (2024). Artificial intelligence in neuro-oncology: Advances and challenges in brain tumor diagnosis, prognosis, and precision treatment.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npj Precision Oncology, 8</w:t>
      </w:r>
      <w:r>
        <w:rPr>
          <w:lang w:val="es-ES"/>
        </w:rPr>
        <w:t xml:space="preserve">, Article 80.</w:t>
      </w:r>
      <w:r>
        <w:rPr>
          <w:lang w:val="es-ES"/>
        </w:rPr>
        <w:t xml:space="preserve"> </w:t>
      </w:r>
      <w:hyperlink r:id="rId38">
        <w:r>
          <w:rPr>
            <w:rStyle w:val="Hyperlink"/>
          </w:rPr>
          <w:t xml:space="preserve">https://doi.org/10.1038/s41698-024-00575-0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Kouli, O., Hassane, A., Badran, D., Kouli, T., Hossain-Ibrahim, K., &amp; Steele, J. D. (2022). Automated brain tumor identification using magnetic resonance imaging: A systematic review and meta-analysis.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Neuro-Oncology Advances, 4</w:t>
      </w:r>
      <w:r>
        <w:rPr>
          <w:lang w:val="es-ES"/>
        </w:rPr>
        <w:t xml:space="preserve">(1), vdac081.</w:t>
      </w:r>
      <w:r>
        <w:rPr>
          <w:lang w:val="es-ES"/>
        </w:rPr>
        <w:t xml:space="preserve"> </w:t>
      </w:r>
      <w:hyperlink r:id="rId39">
        <w:r>
          <w:rPr>
            <w:rStyle w:val="Hyperlink"/>
          </w:rPr>
          <w:t xml:space="preserve">https://doi.org/10.1093/noajnl/vdac081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Langen, K.-J., Galldiks, N., Hattingen, E., &amp; Shah, N. J. (2017). Advances in neuro-oncology imaging.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Nature Reviews Neurology, 13</w:t>
      </w:r>
      <w:r>
        <w:rPr>
          <w:lang w:val="es-ES"/>
        </w:rPr>
        <w:t xml:space="preserve">(5), 279–289.</w:t>
      </w:r>
      <w:r>
        <w:rPr>
          <w:lang w:val="es-ES"/>
        </w:rPr>
        <w:t xml:space="preserve"> </w:t>
      </w:r>
      <w:hyperlink r:id="rId40">
        <w:r>
          <w:rPr>
            <w:rStyle w:val="Hyperlink"/>
          </w:rPr>
          <w:t xml:space="preserve">https://doi.org/10.1038/nrneurol.2017.44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Liu, Y., Mu, F., Shi, Y., Cheng, J., Li, C., &amp; Chen, X. (2022). Brain tumor segmentation in multimodal MRI via pixel-level and feature-level image fusion.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Frontiers in Neuroscience, 16</w:t>
      </w:r>
      <w:r>
        <w:rPr>
          <w:lang w:val="es-ES"/>
        </w:rPr>
        <w:t xml:space="preserve">, 1000587.</w:t>
      </w:r>
      <w:r>
        <w:rPr>
          <w:lang w:val="es-ES"/>
        </w:rPr>
        <w:t xml:space="preserve"> </w:t>
      </w:r>
      <w:hyperlink r:id="rId41">
        <w:r>
          <w:rPr>
            <w:rStyle w:val="Hyperlink"/>
          </w:rPr>
          <w:t xml:space="preserve">https://doi.org/10.3389/fnins.2022.1000587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Liu, Z., Lin, Y., Cao, Y., Hu, H., Wei, Y., Zhang, Z., Lin, S., &amp; Guo, B. (2021). Swin Transformer: Hierarchical vision Transformer using shifted windows. 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2021 IEEE/CVF International Conference on Computer Vision (ICCV)</w:t>
      </w:r>
      <w:r>
        <w:rPr>
          <w:lang w:val="es-ES"/>
        </w:rPr>
        <w:t xml:space="preserve"> </w:t>
      </w:r>
      <w:r>
        <w:rPr>
          <w:lang w:val="es-ES"/>
        </w:rPr>
        <w:t xml:space="preserve">(pp. 9992–10002). IEEE.</w:t>
      </w:r>
      <w:r>
        <w:rPr>
          <w:lang w:val="es-ES"/>
        </w:rPr>
        <w:t xml:space="preserve"> </w:t>
      </w:r>
      <w:hyperlink r:id="rId42">
        <w:r>
          <w:rPr>
            <w:rStyle w:val="Hyperlink"/>
          </w:rPr>
          <w:t xml:space="preserve">https://doi.org/10.1109/ICCV48922.2021.00986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Long, J., Shelhamer, E., &amp; Darrell, T. (2015). Fully convolutional networks for semantic segmentation. 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2015 IEEE Conference on Computer Vision and Pattern Recognition (CVPR)</w:t>
      </w:r>
      <w:r>
        <w:rPr>
          <w:lang w:val="es-ES"/>
        </w:rPr>
        <w:t xml:space="preserve"> </w:t>
      </w:r>
      <w:r>
        <w:rPr>
          <w:lang w:val="es-ES"/>
        </w:rPr>
        <w:t xml:space="preserve">(pp. 3431–3440). IEEE.</w:t>
      </w:r>
      <w:r>
        <w:rPr>
          <w:lang w:val="es-ES"/>
        </w:rPr>
        <w:t xml:space="preserve"> </w:t>
      </w:r>
      <w:hyperlink r:id="rId43">
        <w:r>
          <w:rPr>
            <w:rStyle w:val="Hyperlink"/>
          </w:rPr>
          <w:t xml:space="preserve">https://doi.org/10.1109/CVPR.2015.7298965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Mattson, P., Cheng, C., Diamos, G., Coleman, C., Micikevicius, P., Patterson, D., Tang, H., Wei, G.-Y., Bailis, P., Bittorf, V., Brooks, D., Chen, D., Dutta, D., Gupta, U., Hazelwood, K., Hock, A., Huang, X., Kang, D., Kanter, D., . . . Zaharia, M. (2020). MLPerf training benchmark.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Proceedings of Machine Learning and Systems, 2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hyperlink r:id="rId44">
        <w:r>
          <w:rPr>
            <w:rStyle w:val="Hyperlink"/>
          </w:rPr>
          <w:t xml:space="preserve">https://proceedings.mlsys.org/paper_files/paper/2020/hash/411e39b117e885341f25efb8912945f7-Abstract.html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Menze, B. H., Jakab, A., Bauer, S., Kalpathy-Cramer, J., Farahani, K., Kirby, J., Burren, Y., Porz, N., Slotboom, J., Wiest, R., Lanczi, L., Gerstner, E., Weber, M.-A., Arbel, T., Avants, B. B., Ayache, N., Buendia, P., Collins, D. L., Cordier, N., . . . Van Leemput, K. (2015). The multimodal brain tumor image segmentation benchmark (BRATS).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IEEE Transactions on Medical Imaging, 34</w:t>
      </w:r>
      <w:r>
        <w:rPr>
          <w:lang w:val="es-ES"/>
        </w:rPr>
        <w:t xml:space="preserve">(10), 1993–2024.</w:t>
      </w:r>
      <w:r>
        <w:rPr>
          <w:lang w:val="es-ES"/>
        </w:rPr>
        <w:t xml:space="preserve"> </w:t>
      </w:r>
      <w:hyperlink r:id="rId45">
        <w:r>
          <w:rPr>
            <w:rStyle w:val="Hyperlink"/>
          </w:rPr>
          <w:t xml:space="preserve">https://doi.org/10.1109/TMI.2014.2377694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Milletari, F., Navab, N., &amp; Ahmadi, S.-A. (2016). V-Net: Fully convolutional neural networks for volumetric medical image segmentation. 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2016 Fourth International Conference on 3D Vision (3DV)</w:t>
      </w:r>
      <w:r>
        <w:rPr>
          <w:lang w:val="es-ES"/>
        </w:rPr>
        <w:t xml:space="preserve"> </w:t>
      </w:r>
      <w:r>
        <w:rPr>
          <w:lang w:val="es-ES"/>
        </w:rPr>
        <w:t xml:space="preserve">(pp. 565–571). IEEE.</w:t>
      </w:r>
      <w:r>
        <w:rPr>
          <w:lang w:val="es-ES"/>
        </w:rPr>
        <w:t xml:space="preserve"> </w:t>
      </w:r>
      <w:hyperlink r:id="rId46">
        <w:r>
          <w:rPr>
            <w:rStyle w:val="Hyperlink"/>
          </w:rPr>
          <w:t xml:space="preserve">https://doi.org/10.1109/3DV.2016.79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Myronenko, A. (2019). 3D MRI brain tumor segmentation using autoencoder regularization. In A. Crimi, S. Bakas, H. Kuijf, F. Keyvan, M. Reyes, &amp; T. van Walsum (Eds.),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Brainlesion: Glioma, multiple sclerosis, stroke and traumatic brain injuries</w:t>
      </w:r>
      <w:r>
        <w:rPr>
          <w:lang w:val="es-ES"/>
        </w:rPr>
        <w:t xml:space="preserve"> </w:t>
      </w:r>
      <w:r>
        <w:rPr>
          <w:lang w:val="es-ES"/>
        </w:rPr>
        <w:t xml:space="preserve">(pp. 311–320). Springer.</w:t>
      </w:r>
      <w:r>
        <w:rPr>
          <w:lang w:val="es-ES"/>
        </w:rPr>
        <w:t xml:space="preserve"> </w:t>
      </w:r>
      <w:hyperlink r:id="rId47">
        <w:r>
          <w:rPr>
            <w:rStyle w:val="Hyperlink"/>
          </w:rPr>
          <w:t xml:space="preserve">https://doi.org/10.1007/978-3-030-11726-9_28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Oktay, O., Schlemper, J., Le Folgoc, L., Lee, M., Heinrich, M., Misawa, K., Mori, K., McDonagh, S., Hammerla, N. Y., Kainz, B., Glocker, B., &amp; Rueckert, D. (2018). Attention U-Net: Learning where to look for the pancreas.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arXiv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hyperlink r:id="rId48">
        <w:r>
          <w:rPr>
            <w:rStyle w:val="Hyperlink"/>
          </w:rPr>
          <w:t xml:space="preserve">https://doi.org/10.48550/arXiv.1804.03999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Pineau, J., Vincent-Lamarre, P., Sinha, K., Larivière, V., Beygelzimer, A., d’Alché-Buc, F., Fox, E., &amp; Larochelle, H. (2021). Improving reproducibility in machine learning research: A report from the NeurIPS 2019 reproducibility program.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Journal of Machine Learning Research, 22</w:t>
      </w:r>
      <w:r>
        <w:rPr>
          <w:lang w:val="es-ES"/>
        </w:rPr>
        <w:t xml:space="preserve">(164), 1–20.</w:t>
      </w:r>
      <w:r>
        <w:rPr>
          <w:lang w:val="es-ES"/>
        </w:rPr>
        <w:t xml:space="preserve"> </w:t>
      </w:r>
      <w:hyperlink r:id="rId49">
        <w:r>
          <w:rPr>
            <w:rStyle w:val="Hyperlink"/>
          </w:rPr>
          <w:t xml:space="preserve">https://www.jmlr.org/papers/v22/20-303.html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Ronneberger, O., Fischer, P., &amp; Brox, T. (2015). U-Net: Convolutional networks for biomedical image segmentation. In N. Navab, J. Hornegger, W. M. Wells, &amp; A. F. Frangi (Eds.),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Medical Image Computing and Computer-Assisted Intervention—MICCAI 2015</w:t>
      </w:r>
      <w:r>
        <w:rPr>
          <w:lang w:val="es-ES"/>
        </w:rPr>
        <w:t xml:space="preserve"> </w:t>
      </w:r>
      <w:r>
        <w:rPr>
          <w:lang w:val="es-ES"/>
        </w:rPr>
        <w:t xml:space="preserve">(pp. 234–241). Springer.</w:t>
      </w:r>
      <w:r>
        <w:rPr>
          <w:lang w:val="es-ES"/>
        </w:rPr>
        <w:t xml:space="preserve"> </w:t>
      </w:r>
      <w:hyperlink r:id="rId50">
        <w:r>
          <w:rPr>
            <w:rStyle w:val="Hyperlink"/>
          </w:rPr>
          <w:t xml:space="preserve">https://doi.org/10.1007/978-3-319-24574-4_28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Ruffle, J. K., Mohinta, S., Gray, R., Hyare, H., &amp; Nachev, P. (2023). Brain tumour segmentation with incomplete imaging data.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Brain Communications, 5</w:t>
      </w:r>
      <w:r>
        <w:rPr>
          <w:lang w:val="es-ES"/>
        </w:rPr>
        <w:t xml:space="preserve">(2), fcad118.</w:t>
      </w:r>
      <w:r>
        <w:rPr>
          <w:lang w:val="es-ES"/>
        </w:rPr>
        <w:t xml:space="preserve"> </w:t>
      </w:r>
      <w:hyperlink r:id="rId51">
        <w:r>
          <w:rPr>
            <w:rStyle w:val="Hyperlink"/>
          </w:rPr>
          <w:t xml:space="preserve">https://doi.org/10.1093/braincomms/fcad118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Shaker, A., Maaz, M., Rasheed, H., Khan, S., Yang, M.-H., &amp; Khan, F. S. (2024). UNETR++: Delving into efficient and accurate 3D medical image segmentation.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IEEE Transactions on Medical Imaging, 43</w:t>
      </w:r>
      <w:r>
        <w:rPr>
          <w:lang w:val="es-ES"/>
        </w:rPr>
        <w:t xml:space="preserve">(9), 3377–3390.</w:t>
      </w:r>
      <w:r>
        <w:rPr>
          <w:lang w:val="es-ES"/>
        </w:rPr>
        <w:t xml:space="preserve"> </w:t>
      </w:r>
      <w:hyperlink r:id="rId52">
        <w:r>
          <w:rPr>
            <w:rStyle w:val="Hyperlink"/>
          </w:rPr>
          <w:t xml:space="preserve">https://doi.org/10.1109/TMI.2024.3398728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Taha, A. A., &amp; Hanbury, A. (2015). Metrics for evaluating 3D medical image segmentation: Analysis, selection, and tool.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BMC Medical Imaging, 15</w:t>
      </w:r>
      <w:r>
        <w:rPr>
          <w:lang w:val="es-ES"/>
        </w:rPr>
        <w:t xml:space="preserve">, Article 29.</w:t>
      </w:r>
      <w:r>
        <w:rPr>
          <w:lang w:val="es-ES"/>
        </w:rPr>
        <w:t xml:space="preserve"> </w:t>
      </w:r>
      <w:hyperlink r:id="rId53">
        <w:r>
          <w:rPr>
            <w:rStyle w:val="Hyperlink"/>
          </w:rPr>
          <w:t xml:space="preserve">https://doi.org/10.1186/s12880-015-0068-x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Tang, Y., Yang, D., Li, W., Roth, H. R., Landman, B., Xu, D., Nath, V., &amp; Hatamizadeh, A. (2022). Self-supervised pre-training of Swin Transformers for 3D medical image analysis. 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2022 IEEE/CVF Conference on Computer Vision and Pattern Recognition (CVPR)</w:t>
      </w:r>
      <w:r>
        <w:rPr>
          <w:lang w:val="es-ES"/>
        </w:rPr>
        <w:t xml:space="preserve"> </w:t>
      </w:r>
      <w:r>
        <w:rPr>
          <w:lang w:val="es-ES"/>
        </w:rPr>
        <w:t xml:space="preserve">(pp. 20698–20708). IEEE.</w:t>
      </w:r>
      <w:r>
        <w:rPr>
          <w:lang w:val="es-ES"/>
        </w:rPr>
        <w:t xml:space="preserve"> </w:t>
      </w:r>
      <w:hyperlink r:id="rId54">
        <w:r>
          <w:rPr>
            <w:rStyle w:val="Hyperlink"/>
          </w:rPr>
          <w:t xml:space="preserve">https://doi.org/10.1109/CVPR52688.2022.02007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Vaswani, A., Shazeer, N., Parmar, N., Uszkoreit, J., Jones, L., Gomez, A. N., Kaiser, Ł., &amp; Polosukhin, I. (2017). Attention is all you need. 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Advances in Neural Information Processing Systems 30</w:t>
      </w:r>
      <w:r>
        <w:rPr>
          <w:lang w:val="es-ES"/>
        </w:rPr>
        <w:t xml:space="preserve"> </w:t>
      </w:r>
      <w:r>
        <w:rPr>
          <w:lang w:val="es-ES"/>
        </w:rPr>
        <w:t xml:space="preserve">(pp. 5998–6008).</w:t>
      </w:r>
      <w:r>
        <w:rPr>
          <w:lang w:val="es-ES"/>
        </w:rPr>
        <w:t xml:space="preserve"> </w:t>
      </w:r>
      <w:hyperlink r:id="rId55">
        <w:r>
          <w:rPr>
            <w:rStyle w:val="Hyperlink"/>
          </w:rPr>
          <w:t xml:space="preserve">https://papers.nips.cc/paper_files/paper/2017/hash/3f5ee243547dee91fbd053c1c4a845aa-Abstract.html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Wang, W., Chen, C., Ding, M., Yu, H., Zha, S., &amp; Li, J. (2021). TransBTS: Multimodal brain tumor segmentation using Transformer. 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Medical Image Computing and Computer-Assisted Intervention—MICCAI 2021</w:t>
      </w:r>
      <w:r>
        <w:rPr>
          <w:lang w:val="es-ES"/>
        </w:rPr>
        <w:t xml:space="preserve"> </w:t>
      </w:r>
      <w:r>
        <w:rPr>
          <w:lang w:val="es-ES"/>
        </w:rPr>
        <w:t xml:space="preserve">(pp. 109–119). Springer.</w:t>
      </w:r>
      <w:r>
        <w:rPr>
          <w:lang w:val="es-ES"/>
        </w:rPr>
        <w:t xml:space="preserve"> </w:t>
      </w:r>
      <w:hyperlink r:id="rId56">
        <w:r>
          <w:rPr>
            <w:rStyle w:val="Hyperlink"/>
          </w:rPr>
          <w:t xml:space="preserve">https://doi.org/10.1007/978-3-030-87193-2_11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Zhou, T., Ruan, S., Vera, P., &amp; Canu, S. (2022). A Tri-Attention fusion guided multi-modal segmentation network.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Pattern Recognition, 124</w:t>
      </w:r>
      <w:r>
        <w:rPr>
          <w:lang w:val="es-ES"/>
        </w:rPr>
        <w:t xml:space="preserve">, 108417.</w:t>
      </w:r>
      <w:r>
        <w:rPr>
          <w:lang w:val="es-ES"/>
        </w:rPr>
        <w:t xml:space="preserve"> </w:t>
      </w:r>
      <w:hyperlink r:id="rId57">
        <w:r>
          <w:rPr>
            <w:rStyle w:val="Hyperlink"/>
          </w:rPr>
          <w:t xml:space="preserve">https://doi.org/10.1016/j.patcog.2021.108417</w:t>
        </w:r>
      </w:hyperlink>
    </w:p>
    <w:bookmarkEnd w:id="66"/>
    <w:bookmarkStart w:id="67" w:name="apéndice-a.-reproducibilidad"/>
    <w:p>
      <w:pPr>
        <w:keepNext/>
        <w:keepLines/>
        <w:pageBreakBefore/>
        <w:numPr>
          <w:numId w:val="0"/>
        </w:numPr>
        <w:pStyle w:val="Heading1"/>
        <w:rPr>
          <w:lang w:val="es-ES"/>
        </w:rPr>
      </w:pPr>
      <w:r>
        <w:rPr>
          <w:lang w:val="es-ES"/>
        </w:rPr>
        <w:t xml:space="preserve">Apéndice A. Reproducibilidad</w:t>
      </w:r>
    </w:p>
    <w:p>
      <w:pPr>
        <w:rPr>
          <w:lang w:val="es-ES"/>
        </w:rPr>
      </w:pPr>
      <w:r>
        <w:rPr>
          <w:lang w:val="es-ES"/>
        </w:rPr>
        <w:t xml:space="preserve">Este apéndice identifica el código, las configuraciones, los comandos y los artefactos necesarios</w:t>
      </w:r>
      <w:r>
        <w:rPr>
          <w:lang w:val="es-ES"/>
        </w:rPr>
        <w:t xml:space="preserve"> </w:t>
      </w:r>
      <w:r>
        <w:rPr>
          <w:lang w:val="es-ES"/>
        </w:rPr>
        <w:t xml:space="preserve">para auditar el trabajo. No sustituye las condiciones de acceso al conjunto BraTS-GLI 2024 ni</w:t>
      </w:r>
      <w:r>
        <w:rPr>
          <w:lang w:val="es-ES"/>
        </w:rPr>
        <w:t xml:space="preserve"> </w:t>
      </w:r>
      <w:r>
        <w:rPr>
          <w:lang w:val="es-ES"/>
        </w:rPr>
        <w:t xml:space="preserve">permite reconstruir los entrenamientos pesados sin disponer de los datos y del entorno de cómputo.</w:t>
      </w:r>
    </w:p>
    <w:bookmarkStart w:id="68" w:name="a.1.-repositorio-y-versión-de-entrega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A.1. Repositorio y versión de entrega</w:t>
      </w:r>
    </w:p>
    <w:p>
      <w:pPr>
        <w:numPr>
          <w:ilvl w:val="0"/>
          <w:numId w:val="12"/>
        </w:numPr>
        <w:rPr>
          <w:lang w:val="es-ES"/>
        </w:rPr>
      </w:pPr>
      <w:r>
        <w:rPr>
          <w:lang w:val="es-ES"/>
        </w:rPr>
        <w:t xml:space="preserve">Repositorio remoto configurado:</w:t>
      </w:r>
      <w:r>
        <w:rPr>
          <w:lang w:val="es-ES"/>
        </w:rPr>
        <w:t xml:space="preserve"> </w:t>
      </w:r>
      <w:hyperlink r:id="rId58">
        <w:r>
          <w:rPr>
            <w:rStyle w:val="Hyperlink"/>
          </w:rPr>
          <w:t xml:space="preserve">https://github.com/jesusferron/tfm-brain-tumor-segmentation</w:t>
        </w:r>
      </w:hyperlink>
      <w:r>
        <w:rPr>
          <w:lang w:val="es-ES"/>
        </w:rPr>
        <w:t xml:space="preserve">.</w:t>
      </w:r>
    </w:p>
    <w:p>
      <w:pPr>
        <w:numPr>
          <w:ilvl w:val="0"/>
          <w:numId w:val="12"/>
        </w:numPr>
        <w:rPr>
          <w:lang w:val="es-ES"/>
        </w:rPr>
      </w:pPr>
      <w:r>
        <w:rPr>
          <w:lang w:val="es-ES"/>
        </w:rPr>
        <w:t xml:space="preserve">Rama de trabajo: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main</w:t>
      </w:r>
      <w:r>
        <w:rPr>
          <w:lang w:val="es-ES"/>
        </w:rPr>
        <w:t xml:space="preserve">.</w:t>
      </w:r>
    </w:p>
    <w:p>
      <w:pPr>
        <w:numPr>
          <w:ilvl w:val="0"/>
          <w:numId w:val="12"/>
        </w:numPr>
        <w:rPr>
          <w:lang w:val="es-ES"/>
        </w:rPr>
      </w:pPr>
      <w:r>
        <w:rPr>
          <w:b/>
          <w:bCs/>
          <w:lang w:val="es-ES"/>
        </w:rPr>
        <w:t xml:space="preserve">Commit de entrega:</w:t>
      </w:r>
      <w:r>
        <w:rPr>
          <w:b/>
          <w:bCs/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PENDIENTE_COMMIT_FINAL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Este marcador debe sustituirse por el hash del</w:t>
      </w:r>
      <w:r>
        <w:rPr>
          <w:lang w:val="es-ES"/>
        </w:rPr>
        <w:t xml:space="preserve"> </w:t>
      </w:r>
      <w:r>
        <w:rPr>
          <w:lang w:val="es-ES"/>
        </w:rPr>
        <w:t xml:space="preserve">commit que corresponda exactamente al código, configuraciones, resultados y memoria entregados.</w:t>
      </w:r>
    </w:p>
    <w:p>
      <w:pPr>
        <w:numPr>
          <w:ilvl w:val="0"/>
          <w:numId w:val="12"/>
        </w:numPr>
        <w:rPr>
          <w:lang w:val="es-ES"/>
        </w:rPr>
      </w:pPr>
      <w:r>
        <w:rPr>
          <w:lang w:val="es-ES"/>
        </w:rPr>
        <w:t xml:space="preserve">Antes de entregar debe comprobarse que la URL anterior es accesible para el tribunal. La presencia</w:t>
      </w:r>
      <w:r>
        <w:rPr>
          <w:lang w:val="es-ES"/>
        </w:rPr>
        <w:t xml:space="preserve"> </w:t>
      </w:r>
      <w:r>
        <w:rPr>
          <w:lang w:val="es-ES"/>
        </w:rPr>
        <w:t xml:space="preserve">de un remoto Git no demuestra por sí sola que el repositorio sea público.</w:t>
      </w:r>
    </w:p>
    <w:p>
      <w:pPr>
        <w:rPr>
          <w:lang w:val="es-ES"/>
        </w:rPr>
      </w:pPr>
      <w:r>
        <w:rPr>
          <w:lang w:val="es-ES"/>
        </w:rPr>
        <w:t xml:space="preserve">Una vez fijado el commit, la copia exacta puede obtenerse con:</w:t>
      </w:r>
    </w:p>
    <w:p>
      <w:pPr>
        <w:pStyle w:val="TFMCode"/>
        <w:keepLines w:val="0"/>
        <w:widowControl w:val="0"/>
        <w:shd w:val="clear" w:fill="F2F2F2"/>
        <w:pBdr>
          <w:left w:val="single" w:sz="12" w:space="8" w:color="ED7D31"/>
        </w:pBdr>
        <w:rPr>
          <w:lang w:val="es-ES"/>
        </w:rPr>
      </w:pPr>
      <w:r>
        <w:rPr>
          <w:rStyle w:val="Funct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git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clone https://github.com/jesusferron/tfm-brain-tumor-segmentation.git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BuiltInTok"/>
          <w:rFonts w:ascii="Consolas" w:hAnsi="Consolas" w:cs="Consolas" w:eastAsia="Consolas"/>
          <w:color w:val="1F1F1F"/>
          <w:sz w:val="15"/>
          <w:noProof/>
          <w:lang w:val="es-ES"/>
        </w:rPr>
        <w:t xml:space="preserve">cd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tfm-brain-tumor-segmentation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Funct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git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checkout PENDIENTE_COMMIT_FINAL</w:t>
      </w:r>
    </w:p>
    <w:bookmarkEnd w:id="67"/>
    <w:bookmarkStart w:id="69" w:name="a.2.-entorno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A.2. Entorno</w:t>
      </w:r>
    </w:p>
    <w:p>
      <w:pPr>
        <w:rPr>
          <w:lang w:val="es-ES"/>
        </w:rPr>
      </w:pPr>
      <w:r>
        <w:rPr>
          <w:lang w:val="es-ES"/>
        </w:rPr>
        <w:t xml:space="preserve">Las dependencias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MONAI se recogen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requirements/protocol.txt</w:t>
      </w:r>
      <w:r>
        <w:rPr>
          <w:lang w:val="es-ES"/>
        </w:rPr>
        <w:t xml:space="preserve"> </w:t>
      </w:r>
      <w:r>
        <w:rPr>
          <w:lang w:val="es-ES"/>
        </w:rPr>
        <w:t xml:space="preserve">y las de nnU-Net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requirements/nnunet.txt</w:t>
      </w:r>
      <w:r>
        <w:rPr>
          <w:lang w:val="es-ES"/>
        </w:rPr>
        <w:t xml:space="preserve">. Una instalación local básica se prepara mediante:</w:t>
      </w:r>
    </w:p>
    <w:p>
      <w:pPr>
        <w:pStyle w:val="TFMCode"/>
        <w:keepLines w:val="0"/>
        <w:widowControl w:val="0"/>
        <w:shd w:val="clear" w:fill="F2F2F2"/>
        <w:pBdr>
          <w:left w:val="single" w:sz="12" w:space="8" w:color="ED7D31"/>
        </w:pBdr>
        <w:rPr>
          <w:lang w:val="es-ES"/>
        </w:rPr>
      </w:pP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python3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venv .venv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pip install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--upgrade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pip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pip install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requirements/protocol.txt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pip install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requirements/nnunet.txt</w:t>
      </w:r>
    </w:p>
    <w:p>
      <w:pPr>
        <w:rPr>
          <w:lang w:val="es-ES"/>
        </w:rPr>
      </w:pPr>
      <w:r>
        <w:rPr>
          <w:lang w:val="es-ES"/>
        </w:rPr>
        <w:t xml:space="preserve">Las rutas de los datos se configuran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configs/dataset/brats_gli_2024.yaml</w:t>
      </w:r>
      <w:r>
        <w:rPr>
          <w:lang w:val="es-ES"/>
        </w:rPr>
        <w:t xml:space="preserve"> </w:t>
      </w:r>
      <w:r>
        <w:rPr>
          <w:lang w:val="es-ES"/>
        </w:rPr>
        <w:t xml:space="preserve">y deben adaptarse al</w:t>
      </w:r>
      <w:r>
        <w:rPr>
          <w:lang w:val="es-ES"/>
        </w:rPr>
        <w:t xml:space="preserve"> </w:t>
      </w:r>
      <w:r>
        <w:rPr>
          <w:lang w:val="es-ES"/>
        </w:rPr>
        <w:t xml:space="preserve">sistema donde se ejecute el proyecto. Las configuraciones de entrenamiento distinguen los entornos</w:t>
      </w:r>
      <w:r>
        <w:rPr>
          <w:lang w:val="es-ES"/>
        </w:rPr>
        <w:t xml:space="preserve"> </w:t>
      </w:r>
      <w:r>
        <w:rPr>
          <w:lang w:val="es-ES"/>
        </w:rPr>
        <w:t xml:space="preserve">MPS y CUDA; no debe asumirse que los tiempos obtenidos en ambos son directamente comparables.</w:t>
      </w:r>
    </w:p>
    <w:bookmarkEnd w:id="68"/>
    <w:bookmarkStart w:id="70" w:name="a.3.-control-de-calidad-y-particiones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A.3. Control de calidad y particiones</w:t>
      </w:r>
    </w:p>
    <w:p>
      <w:pPr>
        <w:rPr>
          <w:lang w:val="es-ES"/>
        </w:rPr>
      </w:pPr>
      <w:r>
        <w:rPr>
          <w:lang w:val="es-ES"/>
        </w:rPr>
        <w:t xml:space="preserve">Desde la raíz del repositorio, el inventario y control de calidad se ejecutan con:</w:t>
      </w:r>
    </w:p>
    <w:p>
      <w:pPr>
        <w:pStyle w:val="TFMCode"/>
        <w:keepLines w:val="0"/>
        <w:widowControl w:val="0"/>
        <w:shd w:val="clear" w:fill="F2F2F2"/>
        <w:pBdr>
          <w:left w:val="single" w:sz="12" w:space="8" w:color="ED7D31"/>
        </w:pBdr>
        <w:rPr>
          <w:lang w:val="es-ES"/>
        </w:rPr>
      </w:pP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tfm_brats.cli qc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--dataset-config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configs/dataset/brats_gli_2024.yaml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--output-csv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outputs/qc/brats_gli_2024_qc.csv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--output-json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outputs/qc/brats_gli_2024_qc_summary.json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--fail-on-problems</w:t>
      </w:r>
    </w:p>
    <w:p>
      <w:pPr>
        <w:rPr>
          <w:lang w:val="es-ES"/>
        </w:rPr>
      </w:pPr>
      <w:r>
        <w:rPr>
          <w:lang w:val="es-ES"/>
        </w:rPr>
        <w:t xml:space="preserve">Las particiones versionadas se regeneran mediante:</w:t>
      </w:r>
    </w:p>
    <w:p>
      <w:pPr>
        <w:pStyle w:val="TFMCode"/>
        <w:keepLines w:val="0"/>
        <w:widowControl w:val="0"/>
        <w:shd w:val="clear" w:fill="F2F2F2"/>
        <w:pBdr>
          <w:left w:val="single" w:sz="12" w:space="8" w:color="ED7D31"/>
        </w:pBdr>
        <w:rPr>
          <w:lang w:val="es-ES"/>
        </w:rPr>
      </w:pP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tfm_brats.cli splits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--qc-csv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outputs/qc/brats_gli_2024_qc.csv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--output-dir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outputs/splits/brats_gli_2024_seed20260526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--seed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20260526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--ratios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70/15/15</w:t>
      </w:r>
    </w:p>
    <w:p>
      <w:pPr>
        <w:rPr>
          <w:lang w:val="es-ES"/>
        </w:rPr>
      </w:pPr>
      <w:r>
        <w:rPr>
          <w:lang w:val="es-ES"/>
        </w:rPr>
        <w:t xml:space="preserve">La separación se realizó a nivel de estudio. Debido al carácter longitudinal de BraTS-GLI 2024,</w:t>
      </w:r>
      <w:r>
        <w:rPr>
          <w:lang w:val="es-ES"/>
        </w:rPr>
        <w:t xml:space="preserve"> </w:t>
      </w:r>
      <w:r>
        <w:rPr>
          <w:lang w:val="es-ES"/>
        </w:rPr>
        <w:t xml:space="preserve">no constituye una separación independiente por sujeto.</w:t>
      </w:r>
    </w:p>
    <w:bookmarkEnd w:id="69"/>
    <w:bookmarkStart w:id="71" w:name="Xf02684c5c8639b8cbe778e24ae87b212da573f4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A.4. Entrenamiento, inferencia y evaluación MONAI</w:t>
      </w:r>
    </w:p>
    <w:p>
      <w:pPr>
        <w:rPr>
          <w:lang w:val="es-ES"/>
        </w:rPr>
      </w:pPr>
      <w:r>
        <w:rPr>
          <w:lang w:val="es-ES"/>
        </w:rPr>
        <w:t xml:space="preserve">La siguiente ejecución reproduce la estructura de una corrida final de la Residual U-Net con</w:t>
      </w:r>
      <w:r>
        <w:rPr>
          <w:lang w:val="es-ES"/>
        </w:rPr>
        <w:t xml:space="preserve"> </w:t>
      </w:r>
      <w:r>
        <w:rPr>
          <w:lang w:val="es-ES"/>
        </w:rPr>
        <w:t xml:space="preserve">concatenación. Para las demás variantes se sustituyen la configuración del modelo, el directorio de</w:t>
      </w:r>
      <w:r>
        <w:rPr>
          <w:lang w:val="es-ES"/>
        </w:rPr>
        <w:t xml:space="preserve"> </w:t>
      </w:r>
      <w:r>
        <w:rPr>
          <w:lang w:val="es-ES"/>
        </w:rPr>
        <w:t xml:space="preserve">salida y la semilla.</w:t>
      </w:r>
    </w:p>
    <w:p>
      <w:pPr>
        <w:pStyle w:val="TFMCode"/>
        <w:keepLines w:val="0"/>
        <w:widowControl w:val="0"/>
        <w:shd w:val="clear" w:fill="F2F2F2"/>
        <w:pBdr>
          <w:left w:val="single" w:sz="12" w:space="8" w:color="ED7D31"/>
        </w:pBdr>
        <w:rPr>
          <w:lang w:val="es-ES"/>
        </w:rPr>
      </w:pP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tfm_brats.cli train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--dataset-config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configs/dataset/brats_gli_2024.yaml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--model-config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configs/model/residual_unet_3d.yaml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--training-config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configs/training/mac_m4_pro_128_final.yaml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--split-dir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outputs/splits/brats_gli_2024_seed20260526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--output-dir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outputs/train/final_concat_seed20260526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--max-steps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15000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--seed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20260526</w:t>
      </w:r>
    </w:p>
    <w:p>
      <w:pPr>
        <w:rPr>
          <w:lang w:val="es-ES"/>
        </w:rPr>
      </w:pPr>
      <w:r>
        <w:rPr>
          <w:lang w:val="es-ES"/>
        </w:rPr>
        <w:t xml:space="preserve">Las configuraciones principales de la ablación son:</w:t>
      </w:r>
    </w:p>
    <w:p>
      <w:pPr>
        <w:numPr>
          <w:ilvl w:val="0"/>
          <w:numId w:val="13"/>
        </w:numPr>
        <w:rPr>
          <w:lang w:val="es-ES"/>
        </w:rPr>
      </w:pPr>
      <w:r>
        <w:rPr>
          <w:rStyle w:val="VerbatimChar"/>
          <w:lang w:val="es-ES"/>
        </w:rPr>
        <w:t xml:space="preserve">configs/model/residual_unet_3d.yaml</w:t>
      </w:r>
      <w:r>
        <w:rPr>
          <w:lang w:val="es-ES"/>
        </w:rPr>
        <w:t xml:space="preserve">;</w:t>
      </w:r>
    </w:p>
    <w:p>
      <w:pPr>
        <w:numPr>
          <w:ilvl w:val="0"/>
          <w:numId w:val="13"/>
        </w:numPr>
        <w:rPr>
          <w:lang w:val="es-ES"/>
        </w:rPr>
      </w:pPr>
      <w:r>
        <w:rPr>
          <w:rStyle w:val="VerbatimChar"/>
          <w:lang w:val="es-ES"/>
        </w:rPr>
        <w:t xml:space="preserve">configs/model/residual_unet_3d_global_weighted.yaml</w:t>
      </w:r>
      <w:r>
        <w:rPr>
          <w:lang w:val="es-ES"/>
        </w:rPr>
        <w:t xml:space="preserve">;</w:t>
      </w:r>
    </w:p>
    <w:p>
      <w:pPr>
        <w:numPr>
          <w:ilvl w:val="0"/>
          <w:numId w:val="13"/>
        </w:numPr>
        <w:rPr>
          <w:lang w:val="es-ES"/>
        </w:rPr>
      </w:pPr>
      <w:r>
        <w:rPr>
          <w:rStyle w:val="VerbatimChar"/>
          <w:lang w:val="es-ES"/>
        </w:rPr>
        <w:t xml:space="preserve">configs/model/residual_unet_3d_adaptive_gating.yaml</w:t>
      </w:r>
      <w:r>
        <w:rPr>
          <w:lang w:val="es-ES"/>
        </w:rPr>
        <w:t xml:space="preserve">;</w:t>
      </w:r>
    </w:p>
    <w:p>
      <w:pPr>
        <w:numPr>
          <w:ilvl w:val="0"/>
          <w:numId w:val="13"/>
        </w:numPr>
        <w:rPr>
          <w:lang w:val="es-ES"/>
        </w:rPr>
      </w:pPr>
      <w:r>
        <w:rPr>
          <w:rStyle w:val="VerbatimChar"/>
          <w:lang w:val="es-ES"/>
        </w:rPr>
        <w:t xml:space="preserve">configs/model/residual_unet_3d_adaptive_gating_meanstd.yaml</w:t>
      </w:r>
      <w:r>
        <w:rPr>
          <w:lang w:val="es-ES"/>
        </w:rPr>
        <w:t xml:space="preserve">.</w:t>
      </w:r>
    </w:p>
    <w:p>
      <w:pPr>
        <w:rPr>
          <w:lang w:val="es-ES"/>
        </w:rPr>
      </w:pPr>
      <w:r>
        <w:rPr>
          <w:lang w:val="es-ES"/>
        </w:rPr>
        <w:t xml:space="preserve">Attention U-Net y Swin-UNETR emplean, respectivamente,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configs/model/attention_unet_3d.yaml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configs/model/swin_unetr.yaml</w:t>
      </w:r>
      <w:r>
        <w:rPr>
          <w:lang w:val="es-ES"/>
        </w:rPr>
        <w:t xml:space="preserve">, junto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configs/training/colab_a100_final.yaml</w:t>
      </w:r>
      <w:r>
        <w:rPr>
          <w:lang w:val="es-ES"/>
        </w:rPr>
        <w:t xml:space="preserve"> </w:t>
      </w:r>
      <w:r>
        <w:rPr>
          <w:lang w:val="es-ES"/>
        </w:rPr>
        <w:t xml:space="preserve">en las corridas A100.</w:t>
      </w:r>
    </w:p>
    <w:p>
      <w:pPr>
        <w:rPr>
          <w:lang w:val="es-ES"/>
        </w:rPr>
      </w:pPr>
      <w:r>
        <w:rPr>
          <w:lang w:val="es-ES"/>
        </w:rPr>
        <w:t xml:space="preserve">La inferencia y la evaluación de una corrida se ejecutan con:</w:t>
      </w:r>
    </w:p>
    <w:p>
      <w:pPr>
        <w:pStyle w:val="TFMCode"/>
        <w:keepLines w:val="0"/>
        <w:widowControl w:val="0"/>
        <w:shd w:val="clear" w:fill="F2F2F2"/>
        <w:pBdr>
          <w:left w:val="single" w:sz="12" w:space="8" w:color="ED7D31"/>
        </w:pBdr>
        <w:rPr>
          <w:lang w:val="es-ES"/>
        </w:rPr>
      </w:pP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tfm_brats.cli predict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--dataset-config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configs/dataset/brats_gli_2024.yaml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--model-config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configs/model/residual_unet_3d.yaml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--training-config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configs/training/mac_m4_pro_128_final.yaml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--split-csv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outputs/splits/brats_gli_2024_seed20260526/test.csv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--checkpoint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outputs/train/final_concat_seed20260526/checkpoints/best.pt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--output-dir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outputs/predictions/final_concat_seed20260526_test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tfm_brats.cli evaluate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--dataset-config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configs/dataset/brats_gli_2024.yaml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--split-csv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outputs/splits/brats_gli_2024_seed20260526/test.csv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--predictions-dir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outputs/predictions/final_concat_seed20260526_test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--output-csv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outputs/evaluation/final_concat_seed20260526_test_metrics.csv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--output-json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outputs/evaluation/final_concat_seed20260526_test_metrics_summary.json</w:t>
      </w:r>
    </w:p>
    <w:bookmarkEnd w:id="70"/>
    <w:bookmarkStart w:id="72" w:name="a.5.-ruta-externa-nnu-net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A.5. Ruta externa nnU-Net</w:t>
      </w:r>
    </w:p>
    <w:p>
      <w:pPr>
        <w:rPr>
          <w:lang w:val="es-ES"/>
        </w:rPr>
      </w:pPr>
      <w:r>
        <w:rPr>
          <w:lang w:val="es-ES"/>
        </w:rPr>
        <w:t xml:space="preserve">nnU-Net se ejecuta como un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externo, con planificación, preprocesamiento, aumentos y</w:t>
      </w:r>
      <w:r>
        <w:rPr>
          <w:lang w:val="es-ES"/>
        </w:rPr>
        <w:t xml:space="preserve"> </w:t>
      </w:r>
      <w:r>
        <w:rPr>
          <w:lang w:val="es-ES"/>
        </w:rPr>
        <w:t xml:space="preserve">entrenamiento propios. Para reproducir la corrida final deben definirse primero sus tres directorios</w:t>
      </w:r>
      <w:r>
        <w:rPr>
          <w:lang w:val="es-ES"/>
        </w:rPr>
        <w:t xml:space="preserve"> </w:t>
      </w:r>
      <w:r>
        <w:rPr>
          <w:lang w:val="es-ES"/>
        </w:rPr>
        <w:t xml:space="preserve">de trabajo en disco local:</w:t>
      </w:r>
    </w:p>
    <w:p>
      <w:pPr>
        <w:pStyle w:val="TFMCode"/>
        <w:keepLines w:val="0"/>
        <w:widowControl w:val="0"/>
        <w:shd w:val="clear" w:fill="F2F2F2"/>
        <w:pBdr>
          <w:left w:val="single" w:sz="12" w:space="8" w:color="ED7D31"/>
        </w:pBdr>
        <w:rPr>
          <w:lang w:val="es-ES"/>
        </w:rPr>
      </w:pPr>
      <w:r>
        <w:rPr>
          <w:rStyle w:val="BuiltInTok"/>
          <w:rFonts w:ascii="Consolas" w:hAnsi="Consolas" w:cs="Consolas" w:eastAsia="Consolas"/>
          <w:color w:val="1F1F1F"/>
          <w:sz w:val="15"/>
          <w:noProof/>
          <w:lang w:val="es-ES"/>
        </w:rPr>
        <w:t xml:space="preserve">export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nnUNet_raw</w:t>
      </w:r>
      <w:r>
        <w:rPr>
          <w:rStyle w:val="OperatorTok"/>
          <w:rFonts w:ascii="Consolas" w:hAnsi="Consolas" w:cs="Consolas" w:eastAsia="Consolas"/>
          <w:color w:val="1F1F1F"/>
          <w:sz w:val="15"/>
          <w:noProof/>
          <w:lang w:val="es-ES"/>
        </w:rPr>
        <w:t xml:space="preserve">=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/content/nnUNet_raw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BuiltInTok"/>
          <w:rFonts w:ascii="Consolas" w:hAnsi="Consolas" w:cs="Consolas" w:eastAsia="Consolas"/>
          <w:color w:val="1F1F1F"/>
          <w:sz w:val="15"/>
          <w:noProof/>
          <w:lang w:val="es-ES"/>
        </w:rPr>
        <w:t xml:space="preserve">export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nnUNet_preprocessed</w:t>
      </w:r>
      <w:r>
        <w:rPr>
          <w:rStyle w:val="OperatorTok"/>
          <w:rFonts w:ascii="Consolas" w:hAnsi="Consolas" w:cs="Consolas" w:eastAsia="Consolas"/>
          <w:color w:val="1F1F1F"/>
          <w:sz w:val="15"/>
          <w:noProof/>
          <w:lang w:val="es-ES"/>
        </w:rPr>
        <w:t xml:space="preserve">=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/content/nnUNet_preprocessed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BuiltInTok"/>
          <w:rFonts w:ascii="Consolas" w:hAnsi="Consolas" w:cs="Consolas" w:eastAsia="Consolas"/>
          <w:color w:val="1F1F1F"/>
          <w:sz w:val="15"/>
          <w:noProof/>
          <w:lang w:val="es-ES"/>
        </w:rPr>
        <w:t xml:space="preserve">export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nnUNet_results</w:t>
      </w:r>
      <w:r>
        <w:rPr>
          <w:rStyle w:val="OperatorTok"/>
          <w:rFonts w:ascii="Consolas" w:hAnsi="Consolas" w:cs="Consolas" w:eastAsia="Consolas"/>
          <w:color w:val="1F1F1F"/>
          <w:sz w:val="15"/>
          <w:noProof/>
          <w:lang w:val="es-ES"/>
        </w:rPr>
        <w:t xml:space="preserve">=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/content/nnUNet_results</w:t>
      </w:r>
    </w:p>
    <w:p>
      <w:pPr>
        <w:rPr>
          <w:lang w:val="es-ES"/>
        </w:rPr>
      </w:pPr>
      <w:r>
        <w:rPr>
          <w:lang w:val="es-ES"/>
        </w:rPr>
        <w:t xml:space="preserve">La conversión parte de las particiones versionadas. En la reproducción final,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imagesTr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labelsTr</w:t>
      </w:r>
      <w:r>
        <w:rPr>
          <w:lang w:val="es-ES"/>
        </w:rPr>
        <w:t xml:space="preserve"> </w:t>
      </w:r>
      <w:r>
        <w:rPr>
          <w:lang w:val="es-ES"/>
        </w:rPr>
        <w:t xml:space="preserve">proceden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train.csv</w:t>
      </w:r>
      <w:r>
        <w:rPr>
          <w:lang w:val="es-ES"/>
        </w:rPr>
        <w:t xml:space="preserve">, mientras que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imagesTs</w:t>
      </w:r>
      <w:r>
        <w:rPr>
          <w:lang w:val="es-ES"/>
        </w:rPr>
        <w:t xml:space="preserve"> </w:t>
      </w:r>
      <w:r>
        <w:rPr>
          <w:lang w:val="es-ES"/>
        </w:rPr>
        <w:t xml:space="preserve">se genera directamente a partir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test.csv</w:t>
      </w:r>
      <w:r>
        <w:rPr>
          <w:lang w:val="es-ES"/>
        </w:rPr>
        <w:t xml:space="preserve">:</w:t>
      </w:r>
    </w:p>
    <w:p>
      <w:pPr>
        <w:pStyle w:val="TFMCode"/>
        <w:keepLines w:val="0"/>
        <w:widowControl w:val="0"/>
        <w:shd w:val="clear" w:fill="F2F2F2"/>
        <w:pBdr>
          <w:left w:val="single" w:sz="12" w:space="8" w:color="ED7D31"/>
        </w:pBdr>
        <w:rPr>
          <w:lang w:val="es-ES"/>
        </w:rPr>
      </w:pP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scripts/nnunet/prepare_brats_gli_nnunet_full.py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--dataset-config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configs/dataset/brats_gli_2024.yaml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--split-dir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outputs/splits/brats_gli_2024_seed20260526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--train-split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train.csv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--test-split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test.csv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--nnunet-raw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StringTok"/>
          <w:rFonts w:ascii="Consolas" w:hAnsi="Consolas" w:cs="Consolas" w:eastAsia="Consolas"/>
          <w:color w:val="1F1F1F"/>
          <w:sz w:val="15"/>
          <w:noProof/>
          <w:lang w:val="es-ES"/>
        </w:rPr>
        <w:t xml:space="preserve">"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$nnUNet_raw</w:t>
      </w:r>
      <w:r>
        <w:rPr>
          <w:rStyle w:val="StringTok"/>
          <w:rFonts w:ascii="Consolas" w:hAnsi="Consolas" w:cs="Consolas" w:eastAsia="Consolas"/>
          <w:color w:val="1F1F1F"/>
          <w:sz w:val="15"/>
          <w:noProof/>
          <w:lang w:val="es-ES"/>
        </w:rPr>
        <w:t xml:space="preserve">"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--dataset-id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725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--dataset-name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BraTSGLI2024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.venv/bin/nnUNetv2_plan_and_preprocess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-d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725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--verify_dataset_integrity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.venv/bin/nnUNetv2_train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725 3d_fullres 0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-tr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nnUNetTrainer_250epochs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.venv/bin/nnUNetv2_predict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-i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StringTok"/>
          <w:rFonts w:ascii="Consolas" w:hAnsi="Consolas" w:cs="Consolas" w:eastAsia="Consolas"/>
          <w:color w:val="1F1F1F"/>
          <w:sz w:val="15"/>
          <w:noProof/>
          <w:lang w:val="es-ES"/>
        </w:rPr>
        <w:t xml:space="preserve">"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$nnUNet_raw</w:t>
      </w:r>
      <w:r>
        <w:rPr>
          <w:rStyle w:val="StringTok"/>
          <w:rFonts w:ascii="Consolas" w:hAnsi="Consolas" w:cs="Consolas" w:eastAsia="Consolas"/>
          <w:color w:val="1F1F1F"/>
          <w:sz w:val="15"/>
          <w:noProof/>
          <w:lang w:val="es-ES"/>
        </w:rPr>
        <w:t xml:space="preserve">/Dataset725_BraTSGLI2024/imagesTs"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-o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/content/nnunet_pred_test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-d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725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-c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3d_fullres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-f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0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-tr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nnUNetTrainer_250epochs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-chk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checkpoint_best.pth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tfm_brats.cli evaluate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--dataset-config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configs/dataset/brats_gli_2024.yaml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--split-csv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outputs/splits/brats_gli_2024_seed20260526/test.csv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--predictions-dir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/content/nnunet_pred_test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--output-csv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outputs/evaluation/nnunet_3dfullres_test_metrics.csv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--output-json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outputs/evaluation/nnunet_3dfullres_test_metrics_summary.json</w:t>
      </w:r>
    </w:p>
    <w:p>
      <w:pPr>
        <w:rPr>
          <w:lang w:val="es-ES"/>
        </w:rPr>
      </w:pPr>
      <w:r>
        <w:rPr>
          <w:lang w:val="es-ES"/>
        </w:rPr>
        <w:t xml:space="preserve">La guía operativa completa, incluida la comprobación preliminar sobre validación, se conserva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docs/nnunet-baseline.md</w:t>
      </w:r>
      <w:r>
        <w:rPr>
          <w:lang w:val="es-ES"/>
        </w:rPr>
        <w:t xml:space="preserve">. La referencia reportada en la memoria corresponde únicamente al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</w:t>
      </w:r>
      <w:r>
        <w:rPr>
          <w:lang w:val="es-ES"/>
        </w:rPr>
        <w:t xml:space="preserve"> </w:t>
      </w:r>
      <w:r>
        <w:rPr>
          <w:lang w:val="es-ES"/>
        </w:rPr>
        <w:t xml:space="preserve">0</w:t>
      </w:r>
      <w:r>
        <w:rPr>
          <w:lang w:val="es-ES"/>
        </w:rPr>
        <w:t xml:space="preserve"> </w:t>
      </w:r>
      <w:r>
        <w:rPr>
          <w:lang w:val="es-ES"/>
        </w:rPr>
        <w:t xml:space="preserve">y no proporciona variabilidad entre repeticiones. Los comandos anteriores llegan hasta la evaluación</w:t>
      </w:r>
      <w:r>
        <w:rPr>
          <w:lang w:val="es-ES"/>
        </w:rPr>
        <w:t xml:space="preserve"> </w:t>
      </w:r>
      <w:r>
        <w:rPr>
          <w:lang w:val="es-ES"/>
        </w:rPr>
        <w:t xml:space="preserve">común sobre los 243 estudios de test de la que procede el Dice medio 0,829.</w:t>
      </w:r>
    </w:p>
    <w:bookmarkEnd w:id="71"/>
    <w:bookmarkStart w:id="73" w:name="a.6.-verificación-y-figuras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A.6. Verificación y figuras</w:t>
      </w:r>
    </w:p>
    <w:p>
      <w:pPr>
        <w:rPr>
          <w:lang w:val="es-ES"/>
        </w:rPr>
      </w:pPr>
      <w:r>
        <w:rPr>
          <w:lang w:val="es-ES"/>
        </w:rPr>
        <w:t xml:space="preserve">Las comprobaciones locales del código y la regeneración de las figuras se realizan mediante:</w:t>
      </w:r>
    </w:p>
    <w:p>
      <w:pPr>
        <w:pStyle w:val="TFMCode"/>
        <w:keepLines w:val="0"/>
        <w:widowControl w:val="0"/>
        <w:shd w:val="clear" w:fill="F2F2F2"/>
        <w:pBdr>
          <w:left w:val="single" w:sz="12" w:space="8" w:color="ED7D31"/>
        </w:pBdr>
        <w:rPr>
          <w:lang w:val="es-ES"/>
        </w:rPr>
      </w:pP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compileall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-q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tfm_brats scripts tests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unittest discover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-s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tests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-v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scripts/draw_diagrams.py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scripts/make_figures.py</w:t>
      </w:r>
    </w:p>
    <w:p>
      <w:pPr>
        <w:rPr>
          <w:lang w:val="es-ES"/>
        </w:rPr>
      </w:pPr>
      <w:r>
        <w:rPr>
          <w:rStyle w:val="VerbatimChar"/>
          <w:lang w:val="es-ES"/>
        </w:rPr>
        <w:t xml:space="preserve">scripts/make_figures.py</w:t>
      </w:r>
      <w:r>
        <w:rPr>
          <w:lang w:val="es-ES"/>
        </w:rPr>
        <w:t xml:space="preserve"> </w:t>
      </w:r>
      <w:r>
        <w:rPr>
          <w:lang w:val="es-ES"/>
        </w:rPr>
        <w:t xml:space="preserve">requiere que las predicciones NIfTI utilizadas por las comparaciones</w:t>
      </w:r>
      <w:r>
        <w:rPr>
          <w:lang w:val="es-ES"/>
        </w:rPr>
        <w:t xml:space="preserve"> </w:t>
      </w:r>
      <w:r>
        <w:rPr>
          <w:lang w:val="es-ES"/>
        </w:rPr>
        <w:t xml:space="preserve">cualitativas estén disponibles en las rutas esperadas bajo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outputs/predictions/</w:t>
      </w:r>
      <w:r>
        <w:rPr>
          <w:lang w:val="es-ES"/>
        </w:rPr>
        <w:t xml:space="preserve">.</w:t>
      </w:r>
    </w:p>
    <w:bookmarkEnd w:id="72"/>
    <w:bookmarkStart w:id="74" w:name="a.7.-artefactos-y-política-de-versionado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A.7. Artefactos y política de versionado</w:t>
      </w:r>
    </w:p>
    <w:p>
      <w:pPr>
        <w:rPr>
          <w:lang w:val="es-ES"/>
        </w:rPr>
      </w:pPr>
      <w:r>
        <w:rPr>
          <w:lang w:val="es-ES"/>
        </w:rPr>
        <w:t xml:space="preserve">La Tabla A.1 diferencia los artefactos necesarios para auditar el trabajo de aquellos que no pueden</w:t>
      </w:r>
      <w:r>
        <w:rPr>
          <w:lang w:val="es-ES"/>
        </w:rPr>
        <w:t xml:space="preserve"> </w:t>
      </w:r>
      <w:r>
        <w:rPr>
          <w:lang w:val="es-ES"/>
        </w:rPr>
        <w:t xml:space="preserve">distribuirse en el repositorio por tamaño o por las condiciones de acceso a los datos.</w:t>
      </w:r>
    </w:p>
    <w:tbl>
      <w:tblPr>
        <w:tblStyle w:val="TableGrid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Tipo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Contenido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Política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Código y pruebas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tfm_brats/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scripts/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tests/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Versionado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Configuraciones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configs/dataset/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configs/model/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configs/training/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configs/nnunet/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Versionado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Trazabilidad de datos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Resúmenes de QC y particiones bajo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outputs/qc/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y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outputs/splits/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Versionado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Resultados ligeros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CSV y JSON de métricas bajo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outputs/evaluation/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Versionado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Memoria y figuras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docs/memoria/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y scripts generadores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Versionado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Datos médicos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Volúmenes NIfTI originales y derivados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No versionado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Salidas pesadas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Predicciones NIfTI,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checkpoints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, directorios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outputs/train/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y artefactos internos de nnU-Net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No versionado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Registros externos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Artefactos completos de las corridas A100 y nnU-Net conservados fuera del repositorio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No versionado; su ubicación depende del entorno del autor</w:t>
            </w:r>
          </w:p>
        </w:tc>
      </w:tr>
    </w:tbl>
    <w:p>
      <w:pPr>
        <w:pStyle w:val="Captio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b/>
          <w:lang w:val="es-ES"/>
        </w:rPr>
        <w:t>A.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\r 1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1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Artefactos del proyecto y política de versionado.</w:t>
      </w:r>
    </w:p>
    <w:p>
      <w:pPr>
        <w:rPr>
          <w:lang w:val="es-ES"/>
        </w:rPr>
      </w:pPr>
      <w:r>
        <w:rPr>
          <w:lang w:val="es-ES"/>
        </w:rPr>
        <w:t xml:space="preserve">La tabla muestra que el repositorio conserva el código, las configuraciones y las métricas ligeras,</w:t>
      </w:r>
      <w:r>
        <w:rPr>
          <w:lang w:val="es-ES"/>
        </w:rPr>
        <w:t xml:space="preserve"> </w:t>
      </w:r>
      <w:r>
        <w:rPr>
          <w:lang w:val="es-ES"/>
        </w:rPr>
        <w:t xml:space="preserve">pero no constituye por sí solo un paquete autocontenido de reproducción: los datos protegidos y las</w:t>
      </w:r>
      <w:r>
        <w:rPr>
          <w:lang w:val="es-ES"/>
        </w:rPr>
        <w:t xml:space="preserve"> </w:t>
      </w:r>
      <w:r>
        <w:rPr>
          <w:lang w:val="es-ES"/>
        </w:rPr>
        <w:t xml:space="preserve">salidas pesadas deben obtenerse o conservarse por separado.</w:t>
      </w:r>
    </w:p>
    <w:p>
      <w:pPr>
        <w:rPr>
          <w:lang w:val="es-ES"/>
        </w:rPr>
      </w:pPr>
      <w:r>
        <w:rPr>
          <w:lang w:val="es-ES"/>
        </w:rPr>
        <w:t xml:space="preserve">El fichero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.gitignore</w:t>
      </w:r>
      <w:r>
        <w:rPr>
          <w:lang w:val="es-ES"/>
        </w:rPr>
        <w:t xml:space="preserve"> </w:t>
      </w:r>
      <w:r>
        <w:rPr>
          <w:lang w:val="es-ES"/>
        </w:rPr>
        <w:t xml:space="preserve">excluye explícitamente los NIfTI,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checkpoints</w:t>
      </w:r>
      <w:r>
        <w:rPr>
          <w:lang w:val="es-ES"/>
        </w:rPr>
        <w:t xml:space="preserve">, predicciones, entornos</w:t>
      </w:r>
      <w:r>
        <w:rPr>
          <w:lang w:val="es-ES"/>
        </w:rPr>
        <w:t xml:space="preserve"> </w:t>
      </w:r>
      <w:r>
        <w:rPr>
          <w:lang w:val="es-ES"/>
        </w:rPr>
        <w:t xml:space="preserve">virtuales y directorios generados por nnU-Net.</w:t>
      </w:r>
    </w:p>
    <w:bookmarkEnd w:id="73"/>
    <w:bookmarkStart w:id="75" w:name="X2241c11ddde5cea59d39f4f693df400c6f60f6b"/>
    <w:p>
      <w:pPr>
        <w:keepNext/>
        <w:keepLines/>
        <w:numPr>
          <w:numId w:val="0"/>
        </w:numPr>
        <w:pStyle w:val="Heading2"/>
        <w:rPr>
          <w:lang w:val="es-ES"/>
        </w:rPr>
      </w:pPr>
      <w:r>
        <w:rPr>
          <w:lang w:val="es-ES"/>
        </w:rPr>
        <w:t xml:space="preserve">A.8. Condiciones de acceso a los datos y límites de reproducción</w:t>
      </w:r>
    </w:p>
    <w:p>
      <w:pPr>
        <w:rPr>
          <w:lang w:val="es-ES"/>
        </w:rPr>
      </w:pPr>
      <w:r>
        <w:rPr>
          <w:lang w:val="es-ES"/>
        </w:rPr>
        <w:t xml:space="preserve">BraTS-GLI 2024 se obtuvo a través del</w:t>
      </w:r>
      <w:r>
        <w:rPr>
          <w:lang w:val="es-ES"/>
        </w:rPr>
        <w:t xml:space="preserve"> </w:t>
      </w:r>
      <w:hyperlink r:id="rId59">
        <w:r>
          <w:rPr>
            <w:rStyle w:val="Hyperlink"/>
          </w:rPr>
          <w:t xml:space="preserve">proyecto oficial del reto 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Synapse</w:t>
        </w:r>
      </w:hyperlink>
      <w:r>
        <w:rPr>
          <w:lang w:val="es-ES"/>
        </w:rPr>
        <w:t xml:space="preserve"> </w:t>
      </w:r>
      <w:r>
        <w:rPr>
          <w:lang w:val="es-ES"/>
        </w:rPr>
        <w:t xml:space="preserve">y está sujeto a sus condiciones de acceso y uso.</w:t>
      </w:r>
      <w:r>
        <w:rPr>
          <w:lang w:val="es-ES"/>
        </w:rPr>
        <w:t xml:space="preserve"> </w:t>
      </w:r>
      <w:r>
        <w:rPr>
          <w:lang w:val="es-ES"/>
        </w:rPr>
        <w:t xml:space="preserve">El repositorio no redistribuye las imágenes, máscaras ni derivados que permitan reconstruir los</w:t>
      </w:r>
      <w:r>
        <w:rPr>
          <w:lang w:val="es-ES"/>
        </w:rPr>
        <w:t xml:space="preserve"> </w:t>
      </w:r>
      <w:r>
        <w:rPr>
          <w:lang w:val="es-ES"/>
        </w:rPr>
        <w:t xml:space="preserve">datos originales. Cada persona que reproduzca los experimentos debe solicitar su propio acceso,</w:t>
      </w:r>
      <w:r>
        <w:rPr>
          <w:lang w:val="es-ES"/>
        </w:rPr>
        <w:t xml:space="preserve"> </w:t>
      </w:r>
      <w:r>
        <w:rPr>
          <w:lang w:val="es-ES"/>
        </w:rPr>
        <w:t xml:space="preserve">aceptar las condiciones vigentes en la plataforma y respetar los requisitos de uso y citación del</w:t>
      </w:r>
      <w:r>
        <w:rPr>
          <w:lang w:val="es-ES"/>
        </w:rPr>
        <w:t xml:space="preserve"> </w:t>
      </w:r>
      <w:r>
        <w:rPr>
          <w:lang w:val="es-ES"/>
        </w:rPr>
        <w:t xml:space="preserve">conjunto; no debe inferirse una licencia general de los datos a partir de las licencias del software.</w:t>
      </w:r>
    </w:p>
    <w:p>
      <w:pPr>
        <w:rPr>
          <w:lang w:val="es-ES"/>
        </w:rPr>
      </w:pPr>
      <w:r>
        <w:rPr>
          <w:lang w:val="es-ES"/>
        </w:rPr>
        <w:t xml:space="preserve">En el momento de redactar este apéndice el repositorio no contiene un fichero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LICENSE</w:t>
      </w:r>
      <w:r>
        <w:rPr>
          <w:lang w:val="es-ES"/>
        </w:rPr>
        <w:t xml:space="preserve"> </w:t>
      </w:r>
      <w:r>
        <w:rPr>
          <w:lang w:val="es-ES"/>
        </w:rPr>
        <w:t xml:space="preserve">para el</w:t>
      </w:r>
      <w:r>
        <w:rPr>
          <w:lang w:val="es-ES"/>
        </w:rPr>
        <w:t xml:space="preserve"> </w:t>
      </w:r>
      <w:r>
        <w:rPr>
          <w:lang w:val="es-ES"/>
        </w:rPr>
        <w:t xml:space="preserve">código. Antes de hacerlo público debe definirse explícitamente la licencia del software; la licencia</w:t>
      </w:r>
      <w:r>
        <w:rPr>
          <w:lang w:val="es-ES"/>
        </w:rPr>
        <w:t xml:space="preserve"> </w:t>
      </w:r>
      <w:r>
        <w:rPr>
          <w:lang w:val="es-ES"/>
        </w:rPr>
        <w:t xml:space="preserve">del código no modifica ni sustituye la licencia de los datos.</w:t>
      </w:r>
    </w:p>
    <w:p>
      <w:pPr>
        <w:rPr>
          <w:lang w:val="es-ES"/>
        </w:rPr>
      </w:pPr>
      <w:r>
        <w:rPr>
          <w:lang w:val="es-ES"/>
        </w:rPr>
        <w:t xml:space="preserve">La reproducción exacta también está limitada por el coste de entrenar modelos 3D, la posible</w:t>
      </w:r>
      <w:r>
        <w:rPr>
          <w:lang w:val="es-ES"/>
        </w:rPr>
        <w:t xml:space="preserve"> </w:t>
      </w:r>
      <w:r>
        <w:rPr>
          <w:lang w:val="es-ES"/>
        </w:rPr>
        <w:t xml:space="preserve">variabilidad no determinista de algunas operaciones CUDA/MPS, la ausencia de los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checkpoints</w:t>
      </w:r>
      <w:r>
        <w:rPr>
          <w:lang w:val="es-ES"/>
        </w:rPr>
        <w:t xml:space="preserve"> </w:t>
      </w:r>
      <w:r>
        <w:rPr>
          <w:lang w:val="es-ES"/>
        </w:rPr>
        <w:t xml:space="preserve">pesados en Git y la instrumentación incompleta y heterogénea de tiempo y memoria entre entornos.</w:t>
      </w:r>
    </w:p>
    <w:bookmarkEnd w:id="74"/>
    <w:bookmarkEnd w:id="75"/>
    <w:sectPr w:rsidR="0072474B" w:rsidRPr="0072474B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2492" w:right="1701" w:bottom="1244" w:left="1701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CB4BB" w14:textId="77777777" w:rsidR="001B6DFC" w:rsidRDefault="001B6DFC">
      <w:pPr>
        <w:spacing w:after="0" w:line="240" w:lineRule="auto"/>
      </w:pPr>
      <w:r>
        <w:separator/>
      </w:r>
    </w:p>
  </w:endnote>
  <w:endnote w:type="continuationSeparator" w:id="0">
    <w:p w14:paraId="4431784C" w14:textId="77777777" w:rsidR="001B6DFC" w:rsidRDefault="001B6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460AB" w14:textId="2E727461" w:rsidR="00906358" w:rsidRDefault="00000000">
    <w:pPr>
      <w:pStyle w:val="Footer"/>
    </w:pPr>
    <w:r>
      <w:rPr>
        <w:noProof/>
      </w:rPr>
      <w:pict w14:anchorId="619BBB6F">
        <v:rect id="Cuadro de texto 6_2" o:spid="_x0000_s1026" style="position:absolute;left:0;text-align:left;margin-left:469.05pt;margin-top:23.05pt;width:54.3pt;height:23.25pt;z-index:-5033164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" filled="f" stroked="f" strokeweight=".18mm">
          <v:textbox>
            <w:txbxContent>
              <w:sdt>
                <w:sdtPr>
                  <w:id w:val="1323943781"/>
                  <w:docPartObj>
                    <w:docPartGallery w:val="Page Numbers (Bottom of Page)"/>
                    <w:docPartUnique/>
                  </w:docPartObj>
                </w:sdtPr>
                <w:sdtContent>
                  <w:p w14:paraId="6963DEDD" w14:textId="77777777" w:rsidR="00906358" w:rsidRDefault="00A973DB">
                    <w:pPr>
                      <w:pStyle w:val="Contenidodelmarco"/>
                      <w:spacing w:after="0"/>
                      <w:contextualSpacing/>
                      <w:rPr>
                        <w:color w:val="333333"/>
                        <w:highlight w:val="white"/>
                      </w:rPr>
                    </w:pPr>
                    <w:r>
                      <w:rPr>
                        <w:color w:val="333333"/>
                        <w:sz w:val="18"/>
                        <w:highlight w:val="white"/>
                      </w:rPr>
                      <w:fldChar w:fldCharType="begin"/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instrText>PAGE</w:instrText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fldChar w:fldCharType="separate"/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t>14</w:t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fldChar w:fldCharType="end"/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t xml:space="preserve"> de </w:t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fldChar w:fldCharType="begin"/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instrText>NUMPAGES</w:instrText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fldChar w:fldCharType="separate"/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t>14</w:t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fldChar w:fldCharType="end"/>
                    </w:r>
                  </w:p>
                </w:sdtContent>
              </w:sdt>
            </w:txbxContent>
          </v:textbox>
          <w10:wrap anchorx="pag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F16C6" w14:textId="7C0F5534" w:rsidR="00906358" w:rsidRDefault="00000000">
    <w:pPr>
      <w:pStyle w:val="Footer"/>
    </w:pPr>
    <w:r>
      <w:rPr>
        <w:noProof/>
      </w:rPr>
      <w:pict w14:anchorId="2F9B8378">
        <v:rect id="Cuadro de texto 6_0" o:spid="_x0000_s1025" style="position:absolute;left:0;text-align:left;margin-left:469.05pt;margin-top:23.05pt;width:54.3pt;height:23.25pt;z-index:-50331646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" filled="f" stroked="f" strokeweight=".18mm">
          <v:textbox>
            <w:txbxContent>
              <w:sdt>
                <w:sdtPr>
                  <w:id w:val="467964983"/>
                  <w:docPartObj>
                    <w:docPartGallery w:val="Page Numbers (Bottom of Page)"/>
                    <w:docPartUnique/>
                  </w:docPartObj>
                </w:sdtPr>
                <w:sdtContent>
                  <w:p w14:paraId="6D5C3B55" w14:textId="77777777" w:rsidR="00906358" w:rsidRDefault="00A973DB">
                    <w:pPr>
                      <w:pStyle w:val="Contenidodelmarco"/>
                      <w:spacing w:after="0"/>
                      <w:contextualSpacing/>
                      <w:rPr>
                        <w:color w:val="333333"/>
                        <w:highlight w:val="white"/>
                      </w:rPr>
                    </w:pPr>
                    <w:r>
                      <w:rPr>
                        <w:color w:val="333333"/>
                        <w:sz w:val="18"/>
                        <w:highlight w:val="white"/>
                      </w:rPr>
                      <w:fldChar w:fldCharType="begin"/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instrText>PAGE</w:instrText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fldChar w:fldCharType="separate"/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t>13</w:t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fldChar w:fldCharType="end"/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t xml:space="preserve"> de </w:t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fldChar w:fldCharType="begin"/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instrText>NUMPAGES</w:instrText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fldChar w:fldCharType="separate"/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t>14</w:t>
                    </w:r>
                    <w:r>
                      <w:rPr>
                        <w:color w:val="333333"/>
                        <w:sz w:val="18"/>
                        <w:highlight w:val="white"/>
                      </w:rPr>
                      <w:fldChar w:fldCharType="end"/>
                    </w:r>
                  </w:p>
                </w:sdtContent>
              </w:sdt>
            </w:txbxContent>
          </v:textbox>
          <w10:wrap anchorx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CF549" w14:textId="77777777" w:rsidR="001B6DFC" w:rsidRDefault="001B6DFC">
      <w:pPr>
        <w:spacing w:after="0" w:line="240" w:lineRule="auto"/>
      </w:pPr>
      <w:r>
        <w:separator/>
      </w:r>
    </w:p>
  </w:footnote>
  <w:footnote w:type="continuationSeparator" w:id="0">
    <w:p w14:paraId="5001C2B4" w14:textId="77777777" w:rsidR="001B6DFC" w:rsidRDefault="001B6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9DFCF" w14:textId="77777777" w:rsidR="00906358" w:rsidRDefault="00A973DB">
    <w:pPr>
      <w:pStyle w:val="Cabeceraizquierda"/>
    </w:pPr>
    <w:r>
      <w:rPr>
        <w:noProof/>
      </w:rPr>
      <w:drawing>
        <wp:anchor distT="0" distB="0" distL="0" distR="0" simplePos="0" relativeHeight="29" behindDoc="1" locked="0" layoutInCell="1" allowOverlap="1" wp14:anchorId="56432DAE" wp14:editId="6A3C5F00">
          <wp:simplePos x="0" y="0"/>
          <wp:positionH relativeFrom="column">
            <wp:posOffset>-720090</wp:posOffset>
          </wp:positionH>
          <wp:positionV relativeFrom="paragraph">
            <wp:posOffset>-71120</wp:posOffset>
          </wp:positionV>
          <wp:extent cx="1644650" cy="822325"/>
          <wp:effectExtent l="0" t="0" r="0" b="0"/>
          <wp:wrapNone/>
          <wp:docPr id="7" name="Imagen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4650" cy="822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A4D30" w14:textId="77777777" w:rsidR="00906358" w:rsidRDefault="00A973DB">
    <w:pPr>
      <w:pStyle w:val="Header"/>
    </w:pPr>
    <w:r>
      <w:rPr>
        <w:noProof/>
      </w:rPr>
      <w:drawing>
        <wp:anchor distT="0" distB="0" distL="0" distR="0" simplePos="0" relativeHeight="7" behindDoc="1" locked="0" layoutInCell="1" allowOverlap="1" wp14:anchorId="29156755" wp14:editId="3529E3AC">
          <wp:simplePos x="0" y="0"/>
          <wp:positionH relativeFrom="column">
            <wp:posOffset>-713105</wp:posOffset>
          </wp:positionH>
          <wp:positionV relativeFrom="paragraph">
            <wp:posOffset>-71120</wp:posOffset>
          </wp:positionV>
          <wp:extent cx="1644650" cy="822325"/>
          <wp:effectExtent l="0" t="0" r="0" b="0"/>
          <wp:wrapNone/>
          <wp:docPr id="6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4650" cy="822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46C63"/>
    <w:multiLevelType w:val="multilevel"/>
    <w:tmpl w:val="B914A634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01455FF"/>
    <w:multiLevelType w:val="multilevel"/>
    <w:tmpl w:val="080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579252F5"/>
    <w:multiLevelType w:val="multilevel"/>
    <w:tmpl w:val="8564E4D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72416FAA"/>
    <w:multiLevelType w:val="multilevel"/>
    <w:tmpl w:val="49B4E6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04C8C7E8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03621A2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52740668">
    <w:abstractNumId w:val="0"/>
  </w:num>
  <w:num w:numId="2" w16cid:durableId="1035808087">
    <w:abstractNumId w:val="1"/>
  </w:num>
  <w:num w:numId="3" w16cid:durableId="789203065">
    <w:abstractNumId w:val="3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5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4" w16cid:durableId="619260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6358"/>
    <w:rsid w:val="0009523F"/>
    <w:rsid w:val="001B6DFC"/>
    <w:rsid w:val="001E36DB"/>
    <w:rsid w:val="002B1AA1"/>
    <w:rsid w:val="00302440"/>
    <w:rsid w:val="003424CA"/>
    <w:rsid w:val="0072179D"/>
    <w:rsid w:val="0072474B"/>
    <w:rsid w:val="00906358"/>
    <w:rsid w:val="00906997"/>
    <w:rsid w:val="009804A5"/>
    <w:rsid w:val="00A54EBE"/>
    <w:rsid w:val="00A973DB"/>
    <w:rsid w:val="00B062A6"/>
    <w:rsid w:val="00B32233"/>
    <w:rsid w:val="00BF40E1"/>
    <w:rsid w:val="00C35A4D"/>
    <w:rsid w:val="00C95FBD"/>
    <w:rsid w:val="00CF08CB"/>
    <w:rsid w:val="00EA137B"/>
    <w:rsid w:val="00ED5BE2"/>
    <w:rsid w:val="00F2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E6E81"/>
  <w15:docId w15:val="{71FE55FD-8EC8-4732-B9DE-EBD06FBC8CC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12"/>
    <w:pPr>
      <w:spacing w:after="200" w:line="276" w:lineRule="auto"/>
      <w:jc w:val="both"/>
    </w:pPr>
    <w:rPr>
      <w:rFonts w:ascii="Arial" w:hAnsi="Arial" w:cs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05D"/>
    <w:pPr>
      <w:keepNext/>
      <w:keepLines/>
      <w:spacing w:before="240" w:after="240"/>
      <w:outlineLvl w:val="0"/>
    </w:pPr>
    <w:rPr>
      <w:rFonts w:eastAsiaTheme="majorEastAsia" w:ascii="Arial" w:hAnsi="Arial"/>
      <w:b/>
      <w:color w:val="000000"/>
      <w:sz w:val="44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34DDE"/>
    <w:pPr>
      <w:outlineLvl w:val="1"/>
    </w:pPr>
    <w:rPr>
      <w:rFonts w:ascii="Arial" w:hAnsi="Arial"/>
      <w:b/>
      <w:color w:val="000000"/>
      <w:sz w:val="32"/>
      <w:szCs w:val="32"/>
      <w:lang w:eastAsia="es-ES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C0251"/>
    <w:pPr>
      <w:spacing w:before="200" w:after="100"/>
      <w:outlineLvl w:val="2"/>
    </w:pPr>
    <w:rPr>
      <w:rFonts w:ascii="Arial" w:hAnsi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E56A0"/>
  </w:style>
  <w:style w:type="character" w:customStyle="1" w:styleId="FooterChar">
    <w:name w:val="Footer Char"/>
    <w:basedOn w:val="DefaultParagraphFont"/>
    <w:link w:val="Footer"/>
    <w:uiPriority w:val="99"/>
    <w:qFormat/>
    <w:rsid w:val="005E56A0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E56A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3D305D"/>
    <w:rPr>
      <w:rFonts w:ascii="Arial" w:eastAsiaTheme="majorEastAsia" w:hAnsi="Arial" w:cs="Arial"/>
      <w:color w:val="000000" w:themeColor="text1"/>
      <w:sz w:val="44"/>
      <w:szCs w:val="36"/>
    </w:rPr>
  </w:style>
  <w:style w:type="character" w:customStyle="1" w:styleId="TitleChar">
    <w:name w:val="Title Char"/>
    <w:basedOn w:val="DefaultParagraphFont"/>
    <w:link w:val="Title"/>
    <w:uiPriority w:val="10"/>
    <w:qFormat/>
    <w:rsid w:val="0066332F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34DDE"/>
    <w:rPr>
      <w:rFonts w:ascii="Arial" w:eastAsiaTheme="majorEastAsia" w:hAnsi="Arial" w:cs="Arial"/>
      <w:color w:val="000000" w:themeColor="text1"/>
      <w:sz w:val="32"/>
      <w:szCs w:val="32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C0251"/>
    <w:rPr>
      <w:rFonts w:ascii="Arial" w:eastAsiaTheme="majorEastAsia" w:hAnsi="Arial" w:cs="Arial"/>
      <w:color w:val="000000" w:themeColor="text1"/>
      <w:sz w:val="32"/>
      <w:szCs w:val="32"/>
      <w:lang w:eastAsia="es-ES"/>
    </w:rPr>
  </w:style>
  <w:style w:type="character" w:customStyle="1" w:styleId="EnlacedeInternet">
    <w:name w:val="Enlace de Internet"/>
    <w:uiPriority w:val="99"/>
    <w:unhideWhenUsed/>
    <w:qFormat/>
    <w:rsid w:val="00AC09EB"/>
    <w:rPr>
      <w:color w:val="000080"/>
      <w:u w:val="single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F438E0"/>
    <w:rPr>
      <w:rFonts w:ascii="Tahoma" w:eastAsiaTheme="minorEastAsia" w:hAnsi="Tahoma" w:cs="Tahoma"/>
      <w:sz w:val="16"/>
      <w:szCs w:val="16"/>
      <w:lang w:eastAsia="es-ES"/>
    </w:rPr>
  </w:style>
  <w:style w:type="character" w:customStyle="1" w:styleId="Enlacedelndice">
    <w:name w:val="Enlace del índice"/>
    <w:qFormat/>
  </w:style>
  <w:style w:type="paragraph" w:styleId="Title">
    <w:name w:val="Title"/>
    <w:basedOn w:val="Normal"/>
    <w:next w:val="BodyText"/>
    <w:link w:val="TitleChar"/>
    <w:uiPriority w:val="10"/>
    <w:qFormat/>
    <w:rsid w:val="006633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rsid w:val="00B82A95"/>
    <w:pPr>
      <w:spacing w:line="240" w:lineRule="auto" w:before="80" w:after="160"/>
      <w:jc w:val="center"/>
    </w:pPr>
    <w:rPr>
      <w:rFonts w:ascii="Arial" w:hAnsi="Arial"/>
      <w:i/>
      <w:iCs/>
      <w:color w:val="000000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E56A0"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E56A0"/>
    <w:pPr>
      <w:tabs>
        <w:tab w:val="center" w:pos="4252"/>
        <w:tab w:val="right" w:pos="8504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E56A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AC09EB"/>
    <w:pPr>
      <w:numPr>
        <w:numId w:val="0"/>
      </w:numPr>
      <w:spacing w:after="0" w:line="259" w:lineRule="auto"/>
      <w:jc w:val="left"/>
    </w:pPr>
    <w:rPr>
      <w:rFonts w:asciiTheme="majorHAnsi" w:hAnsiTheme="majorHAnsi" w:cstheme="majorBidi"/>
      <w:color w:val="365F91" w:themeColor="accent1" w:themeShade="BF"/>
      <w:sz w:val="32"/>
      <w:szCs w:val="32"/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AC09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09E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C09EB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20312E"/>
    <w:pPr>
      <w:ind w:left="720"/>
      <w:contextualSpacing/>
    </w:pPr>
  </w:style>
  <w:style w:type="paragraph" w:styleId="TableofFigures">
    <w:name w:val="table of figures"/>
    <w:basedOn w:val="Normal"/>
    <w:next w:val="Normal"/>
    <w:uiPriority w:val="99"/>
    <w:unhideWhenUsed/>
    <w:qFormat/>
    <w:rsid w:val="002B75E8"/>
    <w:pPr>
      <w:spacing w:after="0"/>
    </w:pPr>
  </w:style>
  <w:style w:type="paragraph" w:styleId="DocumentMap">
    <w:name w:val="Document Map"/>
    <w:basedOn w:val="Normal"/>
    <w:link w:val="DocumentMapChar"/>
    <w:uiPriority w:val="99"/>
    <w:unhideWhenUsed/>
    <w:qFormat/>
    <w:rsid w:val="00F438E0"/>
    <w:pPr>
      <w:spacing w:after="0" w:line="240" w:lineRule="auto"/>
      <w:jc w:val="left"/>
    </w:pPr>
    <w:rPr>
      <w:rFonts w:ascii="Tahoma" w:eastAsiaTheme="minorEastAsia" w:hAnsi="Tahoma" w:cs="Tahoma"/>
      <w:sz w:val="16"/>
      <w:szCs w:val="16"/>
      <w:lang w:eastAsia="es-ES"/>
    </w:rPr>
  </w:style>
  <w:style w:type="paragraph" w:customStyle="1" w:styleId="FrameContents">
    <w:name w:val="Frame Contents"/>
    <w:basedOn w:val="Normal"/>
    <w:qFormat/>
  </w:style>
  <w:style w:type="paragraph" w:customStyle="1" w:styleId="Contenidodelmarco">
    <w:name w:val="Contenido del marco"/>
    <w:basedOn w:val="Normal"/>
    <w:qFormat/>
  </w:style>
  <w:style w:type="paragraph" w:customStyle="1" w:styleId="Cabeceraizquierda">
    <w:name w:val="Cabecera izquierda"/>
    <w:basedOn w:val="Header"/>
    <w:qFormat/>
    <w:pPr>
      <w:suppressLineNumbers/>
    </w:pPr>
  </w:style>
  <w:style w:type="paragraph" w:styleId="IndexHeading">
    <w:name w:val="index heading"/>
    <w:basedOn w:val="Title"/>
    <w:pPr>
      <w:suppressLineNumbers/>
    </w:pPr>
    <w:rPr>
      <w:b/>
      <w:bCs/>
      <w:sz w:val="32"/>
      <w:szCs w:val="32"/>
    </w:rPr>
  </w:style>
  <w:style w:type="paragraph" w:styleId="TOAHeading">
    <w:name w:val="toa heading"/>
    <w:basedOn w:val="IndexHeading"/>
    <w:qFormat/>
  </w:style>
  <w:style w:type="table" w:styleId="TableGrid">
    <w:name w:val="Table Grid"/>
    <w:basedOn w:val="TableNormal"/>
    <w:uiPriority w:val="59"/>
    <w:rsid w:val="00E143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5FBD"/>
    <w:rPr>
      <w:color w:val="0000FF" w:themeColor="hyperlink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NormalTok">
    <w:name w:val="NormalTok"/>
    <w:basedOn w:val="VerbatimChar"/>
    <w:rPr/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ExtensionTok">
    <w:name w:val="ExtensionTok"/>
    <w:basedOn w:val="VerbatimChar"/>
    <w:rPr/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StringTok">
    <w:name w:val="StringTok"/>
    <w:basedOn w:val="VerbatimChar"/>
    <w:rPr>
      <w:color w:val="4070a0"/>
    </w:rPr>
  </w:style>
  <w:style w:type="paragraph" w:customStyle="1" w:styleId="TFMCode">
    <w:name w:val="TFM Code"/>
    <w:basedOn w:val="Normal"/>
    <w:pPr>
      <w:spacing w:before="80" w:after="120" w:line="240" w:lineRule="auto"/>
      <w:ind w:left="142" w:right="85"/>
      <w:jc w:val="left"/>
    </w:pPr>
    <w:rPr>
      <w:rFonts w:ascii="Consolas" w:hAnsi="Consolas"/>
      <w:sz w:val="15"/>
    </w:rPr>
  </w:style>
  <w:style w:type="paragraph" w:customStyle="1" w:styleId="TFMBibliography">
    <w:name w:val="TFM Bibliography"/>
    <w:basedOn w:val="Normal"/>
    <w:pPr>
      <w:spacing w:after="120" w:line="240" w:lineRule="auto"/>
      <w:ind w:left="720" w:hanging="720"/>
    </w:pPr>
    <w:rPr>
      <w:rFonts w:ascii="Arial" w:hAnsi="Arial"/>
      <w:sz w:val="20"/>
    </w:rPr>
  </w:style>
  <w:style w:type="paragraph" w:customStyle="1" w:styleId="TFMHighlight">
    <w:name w:val="TFM Highlight"/>
    <w:basedOn w:val="Normal"/>
    <w:pPr>
      <w:spacing w:before="160" w:after="160" w:line="276" w:lineRule="auto"/>
      <w:ind w:left="397" w:right="397"/>
    </w:pPr>
    <w:rPr>
      <w:rFonts w:ascii="Arial" w:hAnsi="Arial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Relationship Id="rId17" Type="http://schemas.openxmlformats.org/officeDocument/2006/relationships/hyperlink" Target="https://github.com/Project-MONAI/MONAI" TargetMode="External"/><Relationship Id="rId18" Type="http://schemas.openxmlformats.org/officeDocument/2006/relationships/hyperlink" Target="https://github.com/MIC-DKFZ/nnUNet" TargetMode="External"/><Relationship Id="rId19" Type="http://schemas.openxmlformats.org/officeDocument/2006/relationships/hyperlink" Target="https://github.com/Rubics-Xuan/TransBTS" TargetMode="External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hyperlink" Target="https://doi.org/10.1002/mp.16321" TargetMode="External"/><Relationship Id="rId25" Type="http://schemas.openxmlformats.org/officeDocument/2006/relationships/hyperlink" Target="https://doi.org/10.48550/arXiv.2211.02701" TargetMode="External"/><Relationship Id="rId26" Type="http://schemas.openxmlformats.org/officeDocument/2006/relationships/hyperlink" Target="https://doi.org/10.1007/978-3-319-46723-8_49" TargetMode="External"/><Relationship Id="rId27" Type="http://schemas.openxmlformats.org/officeDocument/2006/relationships/hyperlink" Target="https://doi.org/10.48550/arXiv.2405.18368" TargetMode="External"/><Relationship Id="rId28" Type="http://schemas.openxmlformats.org/officeDocument/2006/relationships/hyperlink" Target="https://doi.org/10.2307/1932409" TargetMode="External"/><Relationship Id="rId29" Type="http://schemas.openxmlformats.org/officeDocument/2006/relationships/hyperlink" Target="https://openreview.net/forum?id=YicbFdNTTy" TargetMode="External"/><Relationship Id="rId30" Type="http://schemas.openxmlformats.org/officeDocument/2006/relationships/hyperlink" Target="https://doi.org/10.1001/jamanetworkopen.2022.25608" TargetMode="External"/><Relationship Id="rId31" Type="http://schemas.openxmlformats.org/officeDocument/2006/relationships/hyperlink" Target="https://doi.org/10.1109/WACV51458.2022.00181" TargetMode="External"/><Relationship Id="rId32" Type="http://schemas.openxmlformats.org/officeDocument/2006/relationships/hyperlink" Target="https://doi.org/10.1016/j.media.2016.05.004" TargetMode="External"/><Relationship Id="rId33" Type="http://schemas.openxmlformats.org/officeDocument/2006/relationships/hyperlink" Target="https://doi.org/10.1109/CVPR.2016.90" TargetMode="External"/><Relationship Id="rId34" Type="http://schemas.openxmlformats.org/officeDocument/2006/relationships/hyperlink" Target="https://doi.org/10.1148/ryai.220231" TargetMode="External"/><Relationship Id="rId35" Type="http://schemas.openxmlformats.org/officeDocument/2006/relationships/hyperlink" Target="https://doi.org/10.1109/34.232073" TargetMode="External"/><Relationship Id="rId36" Type="http://schemas.openxmlformats.org/officeDocument/2006/relationships/hyperlink" Target="https://doi.org/10.1038/s41592-020-01008-z" TargetMode="External"/><Relationship Id="rId37" Type="http://schemas.openxmlformats.org/officeDocument/2006/relationships/hyperlink" Target="https://doi.org/10.1016/j.media.2016.10.004" TargetMode="External"/><Relationship Id="rId38" Type="http://schemas.openxmlformats.org/officeDocument/2006/relationships/hyperlink" Target="https://doi.org/10.1038/s41698-024-00575-0" TargetMode="External"/><Relationship Id="rId39" Type="http://schemas.openxmlformats.org/officeDocument/2006/relationships/hyperlink" Target="https://doi.org/10.1093/noajnl/vdac081" TargetMode="External"/><Relationship Id="rId40" Type="http://schemas.openxmlformats.org/officeDocument/2006/relationships/hyperlink" Target="https://doi.org/10.1038/nrneurol.2017.44" TargetMode="External"/><Relationship Id="rId41" Type="http://schemas.openxmlformats.org/officeDocument/2006/relationships/hyperlink" Target="https://doi.org/10.3389/fnins.2022.1000587" TargetMode="External"/><Relationship Id="rId42" Type="http://schemas.openxmlformats.org/officeDocument/2006/relationships/hyperlink" Target="https://doi.org/10.1109/ICCV48922.2021.00986" TargetMode="External"/><Relationship Id="rId43" Type="http://schemas.openxmlformats.org/officeDocument/2006/relationships/hyperlink" Target="https://doi.org/10.1109/CVPR.2015.7298965" TargetMode="External"/><Relationship Id="rId44" Type="http://schemas.openxmlformats.org/officeDocument/2006/relationships/hyperlink" Target="https://proceedings.mlsys.org/paper_files/paper/2020/hash/411e39b117e885341f25efb8912945f7-Abstract.html" TargetMode="External"/><Relationship Id="rId45" Type="http://schemas.openxmlformats.org/officeDocument/2006/relationships/hyperlink" Target="https://doi.org/10.1109/TMI.2014.2377694" TargetMode="External"/><Relationship Id="rId46" Type="http://schemas.openxmlformats.org/officeDocument/2006/relationships/hyperlink" Target="https://doi.org/10.1109/3DV.2016.79" TargetMode="External"/><Relationship Id="rId47" Type="http://schemas.openxmlformats.org/officeDocument/2006/relationships/hyperlink" Target="https://doi.org/10.1007/978-3-030-11726-9_28" TargetMode="External"/><Relationship Id="rId48" Type="http://schemas.openxmlformats.org/officeDocument/2006/relationships/hyperlink" Target="https://doi.org/10.48550/arXiv.1804.03999" TargetMode="External"/><Relationship Id="rId49" Type="http://schemas.openxmlformats.org/officeDocument/2006/relationships/hyperlink" Target="https://www.jmlr.org/papers/v22/20-303.html" TargetMode="External"/><Relationship Id="rId50" Type="http://schemas.openxmlformats.org/officeDocument/2006/relationships/hyperlink" Target="https://doi.org/10.1007/978-3-319-24574-4_28" TargetMode="External"/><Relationship Id="rId51" Type="http://schemas.openxmlformats.org/officeDocument/2006/relationships/hyperlink" Target="https://doi.org/10.1093/braincomms/fcad118" TargetMode="External"/><Relationship Id="rId52" Type="http://schemas.openxmlformats.org/officeDocument/2006/relationships/hyperlink" Target="https://doi.org/10.1109/TMI.2024.3398728" TargetMode="External"/><Relationship Id="rId53" Type="http://schemas.openxmlformats.org/officeDocument/2006/relationships/hyperlink" Target="https://doi.org/10.1186/s12880-015-0068-x" TargetMode="External"/><Relationship Id="rId54" Type="http://schemas.openxmlformats.org/officeDocument/2006/relationships/hyperlink" Target="https://doi.org/10.1109/CVPR52688.2022.02007" TargetMode="External"/><Relationship Id="rId55" Type="http://schemas.openxmlformats.org/officeDocument/2006/relationships/hyperlink" Target="https://papers.nips.cc/paper_files/paper/2017/hash/3f5ee243547dee91fbd053c1c4a845aa-Abstract.html" TargetMode="External"/><Relationship Id="rId56" Type="http://schemas.openxmlformats.org/officeDocument/2006/relationships/hyperlink" Target="https://doi.org/10.1007/978-3-030-87193-2_11" TargetMode="External"/><Relationship Id="rId57" Type="http://schemas.openxmlformats.org/officeDocument/2006/relationships/hyperlink" Target="https://doi.org/10.1016/j.patcog.2021.108417" TargetMode="External"/><Relationship Id="rId58" Type="http://schemas.openxmlformats.org/officeDocument/2006/relationships/hyperlink" Target="https://github.com/jesusferron/tfm-brain-tumor-segmentation" TargetMode="External"/><Relationship Id="rId59" Type="http://schemas.openxmlformats.org/officeDocument/2006/relationships/hyperlink" Target="https://www.synapse.org/Synapse:syn53708249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51251-26D7-4C0E-83A9-5BA2382BF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14</Pages>
  <Words>1554</Words>
  <Characters>8862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Segmentación de tumores cerebrales en resonancia magnética multimodal mediante arquitecturas Transformer-UNet híbridas</dc:title>
  <dc:subject>Trabajo Fin de Máster</dc:subject>
  <dc:creator/>
  <dc:description/>
  <cp:lastModifiedBy/>
  <cp:revision>1</cp:revision>
  <dcterms:created xsi:type="dcterms:W3CDTF">2026-07-21T12:20:29Z</dcterms:created>
  <dcterms:modified xsi:type="dcterms:W3CDTF">2026-07-21T12:20:29Z</dcterms:modified>
  <dc:language>es-ES</dc:language>
  <cp:keywords>segmentación 3D, resonancia magnética, BraTS-GLI 2024, fusión multimodal, deep learning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 Company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