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7339A" w14:textId="29AF2C1A" w:rsidR="00F8307F" w:rsidRPr="00F8307F" w:rsidRDefault="00F8307F" w:rsidP="00D20A5A">
      <w:pPr>
        <w:jc w:val="center"/>
        <w:rPr>
          <w:rFonts w:ascii="Book Antiqua" w:hAnsi="Book Antiqua"/>
          <w:b/>
          <w:bCs/>
          <w:sz w:val="32"/>
          <w:szCs w:val="32"/>
        </w:rPr>
      </w:pPr>
      <w:r w:rsidRPr="00F8307F">
        <w:rPr>
          <w:rFonts w:ascii="Book Antiqua" w:hAnsi="Book Antiqua"/>
          <w:b/>
          <w:bCs/>
          <w:sz w:val="32"/>
          <w:szCs w:val="32"/>
        </w:rPr>
        <w:t xml:space="preserve">Semana </w:t>
      </w:r>
      <w:r w:rsidR="006A7D6F">
        <w:rPr>
          <w:rFonts w:ascii="Book Antiqua" w:hAnsi="Book Antiqua"/>
          <w:b/>
          <w:bCs/>
          <w:sz w:val="32"/>
          <w:szCs w:val="32"/>
        </w:rPr>
        <w:t>5</w:t>
      </w:r>
      <w:r w:rsidRPr="00F8307F">
        <w:rPr>
          <w:rFonts w:ascii="Book Antiqua" w:hAnsi="Book Antiqua"/>
          <w:b/>
          <w:bCs/>
          <w:sz w:val="32"/>
          <w:szCs w:val="32"/>
        </w:rPr>
        <w:t xml:space="preserve">: Lectura sobre </w:t>
      </w:r>
      <w:proofErr w:type="spellStart"/>
      <w:r w:rsidR="006A7D6F">
        <w:rPr>
          <w:rFonts w:ascii="Book Antiqua" w:hAnsi="Book Antiqua"/>
          <w:b/>
          <w:bCs/>
          <w:sz w:val="32"/>
          <w:szCs w:val="32"/>
        </w:rPr>
        <w:t>Sensado</w:t>
      </w:r>
      <w:proofErr w:type="spellEnd"/>
      <w:r w:rsidR="006A7D6F">
        <w:rPr>
          <w:rFonts w:ascii="Book Antiqua" w:hAnsi="Book Antiqua"/>
          <w:b/>
          <w:bCs/>
          <w:sz w:val="32"/>
          <w:szCs w:val="32"/>
        </w:rPr>
        <w:t xml:space="preserve"> Inercial</w:t>
      </w:r>
    </w:p>
    <w:p w14:paraId="5067A8A0" w14:textId="62FF2E18" w:rsidR="006470BC" w:rsidRPr="006A7D6F" w:rsidRDefault="006470BC" w:rsidP="00576F4E">
      <w:pPr>
        <w:jc w:val="both"/>
        <w:rPr>
          <w:rFonts w:ascii="Book Antiqua" w:hAnsi="Book Antiqua"/>
          <w:sz w:val="22"/>
          <w:szCs w:val="22"/>
          <w:highlight w:val="lightGray"/>
        </w:rPr>
      </w:pPr>
      <w:r w:rsidRPr="006A7D6F">
        <w:rPr>
          <w:rFonts w:ascii="Book Antiqua" w:hAnsi="Book Antiqua"/>
          <w:sz w:val="22"/>
          <w:szCs w:val="22"/>
          <w:highlight w:val="lightGray"/>
        </w:rPr>
        <w:t>Este análisis se centra en tres aplicaciones: la gestión de inventarios mediante visión por computadora, la personalización de tratamientos médicos y el monitoreo sanitario sin contacto.  Se analizan sus beneficios, oportunidades y desafíos, destacando la importancia de una implementación responsable para maximizar su potencial.</w:t>
      </w:r>
    </w:p>
    <w:p w14:paraId="14538667" w14:textId="10B37A4D" w:rsidR="00576F4E" w:rsidRPr="006A7D6F" w:rsidRDefault="00576F4E" w:rsidP="00576F4E">
      <w:pPr>
        <w:jc w:val="both"/>
        <w:rPr>
          <w:rFonts w:ascii="Book Antiqua" w:hAnsi="Book Antiqua"/>
          <w:b/>
          <w:bCs/>
          <w:highlight w:val="lightGray"/>
        </w:rPr>
      </w:pPr>
      <w:r w:rsidRPr="006A7D6F">
        <w:rPr>
          <w:rFonts w:ascii="Book Antiqua" w:hAnsi="Book Antiqua"/>
          <w:b/>
          <w:bCs/>
          <w:highlight w:val="lightGray"/>
        </w:rPr>
        <w:t>1. Gestión de Inventarios mediante Visión por Computadora</w:t>
      </w:r>
    </w:p>
    <w:p w14:paraId="02203E44" w14:textId="06D714B9" w:rsidR="00BB048D" w:rsidRPr="006A7D6F" w:rsidRDefault="00BB048D" w:rsidP="00BB048D">
      <w:pPr>
        <w:jc w:val="both"/>
        <w:rPr>
          <w:rFonts w:ascii="Book Antiqua" w:hAnsi="Book Antiqua"/>
          <w:sz w:val="22"/>
          <w:szCs w:val="22"/>
          <w:highlight w:val="lightGray"/>
        </w:rPr>
      </w:pPr>
      <w:r w:rsidRPr="006A7D6F">
        <w:rPr>
          <w:rFonts w:ascii="Book Antiqua" w:hAnsi="Book Antiqua"/>
          <w:sz w:val="22"/>
          <w:szCs w:val="22"/>
          <w:highlight w:val="lightGray"/>
        </w:rPr>
        <w:t>La aplicación de visión por computadora en la gestión de inventarios está ganando relevancia, especialmente en el sector minorista y logístico</w:t>
      </w:r>
      <w:r w:rsidR="00A824EA" w:rsidRPr="006A7D6F">
        <w:rPr>
          <w:rFonts w:ascii="Book Antiqua" w:hAnsi="Book Antiqua"/>
          <w:sz w:val="22"/>
          <w:szCs w:val="22"/>
          <w:highlight w:val="lightGray"/>
        </w:rPr>
        <w:t xml:space="preserve">. </w:t>
      </w:r>
      <w:r w:rsidRPr="006A7D6F">
        <w:rPr>
          <w:rFonts w:ascii="Book Antiqua" w:hAnsi="Book Antiqua"/>
          <w:sz w:val="22"/>
          <w:szCs w:val="22"/>
          <w:highlight w:val="lightGray"/>
        </w:rPr>
        <w:t>La automatización del conteo, identificación y clasificación de productos mediante algoritmos de procesamiento de imágenes reduce errores manuales y optimiza operaciones</w:t>
      </w:r>
      <w:r w:rsidR="00C1055B" w:rsidRPr="006A7D6F">
        <w:rPr>
          <w:rFonts w:ascii="Book Antiqua" w:hAnsi="Book Antiqua"/>
          <w:sz w:val="22"/>
          <w:szCs w:val="22"/>
          <w:highlight w:val="lightGray"/>
        </w:rPr>
        <w:t xml:space="preserve"> </w:t>
      </w:r>
      <w:r w:rsidRPr="006A7D6F">
        <w:rPr>
          <w:rFonts w:ascii="Book Antiqua" w:hAnsi="Book Antiqua"/>
          <w:sz w:val="22"/>
          <w:szCs w:val="22"/>
          <w:highlight w:val="lightGray"/>
        </w:rPr>
        <w:t>(</w:t>
      </w:r>
      <w:proofErr w:type="spellStart"/>
      <w:r w:rsidRPr="006A7D6F">
        <w:rPr>
          <w:rFonts w:ascii="Book Antiqua" w:hAnsi="Book Antiqua"/>
          <w:sz w:val="22"/>
          <w:szCs w:val="22"/>
          <w:highlight w:val="lightGray"/>
        </w:rPr>
        <w:t>Cogent</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Info</w:t>
      </w:r>
      <w:proofErr w:type="spellEnd"/>
      <w:r w:rsidRPr="006A7D6F">
        <w:rPr>
          <w:rFonts w:ascii="Book Antiqua" w:hAnsi="Book Antiqua"/>
          <w:sz w:val="22"/>
          <w:szCs w:val="22"/>
          <w:highlight w:val="lightGray"/>
        </w:rPr>
        <w:t xml:space="preserve">, 2024). Las principales áreas de oportunidad incluyen la integración con análisis predictivo y Big Data para anticipar la demanda y gestionar el stock, así como la incorporación de </w:t>
      </w:r>
      <w:proofErr w:type="spellStart"/>
      <w:r w:rsidRPr="006A7D6F">
        <w:rPr>
          <w:rFonts w:ascii="Book Antiqua" w:hAnsi="Book Antiqua"/>
          <w:sz w:val="22"/>
          <w:szCs w:val="22"/>
          <w:highlight w:val="lightGray"/>
        </w:rPr>
        <w:t>IoT</w:t>
      </w:r>
      <w:proofErr w:type="spellEnd"/>
      <w:r w:rsidRPr="006A7D6F">
        <w:rPr>
          <w:rFonts w:ascii="Book Antiqua" w:hAnsi="Book Antiqua"/>
          <w:sz w:val="22"/>
          <w:szCs w:val="22"/>
          <w:highlight w:val="lightGray"/>
        </w:rPr>
        <w:t xml:space="preserve"> para la supervisión en tiempo real y el desarrollo de modelos de mantenimiento predictivo. La aplicación de algoritmos de transferencia de aprendizaje para diferentes entornos y la convergencia con tecnologías como </w:t>
      </w:r>
      <w:proofErr w:type="spellStart"/>
      <w:r w:rsidRPr="006A7D6F">
        <w:rPr>
          <w:rFonts w:ascii="Book Antiqua" w:hAnsi="Book Antiqua"/>
          <w:sz w:val="22"/>
          <w:szCs w:val="22"/>
          <w:highlight w:val="lightGray"/>
        </w:rPr>
        <w:t>blockchain</w:t>
      </w:r>
      <w:proofErr w:type="spellEnd"/>
      <w:r w:rsidRPr="006A7D6F">
        <w:rPr>
          <w:rFonts w:ascii="Book Antiqua" w:hAnsi="Book Antiqua"/>
          <w:sz w:val="22"/>
          <w:szCs w:val="22"/>
          <w:highlight w:val="lightGray"/>
        </w:rPr>
        <w:t xml:space="preserve"> también son áreas prometedoras, mejorando la escalabilidad, trazabilidad y transparencia.</w:t>
      </w:r>
    </w:p>
    <w:p w14:paraId="2A016995" w14:textId="5BAE1E40" w:rsidR="00BB048D" w:rsidRPr="006A7D6F" w:rsidRDefault="00456339" w:rsidP="00BB048D">
      <w:pPr>
        <w:jc w:val="both"/>
        <w:rPr>
          <w:rFonts w:ascii="Book Antiqua" w:hAnsi="Book Antiqua"/>
          <w:sz w:val="22"/>
          <w:szCs w:val="22"/>
          <w:highlight w:val="lightGray"/>
        </w:rPr>
      </w:pPr>
      <w:r w:rsidRPr="006A7D6F">
        <w:rPr>
          <w:rFonts w:ascii="Book Antiqua" w:hAnsi="Book Antiqua"/>
          <w:sz w:val="22"/>
          <w:szCs w:val="22"/>
          <w:highlight w:val="lightGray"/>
        </w:rPr>
        <w:t>Sin embargo, l</w:t>
      </w:r>
      <w:r w:rsidR="00BB048D" w:rsidRPr="006A7D6F">
        <w:rPr>
          <w:rFonts w:ascii="Book Antiqua" w:hAnsi="Book Antiqua"/>
          <w:sz w:val="22"/>
          <w:szCs w:val="22"/>
          <w:highlight w:val="lightGray"/>
        </w:rPr>
        <w:t xml:space="preserve">os retos asociados incluyen la necesidad de grandes conjuntos de datos para el entrenamiento de modelos y la variabilidad en las condiciones de iluminación y configuración de los almacenes, que pueden afectar la precisión de los sistemas. A pesar de estos retos, la adopción de esta tecnología ofrece beneficios significativos en términos de eficiencia operativa y reducción de costos. La convergencia con otras tecnologías emergentes, como la </w:t>
      </w:r>
      <w:proofErr w:type="spellStart"/>
      <w:r w:rsidR="00BB048D" w:rsidRPr="006A7D6F">
        <w:rPr>
          <w:rFonts w:ascii="Book Antiqua" w:hAnsi="Book Antiqua"/>
          <w:sz w:val="22"/>
          <w:szCs w:val="22"/>
          <w:highlight w:val="lightGray"/>
        </w:rPr>
        <w:t>blockchain</w:t>
      </w:r>
      <w:proofErr w:type="spellEnd"/>
      <w:r w:rsidR="00BB048D" w:rsidRPr="006A7D6F">
        <w:rPr>
          <w:rFonts w:ascii="Book Antiqua" w:hAnsi="Book Antiqua"/>
          <w:sz w:val="22"/>
          <w:szCs w:val="22"/>
          <w:highlight w:val="lightGray"/>
        </w:rPr>
        <w:t>, promete mejorar aún más la transparencia y la confianza en la cadena de suministro.</w:t>
      </w:r>
    </w:p>
    <w:p w14:paraId="2BA9432F" w14:textId="77777777" w:rsidR="00576F4E" w:rsidRPr="006A7D6F" w:rsidRDefault="00576F4E" w:rsidP="00576F4E">
      <w:pPr>
        <w:jc w:val="both"/>
        <w:rPr>
          <w:rFonts w:ascii="Book Antiqua" w:hAnsi="Book Antiqua"/>
          <w:b/>
          <w:bCs/>
          <w:highlight w:val="lightGray"/>
        </w:rPr>
      </w:pPr>
      <w:r w:rsidRPr="006A7D6F">
        <w:rPr>
          <w:rFonts w:ascii="Book Antiqua" w:hAnsi="Book Antiqua"/>
          <w:b/>
          <w:bCs/>
          <w:highlight w:val="lightGray"/>
        </w:rPr>
        <w:t>2. Personalización de Tratamientos Médicos</w:t>
      </w:r>
    </w:p>
    <w:p w14:paraId="05CBDE99" w14:textId="6F5BA923" w:rsidR="00BB048D" w:rsidRPr="006A7D6F" w:rsidRDefault="00BA1091" w:rsidP="00BB048D">
      <w:pPr>
        <w:jc w:val="both"/>
        <w:rPr>
          <w:rFonts w:ascii="Book Antiqua" w:hAnsi="Book Antiqua"/>
          <w:sz w:val="22"/>
          <w:szCs w:val="22"/>
          <w:highlight w:val="lightGray"/>
        </w:rPr>
      </w:pPr>
      <w:r w:rsidRPr="006A7D6F">
        <w:rPr>
          <w:rFonts w:ascii="Book Antiqua" w:hAnsi="Book Antiqua"/>
          <w:sz w:val="22"/>
          <w:szCs w:val="22"/>
          <w:highlight w:val="lightGray"/>
        </w:rPr>
        <w:t>El uso de l</w:t>
      </w:r>
      <w:r w:rsidR="00BB048D" w:rsidRPr="006A7D6F">
        <w:rPr>
          <w:rFonts w:ascii="Book Antiqua" w:hAnsi="Book Antiqua"/>
          <w:sz w:val="22"/>
          <w:szCs w:val="22"/>
          <w:highlight w:val="lightGray"/>
        </w:rPr>
        <w:t xml:space="preserve">a IA está </w:t>
      </w:r>
      <w:r w:rsidRPr="006A7D6F">
        <w:rPr>
          <w:rFonts w:ascii="Book Antiqua" w:hAnsi="Book Antiqua"/>
          <w:sz w:val="22"/>
          <w:szCs w:val="22"/>
          <w:highlight w:val="lightGray"/>
        </w:rPr>
        <w:t xml:space="preserve">transformando </w:t>
      </w:r>
      <w:r w:rsidR="00BB048D" w:rsidRPr="006A7D6F">
        <w:rPr>
          <w:rFonts w:ascii="Book Antiqua" w:hAnsi="Book Antiqua"/>
          <w:sz w:val="22"/>
          <w:szCs w:val="22"/>
          <w:highlight w:val="lightGray"/>
        </w:rPr>
        <w:t>el diseño de tratamientos personalizados en la medicin</w:t>
      </w:r>
      <w:r w:rsidR="002C0093" w:rsidRPr="006A7D6F">
        <w:rPr>
          <w:rFonts w:ascii="Book Antiqua" w:hAnsi="Book Antiqua"/>
          <w:sz w:val="22"/>
          <w:szCs w:val="22"/>
          <w:highlight w:val="lightGray"/>
        </w:rPr>
        <w:t>a</w:t>
      </w:r>
      <w:r w:rsidR="00BB048D" w:rsidRPr="006A7D6F">
        <w:rPr>
          <w:rFonts w:ascii="Book Antiqua" w:hAnsi="Book Antiqua"/>
          <w:sz w:val="22"/>
          <w:szCs w:val="22"/>
          <w:highlight w:val="lightGray"/>
        </w:rPr>
        <w:t xml:space="preserve">, integrando datos de imágenes médicas, secuenciación genómica y registros electrónicos de salud para identificar patrones y adaptar terapias a cada paciente. Esto permite tratamientos más eficaces y con menos efectos secundarios (Johnson et al., 2021). Las áreas de oportunidad incluyen el uso de sistemas de retroalimentación en tiempo real para ajustar las dosis de fármacos, el desarrollo de modelos híbridos que combinan IA con conocimientos clínicos, y la integración de datos de </w:t>
      </w:r>
      <w:proofErr w:type="gramStart"/>
      <w:r w:rsidR="00BB048D" w:rsidRPr="006A7D6F">
        <w:rPr>
          <w:rFonts w:ascii="Book Antiqua" w:hAnsi="Book Antiqua"/>
          <w:sz w:val="22"/>
          <w:szCs w:val="22"/>
          <w:highlight w:val="lightGray"/>
        </w:rPr>
        <w:t>wearables</w:t>
      </w:r>
      <w:proofErr w:type="gramEnd"/>
      <w:r w:rsidR="00BB048D" w:rsidRPr="006A7D6F">
        <w:rPr>
          <w:rFonts w:ascii="Book Antiqua" w:hAnsi="Book Antiqua"/>
          <w:sz w:val="22"/>
          <w:szCs w:val="22"/>
          <w:highlight w:val="lightGray"/>
        </w:rPr>
        <w:t xml:space="preserve"> para el seguimiento </w:t>
      </w:r>
      <w:proofErr w:type="spellStart"/>
      <w:r w:rsidR="00BB048D" w:rsidRPr="006A7D6F">
        <w:rPr>
          <w:rFonts w:ascii="Book Antiqua" w:hAnsi="Book Antiqua"/>
          <w:sz w:val="22"/>
          <w:szCs w:val="22"/>
          <w:highlight w:val="lightGray"/>
        </w:rPr>
        <w:t>post-tratamiento</w:t>
      </w:r>
      <w:proofErr w:type="spellEnd"/>
      <w:r w:rsidR="00BB048D" w:rsidRPr="006A7D6F">
        <w:rPr>
          <w:rFonts w:ascii="Book Antiqua" w:hAnsi="Book Antiqua"/>
          <w:sz w:val="22"/>
          <w:szCs w:val="22"/>
          <w:highlight w:val="lightGray"/>
        </w:rPr>
        <w:t xml:space="preserve">. Además, el aprendizaje federado facilita la colaboración interinstitucional sin comprometer la privacidad del paciente, y los modelos de simulación y gemelos digitales permiten ensayar virtualmente estrategias terapéuticas </w:t>
      </w:r>
      <w:r w:rsidR="007A15AB" w:rsidRPr="006A7D6F">
        <w:rPr>
          <w:rFonts w:ascii="Book Antiqua" w:hAnsi="Book Antiqua"/>
          <w:sz w:val="22"/>
          <w:szCs w:val="22"/>
          <w:highlight w:val="lightGray"/>
        </w:rPr>
        <w:t>(</w:t>
      </w:r>
      <w:proofErr w:type="spellStart"/>
      <w:r w:rsidR="00BB048D" w:rsidRPr="006A7D6F">
        <w:rPr>
          <w:rFonts w:ascii="Book Antiqua" w:hAnsi="Book Antiqua"/>
          <w:sz w:val="22"/>
          <w:szCs w:val="22"/>
          <w:highlight w:val="lightGray"/>
        </w:rPr>
        <w:t>Bihorac</w:t>
      </w:r>
      <w:proofErr w:type="spellEnd"/>
      <w:r w:rsidR="00BB048D" w:rsidRPr="006A7D6F">
        <w:rPr>
          <w:rFonts w:ascii="Book Antiqua" w:hAnsi="Book Antiqua"/>
          <w:sz w:val="22"/>
          <w:szCs w:val="22"/>
          <w:highlight w:val="lightGray"/>
        </w:rPr>
        <w:t xml:space="preserve"> et al., 2020).</w:t>
      </w:r>
    </w:p>
    <w:p w14:paraId="79273945" w14:textId="01D92375" w:rsidR="00BB048D" w:rsidRPr="006A7D6F" w:rsidRDefault="00FE605E" w:rsidP="00BB048D">
      <w:pPr>
        <w:jc w:val="both"/>
        <w:rPr>
          <w:rFonts w:ascii="Book Antiqua" w:hAnsi="Book Antiqua"/>
          <w:sz w:val="22"/>
          <w:szCs w:val="22"/>
          <w:highlight w:val="lightGray"/>
        </w:rPr>
      </w:pPr>
      <w:r w:rsidRPr="006A7D6F">
        <w:rPr>
          <w:rFonts w:ascii="Book Antiqua" w:hAnsi="Book Antiqua"/>
          <w:sz w:val="22"/>
          <w:szCs w:val="22"/>
          <w:highlight w:val="lightGray"/>
        </w:rPr>
        <w:lastRenderedPageBreak/>
        <w:t>L</w:t>
      </w:r>
      <w:r w:rsidR="00BB048D" w:rsidRPr="006A7D6F">
        <w:rPr>
          <w:rFonts w:ascii="Book Antiqua" w:hAnsi="Book Antiqua"/>
          <w:sz w:val="22"/>
          <w:szCs w:val="22"/>
          <w:highlight w:val="lightGray"/>
        </w:rPr>
        <w:t xml:space="preserve">os principales retos </w:t>
      </w:r>
      <w:r w:rsidRPr="006A7D6F">
        <w:rPr>
          <w:rFonts w:ascii="Book Antiqua" w:hAnsi="Book Antiqua"/>
          <w:sz w:val="22"/>
          <w:szCs w:val="22"/>
          <w:highlight w:val="lightGray"/>
        </w:rPr>
        <w:t>son</w:t>
      </w:r>
      <w:r w:rsidR="000F39D7" w:rsidRPr="006A7D6F">
        <w:rPr>
          <w:rFonts w:ascii="Book Antiqua" w:hAnsi="Book Antiqua"/>
          <w:sz w:val="22"/>
          <w:szCs w:val="22"/>
          <w:highlight w:val="lightGray"/>
        </w:rPr>
        <w:t xml:space="preserve"> </w:t>
      </w:r>
      <w:r w:rsidR="00BB048D" w:rsidRPr="006A7D6F">
        <w:rPr>
          <w:rFonts w:ascii="Book Antiqua" w:hAnsi="Book Antiqua"/>
          <w:sz w:val="22"/>
          <w:szCs w:val="22"/>
          <w:highlight w:val="lightGray"/>
        </w:rPr>
        <w:t>la validación clínica de los modelos de IA</w:t>
      </w:r>
      <w:r w:rsidRPr="006A7D6F">
        <w:rPr>
          <w:rFonts w:ascii="Book Antiqua" w:hAnsi="Book Antiqua"/>
          <w:sz w:val="22"/>
          <w:szCs w:val="22"/>
          <w:highlight w:val="lightGray"/>
        </w:rPr>
        <w:t>, desafíos éticos relacionados con la privacidad, el sesgo algorítmico y la equidad en el acceso a estas tecnologías avanzadas</w:t>
      </w:r>
      <w:r w:rsidR="00BB048D" w:rsidRPr="006A7D6F">
        <w:rPr>
          <w:rFonts w:ascii="Book Antiqua" w:hAnsi="Book Antiqua"/>
          <w:sz w:val="22"/>
          <w:szCs w:val="22"/>
          <w:highlight w:val="lightGray"/>
        </w:rPr>
        <w:t xml:space="preserve">. La interpretabilidad y la </w:t>
      </w:r>
      <w:proofErr w:type="spellStart"/>
      <w:r w:rsidR="00BB048D" w:rsidRPr="006A7D6F">
        <w:rPr>
          <w:rFonts w:ascii="Book Antiqua" w:hAnsi="Book Antiqua"/>
          <w:sz w:val="22"/>
          <w:szCs w:val="22"/>
          <w:highlight w:val="lightGray"/>
        </w:rPr>
        <w:t>explicabilidad</w:t>
      </w:r>
      <w:proofErr w:type="spellEnd"/>
      <w:r w:rsidR="00BB048D" w:rsidRPr="006A7D6F">
        <w:rPr>
          <w:rFonts w:ascii="Book Antiqua" w:hAnsi="Book Antiqua"/>
          <w:sz w:val="22"/>
          <w:szCs w:val="22"/>
          <w:highlight w:val="lightGray"/>
        </w:rPr>
        <w:t xml:space="preserve"> de las decisiones algorítmicas son cruciales para la confianza y la </w:t>
      </w:r>
      <w:r w:rsidR="0082662F" w:rsidRPr="006A7D6F">
        <w:rPr>
          <w:rFonts w:ascii="Book Antiqua" w:hAnsi="Book Antiqua"/>
          <w:sz w:val="22"/>
          <w:szCs w:val="22"/>
          <w:highlight w:val="lightGray"/>
        </w:rPr>
        <w:t>implemen</w:t>
      </w:r>
      <w:r w:rsidR="00C26C96" w:rsidRPr="006A7D6F">
        <w:rPr>
          <w:rFonts w:ascii="Book Antiqua" w:hAnsi="Book Antiqua"/>
          <w:sz w:val="22"/>
          <w:szCs w:val="22"/>
          <w:highlight w:val="lightGray"/>
        </w:rPr>
        <w:t xml:space="preserve">tación </w:t>
      </w:r>
      <w:r w:rsidR="00BB048D" w:rsidRPr="006A7D6F">
        <w:rPr>
          <w:rFonts w:ascii="Book Antiqua" w:hAnsi="Book Antiqua"/>
          <w:sz w:val="22"/>
          <w:szCs w:val="22"/>
          <w:highlight w:val="lightGray"/>
        </w:rPr>
        <w:t>parte de los profesionales de la salud. A pesar de estos desafíos, e</w:t>
      </w:r>
      <w:r w:rsidR="00EB7510" w:rsidRPr="006A7D6F">
        <w:rPr>
          <w:rFonts w:ascii="Book Antiqua" w:hAnsi="Book Antiqua"/>
          <w:sz w:val="22"/>
          <w:szCs w:val="22"/>
          <w:highlight w:val="lightGray"/>
        </w:rPr>
        <w:t>l uso de</w:t>
      </w:r>
      <w:r w:rsidR="00BB048D" w:rsidRPr="006A7D6F">
        <w:rPr>
          <w:rFonts w:ascii="Book Antiqua" w:hAnsi="Book Antiqua"/>
          <w:sz w:val="22"/>
          <w:szCs w:val="22"/>
          <w:highlight w:val="lightGray"/>
        </w:rPr>
        <w:t xml:space="preserve"> la IA en la medicina personalizada </w:t>
      </w:r>
      <w:r w:rsidR="00582291" w:rsidRPr="006A7D6F">
        <w:rPr>
          <w:rFonts w:ascii="Book Antiqua" w:hAnsi="Book Antiqua"/>
          <w:sz w:val="22"/>
          <w:szCs w:val="22"/>
          <w:highlight w:val="lightGray"/>
        </w:rPr>
        <w:t>ofrece</w:t>
      </w:r>
      <w:r w:rsidR="00BB048D" w:rsidRPr="006A7D6F">
        <w:rPr>
          <w:rFonts w:ascii="Book Antiqua" w:hAnsi="Book Antiqua"/>
          <w:sz w:val="22"/>
          <w:szCs w:val="22"/>
          <w:highlight w:val="lightGray"/>
        </w:rPr>
        <w:t xml:space="preserve"> una atención médica más precisa, eficaz y centrada en el paciente.</w:t>
      </w:r>
    </w:p>
    <w:p w14:paraId="4A4BD465" w14:textId="77777777" w:rsidR="00576F4E" w:rsidRPr="006A7D6F" w:rsidRDefault="00576F4E" w:rsidP="00576F4E">
      <w:pPr>
        <w:jc w:val="both"/>
        <w:rPr>
          <w:rFonts w:ascii="Book Antiqua" w:hAnsi="Book Antiqua"/>
          <w:b/>
          <w:bCs/>
          <w:highlight w:val="lightGray"/>
        </w:rPr>
      </w:pPr>
      <w:r w:rsidRPr="006A7D6F">
        <w:rPr>
          <w:rFonts w:ascii="Book Antiqua" w:hAnsi="Book Antiqua"/>
          <w:b/>
          <w:bCs/>
          <w:highlight w:val="lightGray"/>
        </w:rPr>
        <w:t>3. Monitoreo Sanitario y Minimización del Contacto Físico</w:t>
      </w:r>
    </w:p>
    <w:p w14:paraId="263B7AFD" w14:textId="730336DF" w:rsidR="005B2DC5" w:rsidRPr="006A7D6F" w:rsidRDefault="005B2DC5" w:rsidP="005B2DC5">
      <w:pPr>
        <w:jc w:val="both"/>
        <w:rPr>
          <w:rFonts w:ascii="Book Antiqua" w:hAnsi="Book Antiqua"/>
          <w:sz w:val="22"/>
          <w:szCs w:val="22"/>
          <w:highlight w:val="lightGray"/>
        </w:rPr>
      </w:pPr>
      <w:r w:rsidRPr="006A7D6F">
        <w:rPr>
          <w:rFonts w:ascii="Book Antiqua" w:hAnsi="Book Antiqua"/>
          <w:color w:val="000000" w:themeColor="text1"/>
          <w:sz w:val="22"/>
          <w:szCs w:val="22"/>
          <w:highlight w:val="lightGray"/>
        </w:rPr>
        <w:t>La telemedicina, impulsada por la IA, ofrece una monitorización remota continua y la detección temprana de problemas de salud, mejorando la accesibilidad y eficiencia de la atención médica, especialmente en áreas rurales o con recursos limitados</w:t>
      </w:r>
      <w:r w:rsidR="00865FB3" w:rsidRPr="006A7D6F">
        <w:rPr>
          <w:rFonts w:ascii="Book Antiqua" w:hAnsi="Book Antiqua"/>
          <w:color w:val="000000" w:themeColor="text1"/>
          <w:sz w:val="22"/>
          <w:szCs w:val="22"/>
          <w:highlight w:val="lightGray"/>
        </w:rPr>
        <w:t>.</w:t>
      </w:r>
      <w:r w:rsidRPr="006A7D6F">
        <w:rPr>
          <w:rFonts w:ascii="Book Antiqua" w:hAnsi="Book Antiqua"/>
          <w:sz w:val="22"/>
          <w:szCs w:val="22"/>
          <w:highlight w:val="lightGray"/>
        </w:rPr>
        <w:t xml:space="preserve"> La combinación de telemedicina con sistemas de monitoreo basados en IA que integran datos de múltiples sensores permite una evaluación holística del paciente en tiempo real. El análisis de datos avanzado detecta patrones en signos vitales y comportamientos, posibilitando sistemas de alerta temprana para anticipar emergencias médicas. La personalización de servicios de telemedicina con IA mejora la experiencia del usuario y la eficacia de las intervenciones, adaptando las estrategias de atención a cada paciente (Nguyen et al., 2021; </w:t>
      </w:r>
      <w:proofErr w:type="spellStart"/>
      <w:r w:rsidRPr="006A7D6F">
        <w:rPr>
          <w:rFonts w:ascii="Book Antiqua" w:hAnsi="Book Antiqua"/>
          <w:sz w:val="22"/>
          <w:szCs w:val="22"/>
          <w:highlight w:val="lightGray"/>
        </w:rPr>
        <w:t>Shah</w:t>
      </w:r>
      <w:proofErr w:type="spellEnd"/>
      <w:r w:rsidRPr="006A7D6F">
        <w:rPr>
          <w:rFonts w:ascii="Book Antiqua" w:hAnsi="Book Antiqua"/>
          <w:sz w:val="22"/>
          <w:szCs w:val="22"/>
          <w:highlight w:val="lightGray"/>
        </w:rPr>
        <w:t xml:space="preserve"> et al., 2022). La integración de análisis de datos biométricos con protocolos de seguridad robustos refuerza la confianza y la privacidad</w:t>
      </w:r>
      <w:r w:rsidR="0004276E" w:rsidRPr="006A7D6F">
        <w:rPr>
          <w:rFonts w:ascii="Book Antiqua" w:hAnsi="Book Antiqua"/>
          <w:sz w:val="22"/>
          <w:szCs w:val="22"/>
          <w:highlight w:val="lightGray"/>
        </w:rPr>
        <w:t>.</w:t>
      </w:r>
    </w:p>
    <w:p w14:paraId="52EA0663" w14:textId="58AF1E3B" w:rsidR="005B2DC5" w:rsidRPr="006A7D6F" w:rsidRDefault="005B2DC5" w:rsidP="005B2DC5">
      <w:pPr>
        <w:jc w:val="both"/>
        <w:rPr>
          <w:rFonts w:ascii="Book Antiqua" w:hAnsi="Book Antiqua"/>
          <w:sz w:val="22"/>
          <w:szCs w:val="22"/>
          <w:highlight w:val="lightGray"/>
        </w:rPr>
      </w:pPr>
      <w:r w:rsidRPr="006A7D6F">
        <w:rPr>
          <w:rFonts w:ascii="Book Antiqua" w:hAnsi="Book Antiqua"/>
          <w:sz w:val="22"/>
          <w:szCs w:val="22"/>
          <w:highlight w:val="lightGray"/>
        </w:rPr>
        <w:t xml:space="preserve">Los retos de la telemedicina incluyen la necesidad de una infraestructura tecnológica y la conectividad confiable, especialmente en áreas remotas. La interoperabilidad entre diferentes sistemas y dispositivos es crucial para una integración fluida de datos. La precisión y confiabilidad de los diagnósticos remotos dependen de la calidad de los datos y la calibración de los sensores. Además, la aceptación </w:t>
      </w:r>
      <w:r w:rsidR="00732BDE" w:rsidRPr="006A7D6F">
        <w:rPr>
          <w:rFonts w:ascii="Book Antiqua" w:hAnsi="Book Antiqua"/>
          <w:sz w:val="22"/>
          <w:szCs w:val="22"/>
          <w:highlight w:val="lightGray"/>
        </w:rPr>
        <w:t xml:space="preserve">e implementación </w:t>
      </w:r>
      <w:r w:rsidRPr="006A7D6F">
        <w:rPr>
          <w:rFonts w:ascii="Book Antiqua" w:hAnsi="Book Antiqua"/>
          <w:sz w:val="22"/>
          <w:szCs w:val="22"/>
          <w:highlight w:val="lightGray"/>
        </w:rPr>
        <w:t xml:space="preserve">por parte de pacientes y profesionales de la salud son fundamentales, lo que requiere capacitación y abordaje de preocupaciones sobre la privacidad y la seguridad de los datos. A pesar de estos desafíos, las oportunidades en áreas como el monitoreo continuo de pacientes crónicos, la atención preventiva personalizada y la gestión de la salud mental a través de </w:t>
      </w:r>
      <w:proofErr w:type="spellStart"/>
      <w:r w:rsidRPr="006A7D6F">
        <w:rPr>
          <w:rFonts w:ascii="Book Antiqua" w:hAnsi="Book Antiqua"/>
          <w:sz w:val="22"/>
          <w:szCs w:val="22"/>
          <w:highlight w:val="lightGray"/>
        </w:rPr>
        <w:t>chatbots</w:t>
      </w:r>
      <w:proofErr w:type="spellEnd"/>
      <w:r w:rsidRPr="006A7D6F">
        <w:rPr>
          <w:rFonts w:ascii="Book Antiqua" w:hAnsi="Book Antiqua"/>
          <w:sz w:val="22"/>
          <w:szCs w:val="22"/>
          <w:highlight w:val="lightGray"/>
        </w:rPr>
        <w:t xml:space="preserve"> y asistentes virtuales son significativas, prometiendo una atención médica más accesible, eficiente y centrada en el paciente.</w:t>
      </w:r>
    </w:p>
    <w:p w14:paraId="1BF8FB98" w14:textId="1F8223FD" w:rsidR="00576F4E" w:rsidRPr="006A7D6F" w:rsidRDefault="00576F4E" w:rsidP="00576F4E">
      <w:pPr>
        <w:jc w:val="both"/>
        <w:rPr>
          <w:rFonts w:ascii="Book Antiqua" w:hAnsi="Book Antiqua"/>
          <w:b/>
          <w:bCs/>
          <w:sz w:val="22"/>
          <w:szCs w:val="22"/>
          <w:highlight w:val="lightGray"/>
        </w:rPr>
      </w:pPr>
      <w:r w:rsidRPr="006A7D6F">
        <w:rPr>
          <w:rFonts w:ascii="Book Antiqua" w:hAnsi="Book Antiqua"/>
          <w:b/>
          <w:bCs/>
          <w:sz w:val="22"/>
          <w:szCs w:val="22"/>
          <w:highlight w:val="lightGray"/>
        </w:rPr>
        <w:t>Conclusiones</w:t>
      </w:r>
    </w:p>
    <w:p w14:paraId="472C8C42" w14:textId="49813B15" w:rsidR="00576F4E" w:rsidRPr="006A7D6F" w:rsidRDefault="006470BC" w:rsidP="00576F4E">
      <w:pPr>
        <w:jc w:val="both"/>
        <w:rPr>
          <w:rFonts w:ascii="Book Antiqua" w:hAnsi="Book Antiqua"/>
          <w:sz w:val="22"/>
          <w:szCs w:val="22"/>
          <w:highlight w:val="lightGray"/>
        </w:rPr>
      </w:pPr>
      <w:r w:rsidRPr="006A7D6F">
        <w:rPr>
          <w:rFonts w:ascii="Book Antiqua" w:hAnsi="Book Antiqua"/>
          <w:sz w:val="22"/>
          <w:szCs w:val="22"/>
          <w:highlight w:val="lightGray"/>
        </w:rPr>
        <w:t>L</w:t>
      </w:r>
      <w:r w:rsidR="00BD10A1" w:rsidRPr="006A7D6F">
        <w:rPr>
          <w:rFonts w:ascii="Book Antiqua" w:hAnsi="Book Antiqua"/>
          <w:sz w:val="22"/>
          <w:szCs w:val="22"/>
          <w:highlight w:val="lightGray"/>
        </w:rPr>
        <w:t>a</w:t>
      </w:r>
      <w:r w:rsidR="005B2DC5" w:rsidRPr="006A7D6F">
        <w:rPr>
          <w:rFonts w:ascii="Book Antiqua" w:hAnsi="Book Antiqua"/>
          <w:sz w:val="22"/>
          <w:szCs w:val="22"/>
          <w:highlight w:val="lightGray"/>
        </w:rPr>
        <w:t xml:space="preserve"> integración </w:t>
      </w:r>
      <w:r w:rsidR="00BD10A1" w:rsidRPr="006A7D6F">
        <w:rPr>
          <w:rFonts w:ascii="Book Antiqua" w:hAnsi="Book Antiqua"/>
          <w:sz w:val="22"/>
          <w:szCs w:val="22"/>
          <w:highlight w:val="lightGray"/>
        </w:rPr>
        <w:t xml:space="preserve">de la IA </w:t>
      </w:r>
      <w:r w:rsidR="005B2DC5" w:rsidRPr="006A7D6F">
        <w:rPr>
          <w:rFonts w:ascii="Book Antiqua" w:hAnsi="Book Antiqua"/>
          <w:sz w:val="22"/>
          <w:szCs w:val="22"/>
          <w:highlight w:val="lightGray"/>
        </w:rPr>
        <w:t>en sistemas complejos, particularmente en la industria y la medicina, representa un</w:t>
      </w:r>
      <w:r w:rsidR="0005400E" w:rsidRPr="006A7D6F">
        <w:rPr>
          <w:rFonts w:ascii="Book Antiqua" w:hAnsi="Book Antiqua"/>
          <w:sz w:val="22"/>
          <w:szCs w:val="22"/>
          <w:highlight w:val="lightGray"/>
        </w:rPr>
        <w:t xml:space="preserve"> gran</w:t>
      </w:r>
      <w:r w:rsidR="005B2DC5" w:rsidRPr="006A7D6F">
        <w:rPr>
          <w:rFonts w:ascii="Book Antiqua" w:hAnsi="Book Antiqua"/>
          <w:sz w:val="22"/>
          <w:szCs w:val="22"/>
          <w:highlight w:val="lightGray"/>
        </w:rPr>
        <w:t xml:space="preserve"> avance. Coincido en que esto optimizará procesos y mejorará la calidad de vida. Las áreas de oportunidad señaladas, como la integración con </w:t>
      </w:r>
      <w:proofErr w:type="spellStart"/>
      <w:r w:rsidR="005B2DC5" w:rsidRPr="006A7D6F">
        <w:rPr>
          <w:rFonts w:ascii="Book Antiqua" w:hAnsi="Book Antiqua"/>
          <w:sz w:val="22"/>
          <w:szCs w:val="22"/>
          <w:highlight w:val="lightGray"/>
        </w:rPr>
        <w:t>IoT</w:t>
      </w:r>
      <w:proofErr w:type="spellEnd"/>
      <w:r w:rsidR="005B2DC5" w:rsidRPr="006A7D6F">
        <w:rPr>
          <w:rFonts w:ascii="Book Antiqua" w:hAnsi="Book Antiqua"/>
          <w:sz w:val="22"/>
          <w:szCs w:val="22"/>
          <w:highlight w:val="lightGray"/>
        </w:rPr>
        <w:t xml:space="preserve">, los modelos híbridos y los gemelos digitales, abren un abanico de posibilidades para la innovación. Sin embargo, es </w:t>
      </w:r>
      <w:r w:rsidR="00B31C9A" w:rsidRPr="006A7D6F">
        <w:rPr>
          <w:rFonts w:ascii="Book Antiqua" w:hAnsi="Book Antiqua"/>
          <w:sz w:val="22"/>
          <w:szCs w:val="22"/>
          <w:highlight w:val="lightGray"/>
        </w:rPr>
        <w:t>muy importante</w:t>
      </w:r>
      <w:r w:rsidR="005B2DC5" w:rsidRPr="006A7D6F">
        <w:rPr>
          <w:rFonts w:ascii="Book Antiqua" w:hAnsi="Book Antiqua"/>
          <w:sz w:val="22"/>
          <w:szCs w:val="22"/>
          <w:highlight w:val="lightGray"/>
        </w:rPr>
        <w:t xml:space="preserve"> que esta integración se haga con responsabilidad, protegiendo datos y respetando la ética y las regulaciones.</w:t>
      </w:r>
      <w:r w:rsidRPr="006A7D6F">
        <w:rPr>
          <w:rFonts w:ascii="Book Antiqua" w:hAnsi="Book Antiqua"/>
          <w:sz w:val="22"/>
          <w:szCs w:val="22"/>
          <w:highlight w:val="lightGray"/>
        </w:rPr>
        <w:t xml:space="preserve"> </w:t>
      </w:r>
      <w:r w:rsidR="005B2DC5" w:rsidRPr="006A7D6F">
        <w:rPr>
          <w:rFonts w:ascii="Book Antiqua" w:hAnsi="Book Antiqua"/>
          <w:sz w:val="22"/>
          <w:szCs w:val="22"/>
          <w:highlight w:val="lightGray"/>
        </w:rPr>
        <w:t>Creo que la colaboración multidisciplinaria y la inversión en infraestructura son claves. En definitiva, considero que el éxito de la IA no solo depende de su avance técnico, sino</w:t>
      </w:r>
      <w:r w:rsidR="003C7382" w:rsidRPr="006A7D6F">
        <w:rPr>
          <w:rFonts w:ascii="Book Antiqua" w:hAnsi="Book Antiqua"/>
          <w:sz w:val="22"/>
          <w:szCs w:val="22"/>
          <w:highlight w:val="lightGray"/>
        </w:rPr>
        <w:t xml:space="preserve"> también</w:t>
      </w:r>
      <w:r w:rsidR="005B2DC5" w:rsidRPr="006A7D6F">
        <w:rPr>
          <w:rFonts w:ascii="Book Antiqua" w:hAnsi="Book Antiqua"/>
          <w:sz w:val="22"/>
          <w:szCs w:val="22"/>
          <w:highlight w:val="lightGray"/>
        </w:rPr>
        <w:t>, de la adaptabilidad institucional. Esta será la verdadera medida de su impacto, tanto en la gestión de recursos como en la atención médica, marcando un cambio de paradigma.</w:t>
      </w:r>
    </w:p>
    <w:p w14:paraId="03AD23E4" w14:textId="77777777" w:rsidR="00CB705B" w:rsidRPr="006A7D6F" w:rsidRDefault="00CB705B" w:rsidP="00576F4E">
      <w:pPr>
        <w:jc w:val="both"/>
        <w:rPr>
          <w:rFonts w:ascii="Book Antiqua" w:hAnsi="Book Antiqua"/>
          <w:b/>
          <w:bCs/>
          <w:sz w:val="22"/>
          <w:szCs w:val="22"/>
          <w:highlight w:val="lightGray"/>
        </w:rPr>
      </w:pPr>
    </w:p>
    <w:p w14:paraId="130DA92E" w14:textId="46E2BE59" w:rsidR="00576F4E" w:rsidRPr="006A7D6F" w:rsidRDefault="00576F4E" w:rsidP="00576F4E">
      <w:pPr>
        <w:jc w:val="both"/>
        <w:rPr>
          <w:rFonts w:ascii="Book Antiqua" w:hAnsi="Book Antiqua"/>
          <w:b/>
          <w:bCs/>
          <w:sz w:val="22"/>
          <w:szCs w:val="22"/>
          <w:highlight w:val="lightGray"/>
        </w:rPr>
      </w:pPr>
      <w:r w:rsidRPr="006A7D6F">
        <w:rPr>
          <w:rFonts w:ascii="Book Antiqua" w:hAnsi="Book Antiqua"/>
          <w:b/>
          <w:bCs/>
          <w:sz w:val="22"/>
          <w:szCs w:val="22"/>
          <w:highlight w:val="lightGray"/>
        </w:rPr>
        <w:t>Referencias</w:t>
      </w:r>
    </w:p>
    <w:p w14:paraId="51100133" w14:textId="77777777" w:rsidR="0019222E" w:rsidRPr="006A7D6F" w:rsidRDefault="00576F4E" w:rsidP="00E80326">
      <w:pPr>
        <w:numPr>
          <w:ilvl w:val="0"/>
          <w:numId w:val="2"/>
        </w:numPr>
        <w:rPr>
          <w:rFonts w:ascii="Book Antiqua" w:hAnsi="Book Antiqua"/>
          <w:sz w:val="22"/>
          <w:szCs w:val="22"/>
          <w:highlight w:val="lightGray"/>
        </w:rPr>
      </w:pPr>
      <w:proofErr w:type="spellStart"/>
      <w:r w:rsidRPr="006A7D6F">
        <w:rPr>
          <w:rFonts w:ascii="Book Antiqua" w:hAnsi="Book Antiqua"/>
          <w:sz w:val="22"/>
          <w:szCs w:val="22"/>
          <w:highlight w:val="lightGray"/>
        </w:rPr>
        <w:t>Bihorac</w:t>
      </w:r>
      <w:proofErr w:type="spellEnd"/>
      <w:r w:rsidRPr="006A7D6F">
        <w:rPr>
          <w:rFonts w:ascii="Book Antiqua" w:hAnsi="Book Antiqua"/>
          <w:sz w:val="22"/>
          <w:szCs w:val="22"/>
          <w:highlight w:val="lightGray"/>
        </w:rPr>
        <w:t xml:space="preserve">, A., et al. (2020). Deep EHR: A </w:t>
      </w:r>
      <w:proofErr w:type="spellStart"/>
      <w:r w:rsidRPr="006A7D6F">
        <w:rPr>
          <w:rFonts w:ascii="Book Antiqua" w:hAnsi="Book Antiqua"/>
          <w:sz w:val="22"/>
          <w:szCs w:val="22"/>
          <w:highlight w:val="lightGray"/>
        </w:rPr>
        <w:t>Survey</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of</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Recent</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Advances</w:t>
      </w:r>
      <w:proofErr w:type="spellEnd"/>
      <w:r w:rsidRPr="006A7D6F">
        <w:rPr>
          <w:rFonts w:ascii="Book Antiqua" w:hAnsi="Book Antiqua"/>
          <w:sz w:val="22"/>
          <w:szCs w:val="22"/>
          <w:highlight w:val="lightGray"/>
        </w:rPr>
        <w:t xml:space="preserve"> in Deep </w:t>
      </w:r>
      <w:proofErr w:type="spellStart"/>
      <w:r w:rsidRPr="006A7D6F">
        <w:rPr>
          <w:rFonts w:ascii="Book Antiqua" w:hAnsi="Book Antiqua"/>
          <w:sz w:val="22"/>
          <w:szCs w:val="22"/>
          <w:highlight w:val="lightGray"/>
        </w:rPr>
        <w:t>Learning</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Techniques</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for</w:t>
      </w:r>
      <w:proofErr w:type="spellEnd"/>
      <w:r w:rsidRPr="006A7D6F">
        <w:rPr>
          <w:rFonts w:ascii="Book Antiqua" w:hAnsi="Book Antiqua"/>
          <w:sz w:val="22"/>
          <w:szCs w:val="22"/>
          <w:highlight w:val="lightGray"/>
        </w:rPr>
        <w:t xml:space="preserve"> Electronic </w:t>
      </w:r>
      <w:proofErr w:type="spellStart"/>
      <w:r w:rsidRPr="006A7D6F">
        <w:rPr>
          <w:rFonts w:ascii="Book Antiqua" w:hAnsi="Book Antiqua"/>
          <w:sz w:val="22"/>
          <w:szCs w:val="22"/>
          <w:highlight w:val="lightGray"/>
        </w:rPr>
        <w:t>Health</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Record</w:t>
      </w:r>
      <w:proofErr w:type="spellEnd"/>
      <w:r w:rsidRPr="006A7D6F">
        <w:rPr>
          <w:rFonts w:ascii="Book Antiqua" w:hAnsi="Book Antiqua"/>
          <w:sz w:val="22"/>
          <w:szCs w:val="22"/>
          <w:highlight w:val="lightGray"/>
        </w:rPr>
        <w:t xml:space="preserve"> (EHR) </w:t>
      </w:r>
      <w:proofErr w:type="spellStart"/>
      <w:r w:rsidRPr="006A7D6F">
        <w:rPr>
          <w:rFonts w:ascii="Book Antiqua" w:hAnsi="Book Antiqua"/>
          <w:sz w:val="22"/>
          <w:szCs w:val="22"/>
          <w:highlight w:val="lightGray"/>
        </w:rPr>
        <w:t>Analysis</w:t>
      </w:r>
      <w:proofErr w:type="spellEnd"/>
      <w:r w:rsidRPr="006A7D6F">
        <w:rPr>
          <w:rFonts w:ascii="Book Antiqua" w:hAnsi="Book Antiqua"/>
          <w:sz w:val="22"/>
          <w:szCs w:val="22"/>
          <w:highlight w:val="lightGray"/>
        </w:rPr>
        <w:t xml:space="preserve">. </w:t>
      </w:r>
      <w:r w:rsidRPr="006A7D6F">
        <w:rPr>
          <w:rFonts w:ascii="Book Antiqua" w:hAnsi="Book Antiqua"/>
          <w:i/>
          <w:iCs/>
          <w:sz w:val="22"/>
          <w:szCs w:val="22"/>
          <w:highlight w:val="lightGray"/>
        </w:rPr>
        <w:t xml:space="preserve">IEEE </w:t>
      </w:r>
      <w:proofErr w:type="spellStart"/>
      <w:r w:rsidRPr="006A7D6F">
        <w:rPr>
          <w:rFonts w:ascii="Book Antiqua" w:hAnsi="Book Antiqua"/>
          <w:i/>
          <w:iCs/>
          <w:sz w:val="22"/>
          <w:szCs w:val="22"/>
          <w:highlight w:val="lightGray"/>
        </w:rPr>
        <w:t>Journal</w:t>
      </w:r>
      <w:proofErr w:type="spellEnd"/>
      <w:r w:rsidRPr="006A7D6F">
        <w:rPr>
          <w:rFonts w:ascii="Book Antiqua" w:hAnsi="Book Antiqua"/>
          <w:i/>
          <w:iCs/>
          <w:sz w:val="22"/>
          <w:szCs w:val="22"/>
          <w:highlight w:val="lightGray"/>
        </w:rPr>
        <w:t xml:space="preserve"> </w:t>
      </w:r>
      <w:proofErr w:type="spellStart"/>
      <w:r w:rsidRPr="006A7D6F">
        <w:rPr>
          <w:rFonts w:ascii="Book Antiqua" w:hAnsi="Book Antiqua"/>
          <w:i/>
          <w:iCs/>
          <w:sz w:val="22"/>
          <w:szCs w:val="22"/>
          <w:highlight w:val="lightGray"/>
        </w:rPr>
        <w:t>of</w:t>
      </w:r>
      <w:proofErr w:type="spellEnd"/>
      <w:r w:rsidRPr="006A7D6F">
        <w:rPr>
          <w:rFonts w:ascii="Book Antiqua" w:hAnsi="Book Antiqua"/>
          <w:i/>
          <w:iCs/>
          <w:sz w:val="22"/>
          <w:szCs w:val="22"/>
          <w:highlight w:val="lightGray"/>
        </w:rPr>
        <w:t xml:space="preserve"> </w:t>
      </w:r>
      <w:proofErr w:type="spellStart"/>
      <w:r w:rsidRPr="006A7D6F">
        <w:rPr>
          <w:rFonts w:ascii="Book Antiqua" w:hAnsi="Book Antiqua"/>
          <w:i/>
          <w:iCs/>
          <w:sz w:val="22"/>
          <w:szCs w:val="22"/>
          <w:highlight w:val="lightGray"/>
        </w:rPr>
        <w:t>Biomedical</w:t>
      </w:r>
      <w:proofErr w:type="spellEnd"/>
      <w:r w:rsidRPr="006A7D6F">
        <w:rPr>
          <w:rFonts w:ascii="Book Antiqua" w:hAnsi="Book Antiqua"/>
          <w:i/>
          <w:iCs/>
          <w:sz w:val="22"/>
          <w:szCs w:val="22"/>
          <w:highlight w:val="lightGray"/>
        </w:rPr>
        <w:t xml:space="preserve"> and </w:t>
      </w:r>
      <w:proofErr w:type="spellStart"/>
      <w:r w:rsidRPr="006A7D6F">
        <w:rPr>
          <w:rFonts w:ascii="Book Antiqua" w:hAnsi="Book Antiqua"/>
          <w:i/>
          <w:iCs/>
          <w:sz w:val="22"/>
          <w:szCs w:val="22"/>
          <w:highlight w:val="lightGray"/>
        </w:rPr>
        <w:t>Health</w:t>
      </w:r>
      <w:proofErr w:type="spellEnd"/>
      <w:r w:rsidRPr="006A7D6F">
        <w:rPr>
          <w:rFonts w:ascii="Book Antiqua" w:hAnsi="Book Antiqua"/>
          <w:i/>
          <w:iCs/>
          <w:sz w:val="22"/>
          <w:szCs w:val="22"/>
          <w:highlight w:val="lightGray"/>
        </w:rPr>
        <w:t xml:space="preserve"> </w:t>
      </w:r>
      <w:proofErr w:type="spellStart"/>
      <w:r w:rsidRPr="006A7D6F">
        <w:rPr>
          <w:rFonts w:ascii="Book Antiqua" w:hAnsi="Book Antiqua"/>
          <w:i/>
          <w:iCs/>
          <w:sz w:val="22"/>
          <w:szCs w:val="22"/>
          <w:highlight w:val="lightGray"/>
        </w:rPr>
        <w:t>Informatics</w:t>
      </w:r>
      <w:proofErr w:type="spellEnd"/>
      <w:r w:rsidRPr="006A7D6F">
        <w:rPr>
          <w:rFonts w:ascii="Book Antiqua" w:hAnsi="Book Antiqua"/>
          <w:i/>
          <w:iCs/>
          <w:sz w:val="22"/>
          <w:szCs w:val="22"/>
          <w:highlight w:val="lightGray"/>
        </w:rPr>
        <w:t>, 24</w:t>
      </w:r>
      <w:r w:rsidRPr="006A7D6F">
        <w:rPr>
          <w:rFonts w:ascii="Book Antiqua" w:hAnsi="Book Antiqua"/>
          <w:sz w:val="22"/>
          <w:szCs w:val="22"/>
          <w:highlight w:val="lightGray"/>
        </w:rPr>
        <w:t xml:space="preserve">(7), 2109–2119. </w:t>
      </w:r>
      <w:proofErr w:type="spellStart"/>
      <w:r w:rsidR="0019222E" w:rsidRPr="006A7D6F">
        <w:rPr>
          <w:rFonts w:ascii="Book Antiqua" w:hAnsi="Book Antiqua"/>
          <w:sz w:val="22"/>
          <w:szCs w:val="22"/>
          <w:highlight w:val="lightGray"/>
        </w:rPr>
        <w:t>doi</w:t>
      </w:r>
      <w:proofErr w:type="spellEnd"/>
      <w:r w:rsidR="0019222E" w:rsidRPr="006A7D6F">
        <w:rPr>
          <w:rFonts w:ascii="Book Antiqua" w:hAnsi="Book Antiqua"/>
          <w:sz w:val="22"/>
          <w:szCs w:val="22"/>
          <w:highlight w:val="lightGray"/>
        </w:rPr>
        <w:t>: 10.1109/JBHI.2017.2767063</w:t>
      </w:r>
    </w:p>
    <w:p w14:paraId="14DD4B30" w14:textId="4FAB7C5B" w:rsidR="00576F4E" w:rsidRPr="006A7D6F" w:rsidRDefault="00576F4E" w:rsidP="006A5C08">
      <w:pPr>
        <w:numPr>
          <w:ilvl w:val="0"/>
          <w:numId w:val="2"/>
        </w:numPr>
        <w:rPr>
          <w:rFonts w:ascii="Book Antiqua" w:hAnsi="Book Antiqua"/>
          <w:sz w:val="22"/>
          <w:szCs w:val="22"/>
          <w:highlight w:val="lightGray"/>
        </w:rPr>
      </w:pPr>
      <w:proofErr w:type="spellStart"/>
      <w:r w:rsidRPr="006A7D6F">
        <w:rPr>
          <w:rFonts w:ascii="Book Antiqua" w:hAnsi="Book Antiqua"/>
          <w:sz w:val="22"/>
          <w:szCs w:val="22"/>
          <w:highlight w:val="lightGray"/>
        </w:rPr>
        <w:t>Cogent</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Info</w:t>
      </w:r>
      <w:proofErr w:type="spellEnd"/>
      <w:r w:rsidRPr="006A7D6F">
        <w:rPr>
          <w:rFonts w:ascii="Book Antiqua" w:hAnsi="Book Antiqua"/>
          <w:sz w:val="22"/>
          <w:szCs w:val="22"/>
          <w:highlight w:val="lightGray"/>
        </w:rPr>
        <w:t xml:space="preserve">. (2024). </w:t>
      </w:r>
      <w:proofErr w:type="spellStart"/>
      <w:r w:rsidRPr="006A7D6F">
        <w:rPr>
          <w:rFonts w:ascii="Book Antiqua" w:hAnsi="Book Antiqua"/>
          <w:sz w:val="22"/>
          <w:szCs w:val="22"/>
          <w:highlight w:val="lightGray"/>
        </w:rPr>
        <w:t>Revolutionizing</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retail</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inventory</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management</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with</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computer</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vision</w:t>
      </w:r>
      <w:proofErr w:type="spellEnd"/>
      <w:r w:rsidRPr="006A7D6F">
        <w:rPr>
          <w:rFonts w:ascii="Book Antiqua" w:hAnsi="Book Antiqua"/>
          <w:sz w:val="22"/>
          <w:szCs w:val="22"/>
          <w:highlight w:val="lightGray"/>
        </w:rPr>
        <w:t xml:space="preserve">. Recuperado de </w:t>
      </w:r>
      <w:hyperlink r:id="rId7" w:tgtFrame="_blank" w:history="1">
        <w:r w:rsidRPr="006A7D6F">
          <w:rPr>
            <w:rStyle w:val="Hipervnculo"/>
            <w:rFonts w:ascii="Book Antiqua" w:hAnsi="Book Antiqua"/>
            <w:sz w:val="22"/>
            <w:szCs w:val="22"/>
            <w:highlight w:val="lightGray"/>
          </w:rPr>
          <w:t>https://www.cogentinfo.com/resources/revolutionizing-retail-inventory-management-with-computer-vision</w:t>
        </w:r>
      </w:hyperlink>
    </w:p>
    <w:p w14:paraId="350EB4CA" w14:textId="2FA57A9C" w:rsidR="00576F4E" w:rsidRPr="006A7D6F" w:rsidRDefault="00576F4E" w:rsidP="00730F72">
      <w:pPr>
        <w:numPr>
          <w:ilvl w:val="0"/>
          <w:numId w:val="2"/>
        </w:numPr>
        <w:rPr>
          <w:rFonts w:ascii="Book Antiqua" w:hAnsi="Book Antiqua"/>
          <w:sz w:val="22"/>
          <w:szCs w:val="22"/>
          <w:highlight w:val="lightGray"/>
        </w:rPr>
      </w:pPr>
      <w:r w:rsidRPr="006A7D6F">
        <w:rPr>
          <w:rFonts w:ascii="Book Antiqua" w:hAnsi="Book Antiqua"/>
          <w:sz w:val="22"/>
          <w:szCs w:val="22"/>
          <w:highlight w:val="lightGray"/>
        </w:rPr>
        <w:t xml:space="preserve">Johnson, K., et al. (2021). </w:t>
      </w:r>
      <w:proofErr w:type="spellStart"/>
      <w:r w:rsidRPr="006A7D6F">
        <w:rPr>
          <w:rFonts w:ascii="Book Antiqua" w:hAnsi="Book Antiqua"/>
          <w:sz w:val="22"/>
          <w:szCs w:val="22"/>
          <w:highlight w:val="lightGray"/>
        </w:rPr>
        <w:t>Precision</w:t>
      </w:r>
      <w:proofErr w:type="spellEnd"/>
      <w:r w:rsidRPr="006A7D6F">
        <w:rPr>
          <w:rFonts w:ascii="Book Antiqua" w:hAnsi="Book Antiqua"/>
          <w:sz w:val="22"/>
          <w:szCs w:val="22"/>
          <w:highlight w:val="lightGray"/>
        </w:rPr>
        <w:t xml:space="preserve"> medicine, AI, and the future </w:t>
      </w:r>
      <w:proofErr w:type="spellStart"/>
      <w:r w:rsidRPr="006A7D6F">
        <w:rPr>
          <w:rFonts w:ascii="Book Antiqua" w:hAnsi="Book Antiqua"/>
          <w:sz w:val="22"/>
          <w:szCs w:val="22"/>
          <w:highlight w:val="lightGray"/>
        </w:rPr>
        <w:t>of</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personalized</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health</w:t>
      </w:r>
      <w:proofErr w:type="spellEnd"/>
      <w:r w:rsidRPr="006A7D6F">
        <w:rPr>
          <w:rFonts w:ascii="Book Antiqua" w:hAnsi="Book Antiqua"/>
          <w:sz w:val="22"/>
          <w:szCs w:val="22"/>
          <w:highlight w:val="lightGray"/>
        </w:rPr>
        <w:t xml:space="preserve"> care. </w:t>
      </w:r>
      <w:proofErr w:type="spellStart"/>
      <w:r w:rsidRPr="006A7D6F">
        <w:rPr>
          <w:rFonts w:ascii="Book Antiqua" w:hAnsi="Book Antiqua"/>
          <w:i/>
          <w:iCs/>
          <w:sz w:val="22"/>
          <w:szCs w:val="22"/>
          <w:highlight w:val="lightGray"/>
        </w:rPr>
        <w:t>Clinical</w:t>
      </w:r>
      <w:proofErr w:type="spellEnd"/>
      <w:r w:rsidRPr="006A7D6F">
        <w:rPr>
          <w:rFonts w:ascii="Book Antiqua" w:hAnsi="Book Antiqua"/>
          <w:i/>
          <w:iCs/>
          <w:sz w:val="22"/>
          <w:szCs w:val="22"/>
          <w:highlight w:val="lightGray"/>
        </w:rPr>
        <w:t xml:space="preserve"> and </w:t>
      </w:r>
      <w:proofErr w:type="spellStart"/>
      <w:r w:rsidRPr="006A7D6F">
        <w:rPr>
          <w:rFonts w:ascii="Book Antiqua" w:hAnsi="Book Antiqua"/>
          <w:i/>
          <w:iCs/>
          <w:sz w:val="22"/>
          <w:szCs w:val="22"/>
          <w:highlight w:val="lightGray"/>
        </w:rPr>
        <w:t>Translational</w:t>
      </w:r>
      <w:proofErr w:type="spellEnd"/>
      <w:r w:rsidRPr="006A7D6F">
        <w:rPr>
          <w:rFonts w:ascii="Book Antiqua" w:hAnsi="Book Antiqua"/>
          <w:i/>
          <w:iCs/>
          <w:sz w:val="22"/>
          <w:szCs w:val="22"/>
          <w:highlight w:val="lightGray"/>
        </w:rPr>
        <w:t xml:space="preserve"> </w:t>
      </w:r>
      <w:proofErr w:type="spellStart"/>
      <w:r w:rsidRPr="006A7D6F">
        <w:rPr>
          <w:rFonts w:ascii="Book Antiqua" w:hAnsi="Book Antiqua"/>
          <w:i/>
          <w:iCs/>
          <w:sz w:val="22"/>
          <w:szCs w:val="22"/>
          <w:highlight w:val="lightGray"/>
        </w:rPr>
        <w:t>Science</w:t>
      </w:r>
      <w:proofErr w:type="spellEnd"/>
      <w:r w:rsidRPr="006A7D6F">
        <w:rPr>
          <w:rFonts w:ascii="Book Antiqua" w:hAnsi="Book Antiqua"/>
          <w:i/>
          <w:iCs/>
          <w:sz w:val="22"/>
          <w:szCs w:val="22"/>
          <w:highlight w:val="lightGray"/>
        </w:rPr>
        <w:t>, 14</w:t>
      </w:r>
      <w:r w:rsidRPr="006A7D6F">
        <w:rPr>
          <w:rFonts w:ascii="Book Antiqua" w:hAnsi="Book Antiqua"/>
          <w:sz w:val="22"/>
          <w:szCs w:val="22"/>
          <w:highlight w:val="lightGray"/>
        </w:rPr>
        <w:t xml:space="preserve">(4), 541–549. </w:t>
      </w:r>
      <w:hyperlink r:id="rId8" w:tgtFrame="_blank" w:history="1">
        <w:r w:rsidRPr="006A7D6F">
          <w:rPr>
            <w:rStyle w:val="Hipervnculo"/>
            <w:rFonts w:ascii="Book Antiqua" w:hAnsi="Book Antiqua"/>
            <w:sz w:val="22"/>
            <w:szCs w:val="22"/>
            <w:highlight w:val="lightGray"/>
          </w:rPr>
          <w:t>https://doi.org/10.1111/cts.12884</w:t>
        </w:r>
      </w:hyperlink>
    </w:p>
    <w:p w14:paraId="50B332F0" w14:textId="4792E39F" w:rsidR="00F8307F" w:rsidRPr="006A7D6F" w:rsidRDefault="009E3A7C" w:rsidP="00057C0B">
      <w:pPr>
        <w:numPr>
          <w:ilvl w:val="0"/>
          <w:numId w:val="2"/>
        </w:numPr>
        <w:rPr>
          <w:rFonts w:ascii="Book Antiqua" w:hAnsi="Book Antiqua"/>
          <w:sz w:val="22"/>
          <w:szCs w:val="22"/>
          <w:highlight w:val="lightGray"/>
        </w:rPr>
      </w:pPr>
      <w:r w:rsidRPr="006A7D6F">
        <w:rPr>
          <w:rFonts w:ascii="Book Antiqua" w:hAnsi="Book Antiqua"/>
          <w:sz w:val="22"/>
          <w:szCs w:val="22"/>
          <w:highlight w:val="lightGray"/>
        </w:rPr>
        <w:t xml:space="preserve">Johnson, K.B., Wei, W.-Q., </w:t>
      </w:r>
      <w:proofErr w:type="spellStart"/>
      <w:r w:rsidRPr="006A7D6F">
        <w:rPr>
          <w:rFonts w:ascii="Book Antiqua" w:hAnsi="Book Antiqua"/>
          <w:sz w:val="22"/>
          <w:szCs w:val="22"/>
          <w:highlight w:val="lightGray"/>
        </w:rPr>
        <w:t>Weeraratne</w:t>
      </w:r>
      <w:proofErr w:type="spellEnd"/>
      <w:r w:rsidRPr="006A7D6F">
        <w:rPr>
          <w:rFonts w:ascii="Book Antiqua" w:hAnsi="Book Antiqua"/>
          <w:sz w:val="22"/>
          <w:szCs w:val="22"/>
          <w:highlight w:val="lightGray"/>
        </w:rPr>
        <w:t xml:space="preserve">, D., </w:t>
      </w:r>
      <w:proofErr w:type="spellStart"/>
      <w:r w:rsidRPr="006A7D6F">
        <w:rPr>
          <w:rFonts w:ascii="Book Antiqua" w:hAnsi="Book Antiqua"/>
          <w:sz w:val="22"/>
          <w:szCs w:val="22"/>
          <w:highlight w:val="lightGray"/>
        </w:rPr>
        <w:t>Frisse</w:t>
      </w:r>
      <w:proofErr w:type="spellEnd"/>
      <w:r w:rsidRPr="006A7D6F">
        <w:rPr>
          <w:rFonts w:ascii="Book Antiqua" w:hAnsi="Book Antiqua"/>
          <w:sz w:val="22"/>
          <w:szCs w:val="22"/>
          <w:highlight w:val="lightGray"/>
        </w:rPr>
        <w:t xml:space="preserve">, M.E., </w:t>
      </w:r>
      <w:proofErr w:type="spellStart"/>
      <w:r w:rsidRPr="006A7D6F">
        <w:rPr>
          <w:rFonts w:ascii="Book Antiqua" w:hAnsi="Book Antiqua"/>
          <w:sz w:val="22"/>
          <w:szCs w:val="22"/>
          <w:highlight w:val="lightGray"/>
        </w:rPr>
        <w:t>Misulis</w:t>
      </w:r>
      <w:proofErr w:type="spellEnd"/>
      <w:r w:rsidRPr="006A7D6F">
        <w:rPr>
          <w:rFonts w:ascii="Book Antiqua" w:hAnsi="Book Antiqua"/>
          <w:sz w:val="22"/>
          <w:szCs w:val="22"/>
          <w:highlight w:val="lightGray"/>
        </w:rPr>
        <w:t xml:space="preserve">, K., </w:t>
      </w:r>
      <w:proofErr w:type="spellStart"/>
      <w:r w:rsidRPr="006A7D6F">
        <w:rPr>
          <w:rFonts w:ascii="Book Antiqua" w:hAnsi="Book Antiqua"/>
          <w:sz w:val="22"/>
          <w:szCs w:val="22"/>
          <w:highlight w:val="lightGray"/>
        </w:rPr>
        <w:t>Rhee</w:t>
      </w:r>
      <w:proofErr w:type="spellEnd"/>
      <w:r w:rsidRPr="006A7D6F">
        <w:rPr>
          <w:rFonts w:ascii="Book Antiqua" w:hAnsi="Book Antiqua"/>
          <w:sz w:val="22"/>
          <w:szCs w:val="22"/>
          <w:highlight w:val="lightGray"/>
        </w:rPr>
        <w:t xml:space="preserve">, K., Zhao, J. and </w:t>
      </w:r>
      <w:proofErr w:type="spellStart"/>
      <w:r w:rsidRPr="006A7D6F">
        <w:rPr>
          <w:rFonts w:ascii="Book Antiqua" w:hAnsi="Book Antiqua"/>
          <w:sz w:val="22"/>
          <w:szCs w:val="22"/>
          <w:highlight w:val="lightGray"/>
        </w:rPr>
        <w:t>Snowdon</w:t>
      </w:r>
      <w:proofErr w:type="spellEnd"/>
      <w:r w:rsidRPr="006A7D6F">
        <w:rPr>
          <w:rFonts w:ascii="Book Antiqua" w:hAnsi="Book Antiqua"/>
          <w:sz w:val="22"/>
          <w:szCs w:val="22"/>
          <w:highlight w:val="lightGray"/>
        </w:rPr>
        <w:t xml:space="preserve">, J.L. (2021), </w:t>
      </w:r>
      <w:proofErr w:type="spellStart"/>
      <w:r w:rsidRPr="006A7D6F">
        <w:rPr>
          <w:rFonts w:ascii="Book Antiqua" w:hAnsi="Book Antiqua"/>
          <w:sz w:val="22"/>
          <w:szCs w:val="22"/>
          <w:highlight w:val="lightGray"/>
        </w:rPr>
        <w:t>Precision</w:t>
      </w:r>
      <w:proofErr w:type="spellEnd"/>
      <w:r w:rsidRPr="006A7D6F">
        <w:rPr>
          <w:rFonts w:ascii="Book Antiqua" w:hAnsi="Book Antiqua"/>
          <w:sz w:val="22"/>
          <w:szCs w:val="22"/>
          <w:highlight w:val="lightGray"/>
        </w:rPr>
        <w:t xml:space="preserve"> Medicine, AI, and the Future </w:t>
      </w:r>
      <w:proofErr w:type="spellStart"/>
      <w:r w:rsidRPr="006A7D6F">
        <w:rPr>
          <w:rFonts w:ascii="Book Antiqua" w:hAnsi="Book Antiqua"/>
          <w:sz w:val="22"/>
          <w:szCs w:val="22"/>
          <w:highlight w:val="lightGray"/>
        </w:rPr>
        <w:t>of</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Personalized</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Health</w:t>
      </w:r>
      <w:proofErr w:type="spellEnd"/>
      <w:r w:rsidRPr="006A7D6F">
        <w:rPr>
          <w:rFonts w:ascii="Book Antiqua" w:hAnsi="Book Antiqua"/>
          <w:sz w:val="22"/>
          <w:szCs w:val="22"/>
          <w:highlight w:val="lightGray"/>
        </w:rPr>
        <w:t xml:space="preserve"> Care. Clin </w:t>
      </w:r>
      <w:proofErr w:type="spellStart"/>
      <w:r w:rsidRPr="006A7D6F">
        <w:rPr>
          <w:rFonts w:ascii="Book Antiqua" w:hAnsi="Book Antiqua"/>
          <w:sz w:val="22"/>
          <w:szCs w:val="22"/>
          <w:highlight w:val="lightGray"/>
        </w:rPr>
        <w:t>Transl</w:t>
      </w:r>
      <w:proofErr w:type="spellEnd"/>
      <w:r w:rsidRPr="006A7D6F">
        <w:rPr>
          <w:rFonts w:ascii="Book Antiqua" w:hAnsi="Book Antiqua"/>
          <w:sz w:val="22"/>
          <w:szCs w:val="22"/>
          <w:highlight w:val="lightGray"/>
        </w:rPr>
        <w:t xml:space="preserve"> </w:t>
      </w:r>
      <w:proofErr w:type="spellStart"/>
      <w:r w:rsidRPr="006A7D6F">
        <w:rPr>
          <w:rFonts w:ascii="Book Antiqua" w:hAnsi="Book Antiqua"/>
          <w:sz w:val="22"/>
          <w:szCs w:val="22"/>
          <w:highlight w:val="lightGray"/>
        </w:rPr>
        <w:t>Sci</w:t>
      </w:r>
      <w:proofErr w:type="spellEnd"/>
      <w:r w:rsidRPr="006A7D6F">
        <w:rPr>
          <w:rFonts w:ascii="Book Antiqua" w:hAnsi="Book Antiqua"/>
          <w:sz w:val="22"/>
          <w:szCs w:val="22"/>
          <w:highlight w:val="lightGray"/>
        </w:rPr>
        <w:t>, 14: 86-93. https://doi.org/10.1111/cts.12884</w:t>
      </w:r>
    </w:p>
    <w:p w14:paraId="59095744" w14:textId="5BD45134" w:rsidR="0054171A" w:rsidRPr="00D20A5A" w:rsidRDefault="0054171A" w:rsidP="00F8307F">
      <w:pPr>
        <w:jc w:val="both"/>
        <w:rPr>
          <w:rFonts w:ascii="Book Antiqua" w:hAnsi="Book Antiqua"/>
          <w:sz w:val="22"/>
          <w:szCs w:val="22"/>
        </w:rPr>
      </w:pPr>
    </w:p>
    <w:sectPr w:rsidR="0054171A" w:rsidRPr="00D20A5A">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00317" w14:textId="77777777" w:rsidR="00A87946" w:rsidRDefault="00A87946" w:rsidP="00F8307F">
      <w:pPr>
        <w:spacing w:after="0" w:line="240" w:lineRule="auto"/>
      </w:pPr>
      <w:r>
        <w:separator/>
      </w:r>
    </w:p>
  </w:endnote>
  <w:endnote w:type="continuationSeparator" w:id="0">
    <w:p w14:paraId="7961CF84" w14:textId="77777777" w:rsidR="00A87946" w:rsidRDefault="00A87946" w:rsidP="00F83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15BA14" w14:textId="4907F31E" w:rsidR="006A7D6F" w:rsidRDefault="006A7D6F" w:rsidP="006A7D6F">
    <w:pPr>
      <w:pStyle w:val="Piedepgina"/>
      <w:jc w:val="right"/>
    </w:pPr>
    <w:r>
      <w:t xml:space="preserve">Are wearable </w:t>
    </w:r>
    <w:proofErr w:type="spellStart"/>
    <w:r>
      <w:t>devices</w:t>
    </w:r>
    <w:proofErr w:type="spellEnd"/>
    <w:r>
      <w:t xml:space="preserve"> </w:t>
    </w:r>
    <w:proofErr w:type="spellStart"/>
    <w:r>
      <w:t>effective</w:t>
    </w:r>
    <w:proofErr w:type="spellEnd"/>
    <w:r>
      <w:t xml:space="preserve"> </w:t>
    </w:r>
    <w:proofErr w:type="spellStart"/>
    <w:r>
      <w:t>for</w:t>
    </w:r>
    <w:proofErr w:type="spellEnd"/>
    <w:r>
      <w:t xml:space="preserve"> </w:t>
    </w:r>
    <w:proofErr w:type="spellStart"/>
    <w:r>
      <w:t>preventing</w:t>
    </w:r>
    <w:proofErr w:type="spellEnd"/>
    <w:r>
      <w:t xml:space="preserve"> and </w:t>
    </w:r>
    <w:proofErr w:type="spellStart"/>
    <w:r>
      <w:t>detecting</w:t>
    </w:r>
    <w:proofErr w:type="spellEnd"/>
    <w:r>
      <w:t xml:space="preserve"> </w:t>
    </w:r>
    <w:proofErr w:type="spellStart"/>
    <w:r>
      <w:t>falls</w:t>
    </w:r>
    <w:proofErr w:type="spellEnd"/>
    <w:r>
      <w:t xml:space="preserve">: </w:t>
    </w:r>
    <w:proofErr w:type="spellStart"/>
    <w:proofErr w:type="gramStart"/>
    <w:r>
      <w:t>an</w:t>
    </w:r>
    <w:proofErr w:type="spellEnd"/>
    <w:r>
      <w:t xml:space="preserve"> </w:t>
    </w:r>
    <w:r>
      <w:t>umbrela</w:t>
    </w:r>
    <w:proofErr w:type="gramEnd"/>
    <w:r>
      <w:t xml:space="preserve"> </w:t>
    </w:r>
    <w:proofErr w:type="spellStart"/>
    <w:r>
      <w:t>review</w:t>
    </w:r>
    <w:proofErr w:type="spellEnd"/>
    <w:r>
      <w:t xml:space="preserve"> (a </w:t>
    </w:r>
    <w:proofErr w:type="spellStart"/>
    <w:r>
      <w:t>review</w:t>
    </w:r>
    <w:proofErr w:type="spellEnd"/>
    <w:r>
      <w:t xml:space="preserve"> </w:t>
    </w:r>
    <w:proofErr w:type="spellStart"/>
    <w:r>
      <w:t>of</w:t>
    </w:r>
    <w:proofErr w:type="spellEnd"/>
    <w:r>
      <w:t xml:space="preserve"> </w:t>
    </w:r>
    <w:proofErr w:type="spellStart"/>
    <w:r>
      <w:t>systematic</w:t>
    </w:r>
    <w:proofErr w:type="spellEnd"/>
    <w:r>
      <w:t xml:space="preserve"> </w:t>
    </w:r>
    <w:proofErr w:type="spellStart"/>
    <w:r>
      <w:t>reviews</w:t>
    </w:r>
    <w:proofErr w:type="spellEnd"/>
    <w:r>
      <w:t>)</w:t>
    </w:r>
  </w:p>
  <w:p w14:paraId="03CF427F" w14:textId="0F311783" w:rsidR="006A7D6F" w:rsidRDefault="006A7D6F" w:rsidP="006A7D6F">
    <w:pPr>
      <w:pStyle w:val="Piedepgina"/>
      <w:jc w:val="right"/>
    </w:pPr>
    <w:r w:rsidRPr="006A7D6F">
      <w:t>https://doi.org/10.1186/s12889-021-12169-7</w:t>
    </w:r>
  </w:p>
  <w:p w14:paraId="37443DC1" w14:textId="2BD9C98C" w:rsidR="00D20A5A" w:rsidRDefault="006A7D6F" w:rsidP="00D20A5A">
    <w:pPr>
      <w:pStyle w:val="Piedepgina"/>
      <w:jc w:val="right"/>
    </w:pPr>
    <w:r>
      <w:t>1</w:t>
    </w:r>
    <w:r w:rsidR="00D20A5A">
      <w:t>0/0</w:t>
    </w:r>
    <w:r>
      <w:t>2</w:t>
    </w:r>
    <w:r w:rsidR="00D20A5A">
      <w:t>/2025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E39DB" w14:textId="77777777" w:rsidR="00A87946" w:rsidRDefault="00A87946" w:rsidP="00F8307F">
      <w:pPr>
        <w:spacing w:after="0" w:line="240" w:lineRule="auto"/>
      </w:pPr>
      <w:r>
        <w:separator/>
      </w:r>
    </w:p>
  </w:footnote>
  <w:footnote w:type="continuationSeparator" w:id="0">
    <w:p w14:paraId="0A05AD06" w14:textId="77777777" w:rsidR="00A87946" w:rsidRDefault="00A87946" w:rsidP="00F83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865723" w14:textId="5267F67B" w:rsidR="00D20A5A" w:rsidRPr="00D20A5A" w:rsidRDefault="00D20A5A" w:rsidP="00D20A5A">
    <w:pPr>
      <w:pBdr>
        <w:top w:val="nil"/>
        <w:left w:val="nil"/>
        <w:bottom w:val="nil"/>
        <w:right w:val="nil"/>
        <w:between w:val="nil"/>
      </w:pBdr>
      <w:tabs>
        <w:tab w:val="center" w:pos="4419"/>
        <w:tab w:val="right" w:pos="8838"/>
      </w:tabs>
      <w:spacing w:after="0" w:line="240" w:lineRule="auto"/>
      <w:rPr>
        <w:rFonts w:ascii="Calibri" w:eastAsia="Calibri" w:hAnsi="Calibri" w:cs="Calibri"/>
        <w:color w:val="000000"/>
      </w:rPr>
    </w:pPr>
    <w:r>
      <w:rPr>
        <w:rFonts w:ascii="Calibri" w:eastAsia="Calibri" w:hAnsi="Calibri" w:cs="Calibri"/>
        <w:color w:val="000000"/>
      </w:rPr>
      <w:t>Jesús Javier Gortarez Pelayo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E7734"/>
    <w:multiLevelType w:val="multilevel"/>
    <w:tmpl w:val="9854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E14783"/>
    <w:multiLevelType w:val="multilevel"/>
    <w:tmpl w:val="7890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1062549">
    <w:abstractNumId w:val="1"/>
  </w:num>
  <w:num w:numId="2" w16cid:durableId="1441490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71A"/>
    <w:rsid w:val="00003E7D"/>
    <w:rsid w:val="00031B0D"/>
    <w:rsid w:val="00035AC2"/>
    <w:rsid w:val="0004276E"/>
    <w:rsid w:val="00052C9E"/>
    <w:rsid w:val="0005400E"/>
    <w:rsid w:val="00057C0B"/>
    <w:rsid w:val="000A1497"/>
    <w:rsid w:val="000A2D89"/>
    <w:rsid w:val="000B3648"/>
    <w:rsid w:val="000F39D7"/>
    <w:rsid w:val="0019222E"/>
    <w:rsid w:val="002015BA"/>
    <w:rsid w:val="00210262"/>
    <w:rsid w:val="002C0093"/>
    <w:rsid w:val="002C5009"/>
    <w:rsid w:val="00313752"/>
    <w:rsid w:val="00363409"/>
    <w:rsid w:val="003C5CCA"/>
    <w:rsid w:val="003C7382"/>
    <w:rsid w:val="00456339"/>
    <w:rsid w:val="00460C5A"/>
    <w:rsid w:val="0046135D"/>
    <w:rsid w:val="00490CE3"/>
    <w:rsid w:val="00491DBC"/>
    <w:rsid w:val="0054171A"/>
    <w:rsid w:val="00554A37"/>
    <w:rsid w:val="00576F4E"/>
    <w:rsid w:val="00582291"/>
    <w:rsid w:val="005B2DC5"/>
    <w:rsid w:val="006470BC"/>
    <w:rsid w:val="00674C21"/>
    <w:rsid w:val="006A5C08"/>
    <w:rsid w:val="006A7D6F"/>
    <w:rsid w:val="006E3760"/>
    <w:rsid w:val="00716D88"/>
    <w:rsid w:val="00730F72"/>
    <w:rsid w:val="00732BDE"/>
    <w:rsid w:val="007A15AB"/>
    <w:rsid w:val="0082662F"/>
    <w:rsid w:val="00827F37"/>
    <w:rsid w:val="00865FB3"/>
    <w:rsid w:val="00956EA8"/>
    <w:rsid w:val="009C0683"/>
    <w:rsid w:val="009E3A7C"/>
    <w:rsid w:val="00A02679"/>
    <w:rsid w:val="00A454A1"/>
    <w:rsid w:val="00A824EA"/>
    <w:rsid w:val="00A87946"/>
    <w:rsid w:val="00B14994"/>
    <w:rsid w:val="00B31215"/>
    <w:rsid w:val="00B31C9A"/>
    <w:rsid w:val="00B40247"/>
    <w:rsid w:val="00BA1091"/>
    <w:rsid w:val="00BB048D"/>
    <w:rsid w:val="00BD10A1"/>
    <w:rsid w:val="00C1055B"/>
    <w:rsid w:val="00C11F5B"/>
    <w:rsid w:val="00C26C96"/>
    <w:rsid w:val="00C45030"/>
    <w:rsid w:val="00CB705B"/>
    <w:rsid w:val="00CF7706"/>
    <w:rsid w:val="00D20A5A"/>
    <w:rsid w:val="00DC34CC"/>
    <w:rsid w:val="00EB4BE7"/>
    <w:rsid w:val="00EB7510"/>
    <w:rsid w:val="00EE48D9"/>
    <w:rsid w:val="00F06958"/>
    <w:rsid w:val="00F32297"/>
    <w:rsid w:val="00F8307F"/>
    <w:rsid w:val="00F944A0"/>
    <w:rsid w:val="00FA3529"/>
    <w:rsid w:val="00FE60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BFC15"/>
  <w15:chartTrackingRefBased/>
  <w15:docId w15:val="{1B1E951C-3282-4231-92DF-9385B2C9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17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17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17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17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17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17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17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17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17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17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17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17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17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17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17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17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17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171A"/>
    <w:rPr>
      <w:rFonts w:eastAsiaTheme="majorEastAsia" w:cstheme="majorBidi"/>
      <w:color w:val="272727" w:themeColor="text1" w:themeTint="D8"/>
    </w:rPr>
  </w:style>
  <w:style w:type="paragraph" w:styleId="Ttulo">
    <w:name w:val="Title"/>
    <w:basedOn w:val="Normal"/>
    <w:next w:val="Normal"/>
    <w:link w:val="TtuloCar"/>
    <w:uiPriority w:val="10"/>
    <w:qFormat/>
    <w:rsid w:val="005417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17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17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17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171A"/>
    <w:pPr>
      <w:spacing w:before="160"/>
      <w:jc w:val="center"/>
    </w:pPr>
    <w:rPr>
      <w:i/>
      <w:iCs/>
      <w:color w:val="404040" w:themeColor="text1" w:themeTint="BF"/>
    </w:rPr>
  </w:style>
  <w:style w:type="character" w:customStyle="1" w:styleId="CitaCar">
    <w:name w:val="Cita Car"/>
    <w:basedOn w:val="Fuentedeprrafopredeter"/>
    <w:link w:val="Cita"/>
    <w:uiPriority w:val="29"/>
    <w:rsid w:val="0054171A"/>
    <w:rPr>
      <w:i/>
      <w:iCs/>
      <w:color w:val="404040" w:themeColor="text1" w:themeTint="BF"/>
    </w:rPr>
  </w:style>
  <w:style w:type="paragraph" w:styleId="Prrafodelista">
    <w:name w:val="List Paragraph"/>
    <w:basedOn w:val="Normal"/>
    <w:uiPriority w:val="34"/>
    <w:qFormat/>
    <w:rsid w:val="0054171A"/>
    <w:pPr>
      <w:ind w:left="720"/>
      <w:contextualSpacing/>
    </w:pPr>
  </w:style>
  <w:style w:type="character" w:styleId="nfasisintenso">
    <w:name w:val="Intense Emphasis"/>
    <w:basedOn w:val="Fuentedeprrafopredeter"/>
    <w:uiPriority w:val="21"/>
    <w:qFormat/>
    <w:rsid w:val="0054171A"/>
    <w:rPr>
      <w:i/>
      <w:iCs/>
      <w:color w:val="0F4761" w:themeColor="accent1" w:themeShade="BF"/>
    </w:rPr>
  </w:style>
  <w:style w:type="paragraph" w:styleId="Citadestacada">
    <w:name w:val="Intense Quote"/>
    <w:basedOn w:val="Normal"/>
    <w:next w:val="Normal"/>
    <w:link w:val="CitadestacadaCar"/>
    <w:uiPriority w:val="30"/>
    <w:qFormat/>
    <w:rsid w:val="005417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171A"/>
    <w:rPr>
      <w:i/>
      <w:iCs/>
      <w:color w:val="0F4761" w:themeColor="accent1" w:themeShade="BF"/>
    </w:rPr>
  </w:style>
  <w:style w:type="character" w:styleId="Referenciaintensa">
    <w:name w:val="Intense Reference"/>
    <w:basedOn w:val="Fuentedeprrafopredeter"/>
    <w:uiPriority w:val="32"/>
    <w:qFormat/>
    <w:rsid w:val="0054171A"/>
    <w:rPr>
      <w:b/>
      <w:bCs/>
      <w:smallCaps/>
      <w:color w:val="0F4761" w:themeColor="accent1" w:themeShade="BF"/>
      <w:spacing w:val="5"/>
    </w:rPr>
  </w:style>
  <w:style w:type="character" w:styleId="Hipervnculo">
    <w:name w:val="Hyperlink"/>
    <w:basedOn w:val="Fuentedeprrafopredeter"/>
    <w:uiPriority w:val="99"/>
    <w:unhideWhenUsed/>
    <w:rsid w:val="00F8307F"/>
    <w:rPr>
      <w:color w:val="467886" w:themeColor="hyperlink"/>
      <w:u w:val="single"/>
    </w:rPr>
  </w:style>
  <w:style w:type="character" w:styleId="Mencinsinresolver">
    <w:name w:val="Unresolved Mention"/>
    <w:basedOn w:val="Fuentedeprrafopredeter"/>
    <w:uiPriority w:val="99"/>
    <w:semiHidden/>
    <w:unhideWhenUsed/>
    <w:rsid w:val="00F8307F"/>
    <w:rPr>
      <w:color w:val="605E5C"/>
      <w:shd w:val="clear" w:color="auto" w:fill="E1DFDD"/>
    </w:rPr>
  </w:style>
  <w:style w:type="paragraph" w:styleId="Encabezado">
    <w:name w:val="header"/>
    <w:basedOn w:val="Normal"/>
    <w:link w:val="EncabezadoCar"/>
    <w:uiPriority w:val="99"/>
    <w:unhideWhenUsed/>
    <w:rsid w:val="00F830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8307F"/>
  </w:style>
  <w:style w:type="paragraph" w:styleId="Piedepgina">
    <w:name w:val="footer"/>
    <w:basedOn w:val="Normal"/>
    <w:link w:val="PiedepginaCar"/>
    <w:uiPriority w:val="99"/>
    <w:unhideWhenUsed/>
    <w:rsid w:val="00F830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8307F"/>
  </w:style>
  <w:style w:type="character" w:styleId="Hipervnculovisitado">
    <w:name w:val="FollowedHyperlink"/>
    <w:basedOn w:val="Fuentedeprrafopredeter"/>
    <w:uiPriority w:val="99"/>
    <w:semiHidden/>
    <w:unhideWhenUsed/>
    <w:rsid w:val="00003E7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9256">
      <w:bodyDiv w:val="1"/>
      <w:marLeft w:val="0"/>
      <w:marRight w:val="0"/>
      <w:marTop w:val="0"/>
      <w:marBottom w:val="0"/>
      <w:divBdr>
        <w:top w:val="none" w:sz="0" w:space="0" w:color="auto"/>
        <w:left w:val="none" w:sz="0" w:space="0" w:color="auto"/>
        <w:bottom w:val="none" w:sz="0" w:space="0" w:color="auto"/>
        <w:right w:val="none" w:sz="0" w:space="0" w:color="auto"/>
      </w:divBdr>
    </w:div>
    <w:div w:id="32124719">
      <w:bodyDiv w:val="1"/>
      <w:marLeft w:val="0"/>
      <w:marRight w:val="0"/>
      <w:marTop w:val="0"/>
      <w:marBottom w:val="0"/>
      <w:divBdr>
        <w:top w:val="none" w:sz="0" w:space="0" w:color="auto"/>
        <w:left w:val="none" w:sz="0" w:space="0" w:color="auto"/>
        <w:bottom w:val="none" w:sz="0" w:space="0" w:color="auto"/>
        <w:right w:val="none" w:sz="0" w:space="0" w:color="auto"/>
      </w:divBdr>
    </w:div>
    <w:div w:id="37096894">
      <w:bodyDiv w:val="1"/>
      <w:marLeft w:val="0"/>
      <w:marRight w:val="0"/>
      <w:marTop w:val="0"/>
      <w:marBottom w:val="0"/>
      <w:divBdr>
        <w:top w:val="none" w:sz="0" w:space="0" w:color="auto"/>
        <w:left w:val="none" w:sz="0" w:space="0" w:color="auto"/>
        <w:bottom w:val="none" w:sz="0" w:space="0" w:color="auto"/>
        <w:right w:val="none" w:sz="0" w:space="0" w:color="auto"/>
      </w:divBdr>
    </w:div>
    <w:div w:id="346948534">
      <w:bodyDiv w:val="1"/>
      <w:marLeft w:val="0"/>
      <w:marRight w:val="0"/>
      <w:marTop w:val="0"/>
      <w:marBottom w:val="0"/>
      <w:divBdr>
        <w:top w:val="none" w:sz="0" w:space="0" w:color="auto"/>
        <w:left w:val="none" w:sz="0" w:space="0" w:color="auto"/>
        <w:bottom w:val="none" w:sz="0" w:space="0" w:color="auto"/>
        <w:right w:val="none" w:sz="0" w:space="0" w:color="auto"/>
      </w:divBdr>
    </w:div>
    <w:div w:id="454447939">
      <w:bodyDiv w:val="1"/>
      <w:marLeft w:val="0"/>
      <w:marRight w:val="0"/>
      <w:marTop w:val="0"/>
      <w:marBottom w:val="0"/>
      <w:divBdr>
        <w:top w:val="none" w:sz="0" w:space="0" w:color="auto"/>
        <w:left w:val="none" w:sz="0" w:space="0" w:color="auto"/>
        <w:bottom w:val="none" w:sz="0" w:space="0" w:color="auto"/>
        <w:right w:val="none" w:sz="0" w:space="0" w:color="auto"/>
      </w:divBdr>
    </w:div>
    <w:div w:id="482628628">
      <w:bodyDiv w:val="1"/>
      <w:marLeft w:val="0"/>
      <w:marRight w:val="0"/>
      <w:marTop w:val="0"/>
      <w:marBottom w:val="0"/>
      <w:divBdr>
        <w:top w:val="none" w:sz="0" w:space="0" w:color="auto"/>
        <w:left w:val="none" w:sz="0" w:space="0" w:color="auto"/>
        <w:bottom w:val="none" w:sz="0" w:space="0" w:color="auto"/>
        <w:right w:val="none" w:sz="0" w:space="0" w:color="auto"/>
      </w:divBdr>
    </w:div>
    <w:div w:id="533688753">
      <w:bodyDiv w:val="1"/>
      <w:marLeft w:val="0"/>
      <w:marRight w:val="0"/>
      <w:marTop w:val="0"/>
      <w:marBottom w:val="0"/>
      <w:divBdr>
        <w:top w:val="none" w:sz="0" w:space="0" w:color="auto"/>
        <w:left w:val="none" w:sz="0" w:space="0" w:color="auto"/>
        <w:bottom w:val="none" w:sz="0" w:space="0" w:color="auto"/>
        <w:right w:val="none" w:sz="0" w:space="0" w:color="auto"/>
      </w:divBdr>
    </w:div>
    <w:div w:id="535385092">
      <w:bodyDiv w:val="1"/>
      <w:marLeft w:val="0"/>
      <w:marRight w:val="0"/>
      <w:marTop w:val="0"/>
      <w:marBottom w:val="0"/>
      <w:divBdr>
        <w:top w:val="none" w:sz="0" w:space="0" w:color="auto"/>
        <w:left w:val="none" w:sz="0" w:space="0" w:color="auto"/>
        <w:bottom w:val="none" w:sz="0" w:space="0" w:color="auto"/>
        <w:right w:val="none" w:sz="0" w:space="0" w:color="auto"/>
      </w:divBdr>
    </w:div>
    <w:div w:id="576599035">
      <w:bodyDiv w:val="1"/>
      <w:marLeft w:val="0"/>
      <w:marRight w:val="0"/>
      <w:marTop w:val="0"/>
      <w:marBottom w:val="0"/>
      <w:divBdr>
        <w:top w:val="none" w:sz="0" w:space="0" w:color="auto"/>
        <w:left w:val="none" w:sz="0" w:space="0" w:color="auto"/>
        <w:bottom w:val="none" w:sz="0" w:space="0" w:color="auto"/>
        <w:right w:val="none" w:sz="0" w:space="0" w:color="auto"/>
      </w:divBdr>
    </w:div>
    <w:div w:id="793869213">
      <w:bodyDiv w:val="1"/>
      <w:marLeft w:val="0"/>
      <w:marRight w:val="0"/>
      <w:marTop w:val="0"/>
      <w:marBottom w:val="0"/>
      <w:divBdr>
        <w:top w:val="none" w:sz="0" w:space="0" w:color="auto"/>
        <w:left w:val="none" w:sz="0" w:space="0" w:color="auto"/>
        <w:bottom w:val="none" w:sz="0" w:space="0" w:color="auto"/>
        <w:right w:val="none" w:sz="0" w:space="0" w:color="auto"/>
      </w:divBdr>
    </w:div>
    <w:div w:id="909539274">
      <w:bodyDiv w:val="1"/>
      <w:marLeft w:val="0"/>
      <w:marRight w:val="0"/>
      <w:marTop w:val="0"/>
      <w:marBottom w:val="0"/>
      <w:divBdr>
        <w:top w:val="none" w:sz="0" w:space="0" w:color="auto"/>
        <w:left w:val="none" w:sz="0" w:space="0" w:color="auto"/>
        <w:bottom w:val="none" w:sz="0" w:space="0" w:color="auto"/>
        <w:right w:val="none" w:sz="0" w:space="0" w:color="auto"/>
      </w:divBdr>
    </w:div>
    <w:div w:id="1020276774">
      <w:bodyDiv w:val="1"/>
      <w:marLeft w:val="0"/>
      <w:marRight w:val="0"/>
      <w:marTop w:val="0"/>
      <w:marBottom w:val="0"/>
      <w:divBdr>
        <w:top w:val="none" w:sz="0" w:space="0" w:color="auto"/>
        <w:left w:val="none" w:sz="0" w:space="0" w:color="auto"/>
        <w:bottom w:val="none" w:sz="0" w:space="0" w:color="auto"/>
        <w:right w:val="none" w:sz="0" w:space="0" w:color="auto"/>
      </w:divBdr>
    </w:div>
    <w:div w:id="1040132701">
      <w:bodyDiv w:val="1"/>
      <w:marLeft w:val="0"/>
      <w:marRight w:val="0"/>
      <w:marTop w:val="0"/>
      <w:marBottom w:val="0"/>
      <w:divBdr>
        <w:top w:val="none" w:sz="0" w:space="0" w:color="auto"/>
        <w:left w:val="none" w:sz="0" w:space="0" w:color="auto"/>
        <w:bottom w:val="none" w:sz="0" w:space="0" w:color="auto"/>
        <w:right w:val="none" w:sz="0" w:space="0" w:color="auto"/>
      </w:divBdr>
    </w:div>
    <w:div w:id="1195189635">
      <w:bodyDiv w:val="1"/>
      <w:marLeft w:val="0"/>
      <w:marRight w:val="0"/>
      <w:marTop w:val="0"/>
      <w:marBottom w:val="0"/>
      <w:divBdr>
        <w:top w:val="none" w:sz="0" w:space="0" w:color="auto"/>
        <w:left w:val="none" w:sz="0" w:space="0" w:color="auto"/>
        <w:bottom w:val="none" w:sz="0" w:space="0" w:color="auto"/>
        <w:right w:val="none" w:sz="0" w:space="0" w:color="auto"/>
      </w:divBdr>
    </w:div>
    <w:div w:id="1503396531">
      <w:bodyDiv w:val="1"/>
      <w:marLeft w:val="0"/>
      <w:marRight w:val="0"/>
      <w:marTop w:val="0"/>
      <w:marBottom w:val="0"/>
      <w:divBdr>
        <w:top w:val="none" w:sz="0" w:space="0" w:color="auto"/>
        <w:left w:val="none" w:sz="0" w:space="0" w:color="auto"/>
        <w:bottom w:val="none" w:sz="0" w:space="0" w:color="auto"/>
        <w:right w:val="none" w:sz="0" w:space="0" w:color="auto"/>
      </w:divBdr>
    </w:div>
    <w:div w:id="1535115618">
      <w:bodyDiv w:val="1"/>
      <w:marLeft w:val="0"/>
      <w:marRight w:val="0"/>
      <w:marTop w:val="0"/>
      <w:marBottom w:val="0"/>
      <w:divBdr>
        <w:top w:val="none" w:sz="0" w:space="0" w:color="auto"/>
        <w:left w:val="none" w:sz="0" w:space="0" w:color="auto"/>
        <w:bottom w:val="none" w:sz="0" w:space="0" w:color="auto"/>
        <w:right w:val="none" w:sz="0" w:space="0" w:color="auto"/>
      </w:divBdr>
    </w:div>
    <w:div w:id="1580481722">
      <w:bodyDiv w:val="1"/>
      <w:marLeft w:val="0"/>
      <w:marRight w:val="0"/>
      <w:marTop w:val="0"/>
      <w:marBottom w:val="0"/>
      <w:divBdr>
        <w:top w:val="none" w:sz="0" w:space="0" w:color="auto"/>
        <w:left w:val="none" w:sz="0" w:space="0" w:color="auto"/>
        <w:bottom w:val="none" w:sz="0" w:space="0" w:color="auto"/>
        <w:right w:val="none" w:sz="0" w:space="0" w:color="auto"/>
      </w:divBdr>
    </w:div>
    <w:div w:id="1624581212">
      <w:bodyDiv w:val="1"/>
      <w:marLeft w:val="0"/>
      <w:marRight w:val="0"/>
      <w:marTop w:val="0"/>
      <w:marBottom w:val="0"/>
      <w:divBdr>
        <w:top w:val="none" w:sz="0" w:space="0" w:color="auto"/>
        <w:left w:val="none" w:sz="0" w:space="0" w:color="auto"/>
        <w:bottom w:val="none" w:sz="0" w:space="0" w:color="auto"/>
        <w:right w:val="none" w:sz="0" w:space="0" w:color="auto"/>
      </w:divBdr>
    </w:div>
    <w:div w:id="1903905943">
      <w:bodyDiv w:val="1"/>
      <w:marLeft w:val="0"/>
      <w:marRight w:val="0"/>
      <w:marTop w:val="0"/>
      <w:marBottom w:val="0"/>
      <w:divBdr>
        <w:top w:val="none" w:sz="0" w:space="0" w:color="auto"/>
        <w:left w:val="none" w:sz="0" w:space="0" w:color="auto"/>
        <w:bottom w:val="none" w:sz="0" w:space="0" w:color="auto"/>
        <w:right w:val="none" w:sz="0" w:space="0" w:color="auto"/>
      </w:divBdr>
    </w:div>
    <w:div w:id="2030983310">
      <w:bodyDiv w:val="1"/>
      <w:marLeft w:val="0"/>
      <w:marRight w:val="0"/>
      <w:marTop w:val="0"/>
      <w:marBottom w:val="0"/>
      <w:divBdr>
        <w:top w:val="none" w:sz="0" w:space="0" w:color="auto"/>
        <w:left w:val="none" w:sz="0" w:space="0" w:color="auto"/>
        <w:bottom w:val="none" w:sz="0" w:space="0" w:color="auto"/>
        <w:right w:val="none" w:sz="0" w:space="0" w:color="auto"/>
      </w:divBdr>
    </w:div>
    <w:div w:id="204023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cts.12884" TargetMode="External"/><Relationship Id="rId3" Type="http://schemas.openxmlformats.org/officeDocument/2006/relationships/settings" Target="settings.xml"/><Relationship Id="rId7" Type="http://schemas.openxmlformats.org/officeDocument/2006/relationships/hyperlink" Target="https://www.cogentinfo.com/resources/revolutionizing-retail-inventory-management-with-computer-vis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2896</TotalTime>
  <Pages>3</Pages>
  <Words>1090</Words>
  <Characters>5998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Gortarez</dc:creator>
  <cp:keywords/>
  <dc:description/>
  <cp:lastModifiedBy>Javier Pelayo</cp:lastModifiedBy>
  <cp:revision>4</cp:revision>
  <dcterms:created xsi:type="dcterms:W3CDTF">2025-02-04T05:14:00Z</dcterms:created>
  <dcterms:modified xsi:type="dcterms:W3CDTF">2025-02-07T23:25:00Z</dcterms:modified>
</cp:coreProperties>
</file>