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32494" w:rsidRDefault="00000000">
      <w:pPr>
        <w:jc w:val="center"/>
        <w:rPr>
          <w:rFonts w:ascii="Book Antiqua" w:eastAsia="Book Antiqua" w:hAnsi="Book Antiqua" w:cs="Book Antiqua"/>
          <w:b/>
          <w:sz w:val="32"/>
          <w:szCs w:val="32"/>
        </w:rPr>
      </w:pPr>
      <w:r>
        <w:rPr>
          <w:rFonts w:ascii="Book Antiqua" w:eastAsia="Book Antiqua" w:hAnsi="Book Antiqua" w:cs="Book Antiqua"/>
          <w:b/>
          <w:sz w:val="32"/>
          <w:szCs w:val="32"/>
        </w:rPr>
        <w:t xml:space="preserve">Semana 6: Lectura sobre </w:t>
      </w:r>
      <w:proofErr w:type="spellStart"/>
      <w:r>
        <w:rPr>
          <w:rFonts w:ascii="Book Antiqua" w:eastAsia="Book Antiqua" w:hAnsi="Book Antiqua" w:cs="Book Antiqua"/>
          <w:b/>
          <w:sz w:val="32"/>
          <w:szCs w:val="32"/>
        </w:rPr>
        <w:t>Sensado</w:t>
      </w:r>
      <w:proofErr w:type="spellEnd"/>
      <w:r>
        <w:rPr>
          <w:rFonts w:ascii="Book Antiqua" w:eastAsia="Book Antiqua" w:hAnsi="Book Antiqua" w:cs="Book Antiqua"/>
          <w:b/>
          <w:sz w:val="32"/>
          <w:szCs w:val="32"/>
        </w:rPr>
        <w:t xml:space="preserve"> Fisiológico</w:t>
      </w:r>
    </w:p>
    <w:p w14:paraId="00000002" w14:textId="77777777" w:rsidR="00332494" w:rsidRPr="00F629A7" w:rsidRDefault="00000000">
      <w:pPr>
        <w:spacing w:before="240" w:after="240"/>
        <w:jc w:val="both"/>
        <w:rPr>
          <w:rFonts w:ascii="Book Antiqua" w:eastAsia="Book Antiqua" w:hAnsi="Book Antiqua" w:cs="Book Antiqua"/>
          <w:sz w:val="22"/>
          <w:szCs w:val="22"/>
        </w:rPr>
      </w:pPr>
      <w:r w:rsidRPr="00F629A7">
        <w:rPr>
          <w:rFonts w:ascii="Book Antiqua" w:eastAsia="Book Antiqua" w:hAnsi="Book Antiqua" w:cs="Book Antiqua"/>
          <w:sz w:val="22"/>
          <w:szCs w:val="22"/>
        </w:rPr>
        <w:t xml:space="preserve">El artículo sobre sensores </w:t>
      </w:r>
      <w:proofErr w:type="gramStart"/>
      <w:r w:rsidRPr="00F629A7">
        <w:rPr>
          <w:rFonts w:ascii="Book Antiqua" w:eastAsia="Book Antiqua" w:hAnsi="Book Antiqua" w:cs="Book Antiqua"/>
          <w:sz w:val="22"/>
          <w:szCs w:val="22"/>
        </w:rPr>
        <w:t>wearables</w:t>
      </w:r>
      <w:proofErr w:type="gramEnd"/>
      <w:r w:rsidRPr="00F629A7">
        <w:rPr>
          <w:rFonts w:ascii="Book Antiqua" w:eastAsia="Book Antiqua" w:hAnsi="Book Antiqua" w:cs="Book Antiqua"/>
          <w:sz w:val="22"/>
          <w:szCs w:val="22"/>
        </w:rPr>
        <w:t xml:space="preserve"> para la monitorización fisiológica resalta su impacto en la salud preventiva, destacando su evolución desde herramientas básicas de seguimiento de actividad física hasta sistemas avanzados que integran sensores bioquímicos y multimodales no invasivos. Tecnologías como parches cutáneos, lentes de contacto inteligentes y ropa con sensores embebidos permiten la monitorización continua de parámetros como la frecuencia cardíaca, la temperatura corporal y los niveles de glucosa en sangre. Esta capacidad no solo facilita la detección temprana de enfermedades crónicas, como diabetes y afecciones cardiovasculares, sino que también redefine el enfoque de la medicina preventiva al ofrecer datos en tiempo real.</w:t>
      </w:r>
    </w:p>
    <w:p w14:paraId="00000003" w14:textId="77777777" w:rsidR="00332494" w:rsidRPr="00F629A7" w:rsidRDefault="00000000">
      <w:pPr>
        <w:spacing w:before="240" w:after="240"/>
        <w:jc w:val="both"/>
        <w:rPr>
          <w:rFonts w:ascii="Book Antiqua" w:eastAsia="Book Antiqua" w:hAnsi="Book Antiqua" w:cs="Book Antiqua"/>
          <w:sz w:val="22"/>
          <w:szCs w:val="22"/>
        </w:rPr>
      </w:pPr>
      <w:r w:rsidRPr="00F629A7">
        <w:rPr>
          <w:rFonts w:ascii="Book Antiqua" w:eastAsia="Book Antiqua" w:hAnsi="Book Antiqua" w:cs="Book Antiqua"/>
          <w:sz w:val="22"/>
          <w:szCs w:val="22"/>
        </w:rPr>
        <w:t xml:space="preserve">El análisis del artículo profundiza en los principios tecnológicos que sustentan estos dispositivos, desde mecanismos </w:t>
      </w:r>
      <w:proofErr w:type="spellStart"/>
      <w:r w:rsidRPr="00F629A7">
        <w:rPr>
          <w:rFonts w:ascii="Book Antiqua" w:eastAsia="Book Antiqua" w:hAnsi="Book Antiqua" w:cs="Book Antiqua"/>
          <w:sz w:val="22"/>
          <w:szCs w:val="22"/>
        </w:rPr>
        <w:t>piezo</w:t>
      </w:r>
      <w:proofErr w:type="spellEnd"/>
      <w:r w:rsidRPr="00F629A7">
        <w:rPr>
          <w:rFonts w:ascii="Book Antiqua" w:eastAsia="Book Antiqua" w:hAnsi="Book Antiqua" w:cs="Book Antiqua"/>
          <w:sz w:val="22"/>
          <w:szCs w:val="22"/>
        </w:rPr>
        <w:t xml:space="preserve">-resistivos (sensores cuya resistencia eléctrica varía con la presión) y triboeléctricos (tecnologías que generan carga eléctrica mediante fricción) hasta sensores electroquímicos. Además, aborda el uso de materiales innovadores como polímeros, metales líquidos y </w:t>
      </w:r>
      <w:proofErr w:type="spellStart"/>
      <w:r w:rsidRPr="00F629A7">
        <w:rPr>
          <w:rFonts w:ascii="Book Antiqua" w:eastAsia="Book Antiqua" w:hAnsi="Book Antiqua" w:cs="Book Antiqua"/>
          <w:sz w:val="22"/>
          <w:szCs w:val="22"/>
        </w:rPr>
        <w:t>MXenes</w:t>
      </w:r>
      <w:proofErr w:type="spellEnd"/>
      <w:r w:rsidRPr="00F629A7">
        <w:rPr>
          <w:rFonts w:ascii="Book Antiqua" w:eastAsia="Book Antiqua" w:hAnsi="Book Antiqua" w:cs="Book Antiqua"/>
          <w:sz w:val="22"/>
          <w:szCs w:val="22"/>
        </w:rPr>
        <w:t xml:space="preserve"> (una familia de materiales bidimensionales con alta conductividad y propiedades únicas de adsorción), cuya flexibilidad y eficiencia los hacen prometedores en aplicaciones médicas. No obstante, se mencionan desafíos clave, como la biocompatibilidad (capacidad de un material para interactuar con el cuerpo sin provocar efectos adversos) y la protección de los datos generados, aspectos cruciales para su adopción masiva.</w:t>
      </w:r>
    </w:p>
    <w:p w14:paraId="00000004" w14:textId="77777777" w:rsidR="00332494" w:rsidRPr="00F629A7" w:rsidRDefault="00000000">
      <w:pPr>
        <w:spacing w:before="240" w:after="240"/>
        <w:jc w:val="both"/>
        <w:rPr>
          <w:rFonts w:ascii="Book Antiqua" w:eastAsia="Book Antiqua" w:hAnsi="Book Antiqua" w:cs="Book Antiqua"/>
          <w:sz w:val="22"/>
          <w:szCs w:val="22"/>
        </w:rPr>
      </w:pPr>
      <w:r w:rsidRPr="00F629A7">
        <w:rPr>
          <w:rFonts w:ascii="Book Antiqua" w:eastAsia="Book Antiqua" w:hAnsi="Book Antiqua" w:cs="Book Antiqua"/>
          <w:sz w:val="22"/>
          <w:szCs w:val="22"/>
        </w:rPr>
        <w:t xml:space="preserve">La revisión, basada en estudios clínicos, prototipos experimentales y análisis de mercado, subraya logros significativos en áreas específicas. Por ejemplo, en la monitorización cardiovascular, se han desarrollado sensores de presión arterial que combinan piezoelectricidad y bioimpedancia, mientras </w:t>
      </w:r>
      <w:proofErr w:type="gramStart"/>
      <w:r w:rsidRPr="00F629A7">
        <w:rPr>
          <w:rFonts w:ascii="Book Antiqua" w:eastAsia="Book Antiqua" w:hAnsi="Book Antiqua" w:cs="Book Antiqua"/>
          <w:sz w:val="22"/>
          <w:szCs w:val="22"/>
        </w:rPr>
        <w:t>que</w:t>
      </w:r>
      <w:proofErr w:type="gramEnd"/>
      <w:r w:rsidRPr="00F629A7">
        <w:rPr>
          <w:rFonts w:ascii="Book Antiqua" w:eastAsia="Book Antiqua" w:hAnsi="Book Antiqua" w:cs="Book Antiqua"/>
          <w:sz w:val="22"/>
          <w:szCs w:val="22"/>
        </w:rPr>
        <w:t xml:space="preserve"> en el monitoreo de la glucosa, sistemas no invasivos basados en electromagnetismo y lentes de contacto inteligentes han demostrado precisión comparable a métodos tradicionales. Sin embargo, persisten limitaciones técnicas, como la autonomía energética reducida en dispositivos de uso continuo y los riesgos asociados a la privacidad de los datos, que requieren soluciones estandarizadas para garantizar su implementación segura en entornos médicos.</w:t>
      </w:r>
    </w:p>
    <w:p w14:paraId="00000005" w14:textId="77777777" w:rsidR="00332494" w:rsidRPr="00F629A7" w:rsidRDefault="00000000">
      <w:pPr>
        <w:spacing w:before="240" w:after="240"/>
        <w:jc w:val="both"/>
        <w:rPr>
          <w:rFonts w:ascii="Book Antiqua" w:eastAsia="Book Antiqua" w:hAnsi="Book Antiqua" w:cs="Book Antiqua"/>
          <w:sz w:val="22"/>
          <w:szCs w:val="22"/>
        </w:rPr>
      </w:pPr>
      <w:r w:rsidRPr="00F629A7">
        <w:rPr>
          <w:rFonts w:ascii="Book Antiqua" w:eastAsia="Book Antiqua" w:hAnsi="Book Antiqua" w:cs="Book Antiqua"/>
          <w:sz w:val="22"/>
          <w:szCs w:val="22"/>
        </w:rPr>
        <w:t xml:space="preserve">Aunque los </w:t>
      </w:r>
      <w:proofErr w:type="gramStart"/>
      <w:r w:rsidRPr="00F629A7">
        <w:rPr>
          <w:rFonts w:ascii="Book Antiqua" w:eastAsia="Book Antiqua" w:hAnsi="Book Antiqua" w:cs="Book Antiqua"/>
          <w:sz w:val="22"/>
          <w:szCs w:val="22"/>
        </w:rPr>
        <w:t>wearables</w:t>
      </w:r>
      <w:proofErr w:type="gramEnd"/>
      <w:r w:rsidRPr="00F629A7">
        <w:rPr>
          <w:rFonts w:ascii="Book Antiqua" w:eastAsia="Book Antiqua" w:hAnsi="Book Antiqua" w:cs="Book Antiqua"/>
          <w:sz w:val="22"/>
          <w:szCs w:val="22"/>
        </w:rPr>
        <w:t xml:space="preserve"> flexibles tienen el potencial de reemplazar técnicas invasivas, su escalabilidad industrial enfrenta obstáculos, especialmente en la producción de materiales avanzados como </w:t>
      </w:r>
      <w:proofErr w:type="spellStart"/>
      <w:r w:rsidRPr="00F629A7">
        <w:rPr>
          <w:rFonts w:ascii="Book Antiqua" w:eastAsia="Book Antiqua" w:hAnsi="Book Antiqua" w:cs="Book Antiqua"/>
          <w:sz w:val="22"/>
          <w:szCs w:val="22"/>
        </w:rPr>
        <w:t>MXenes</w:t>
      </w:r>
      <w:proofErr w:type="spellEnd"/>
      <w:r w:rsidRPr="00F629A7">
        <w:rPr>
          <w:rFonts w:ascii="Book Antiqua" w:eastAsia="Book Antiqua" w:hAnsi="Book Antiqua" w:cs="Book Antiqua"/>
          <w:sz w:val="22"/>
          <w:szCs w:val="22"/>
        </w:rPr>
        <w:t xml:space="preserve"> y aleaciones de galio-indio (</w:t>
      </w:r>
      <w:proofErr w:type="spellStart"/>
      <w:r w:rsidRPr="00F629A7">
        <w:rPr>
          <w:rFonts w:ascii="Book Antiqua" w:eastAsia="Book Antiqua" w:hAnsi="Book Antiqua" w:cs="Book Antiqua"/>
          <w:sz w:val="22"/>
          <w:szCs w:val="22"/>
        </w:rPr>
        <w:t>EGaIn</w:t>
      </w:r>
      <w:proofErr w:type="spellEnd"/>
      <w:r w:rsidRPr="00F629A7">
        <w:rPr>
          <w:rFonts w:ascii="Book Antiqua" w:eastAsia="Book Antiqua" w:hAnsi="Book Antiqua" w:cs="Book Antiqua"/>
          <w:sz w:val="22"/>
          <w:szCs w:val="22"/>
        </w:rPr>
        <w:t>). La integración con inteligencia artificial surge como un factor clave para mejorar la precisión diagnóstica, aunque esto implica un alto consumo de recursos computacionales. Estas innovaciones abren camino hacia una medicina personalizada, donde el ajuste dinámico de tratamientos basado en datos continuos podría optimizar resultados clínicos y reducir costos mediante el monitoreo remoto, algo vital para enfermedades crónicas.</w:t>
      </w:r>
    </w:p>
    <w:p w14:paraId="00000006" w14:textId="77777777" w:rsidR="00332494" w:rsidRPr="00F629A7" w:rsidRDefault="00000000">
      <w:pPr>
        <w:spacing w:before="240" w:after="240"/>
        <w:jc w:val="both"/>
        <w:rPr>
          <w:rFonts w:ascii="Book Antiqua" w:eastAsia="Book Antiqua" w:hAnsi="Book Antiqua" w:cs="Book Antiqua"/>
          <w:sz w:val="22"/>
          <w:szCs w:val="22"/>
        </w:rPr>
      </w:pPr>
      <w:r w:rsidRPr="00F629A7">
        <w:rPr>
          <w:rFonts w:ascii="Book Antiqua" w:eastAsia="Book Antiqua" w:hAnsi="Book Antiqua" w:cs="Book Antiqua"/>
          <w:sz w:val="22"/>
          <w:szCs w:val="22"/>
        </w:rPr>
        <w:lastRenderedPageBreak/>
        <w:t xml:space="preserve">Las proyecciones de mercado anticipan un crecimiento acelerado de estos dispositivos, impulsado por avances en materiales y conectividad inalámbrica. No obstante, su éxito dependerá de abordar desafíos técnicos y regulatorios, como la optimización de la duración de las baterías y la creación de protocolos universales de seguridad de datos. Finalmente, se destaca la necesidad de colaboración multidisciplinaria entre ingenieros, médicos y expertos en inteligencia artificial para validar clínicamente estas soluciones, asegurando que sean no solo efectivas, sino también accesibles y seguras para poblaciones diversas, un paso esencial hacia la integración plena de los </w:t>
      </w:r>
      <w:proofErr w:type="gramStart"/>
      <w:r w:rsidRPr="00F629A7">
        <w:rPr>
          <w:rFonts w:ascii="Book Antiqua" w:eastAsia="Book Antiqua" w:hAnsi="Book Antiqua" w:cs="Book Antiqua"/>
          <w:sz w:val="22"/>
          <w:szCs w:val="22"/>
        </w:rPr>
        <w:t>wearables</w:t>
      </w:r>
      <w:proofErr w:type="gramEnd"/>
      <w:r w:rsidRPr="00F629A7">
        <w:rPr>
          <w:rFonts w:ascii="Book Antiqua" w:eastAsia="Book Antiqua" w:hAnsi="Book Antiqua" w:cs="Book Antiqua"/>
          <w:sz w:val="22"/>
          <w:szCs w:val="22"/>
        </w:rPr>
        <w:t xml:space="preserve"> en los sistemas de salud globales.</w:t>
      </w:r>
    </w:p>
    <w:p w14:paraId="00000007" w14:textId="77777777" w:rsidR="00332494" w:rsidRDefault="00332494">
      <w:pPr>
        <w:jc w:val="center"/>
        <w:rPr>
          <w:rFonts w:ascii="Book Antiqua" w:eastAsia="Book Antiqua" w:hAnsi="Book Antiqua" w:cs="Book Antiqua"/>
          <w:b/>
          <w:sz w:val="32"/>
          <w:szCs w:val="32"/>
        </w:rPr>
      </w:pPr>
    </w:p>
    <w:sectPr w:rsidR="00332494">
      <w:headerReference w:type="default" r:id="rId7"/>
      <w:footerReference w:type="default" r:id="rId8"/>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20F98" w14:textId="77777777" w:rsidR="006B178B" w:rsidRDefault="006B178B">
      <w:pPr>
        <w:spacing w:after="0" w:line="240" w:lineRule="auto"/>
      </w:pPr>
      <w:r>
        <w:separator/>
      </w:r>
    </w:p>
  </w:endnote>
  <w:endnote w:type="continuationSeparator" w:id="0">
    <w:p w14:paraId="6868D068" w14:textId="77777777" w:rsidR="006B178B" w:rsidRDefault="006B17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D87660F3-B2AB-4601-9D54-54B7AAA1FDA8}"/>
    <w:embedItalic r:id="rId2" w:fontKey="{2E7C63E9-4718-455C-897C-45376BCE623A}"/>
  </w:font>
  <w:font w:name="Aptos Display">
    <w:charset w:val="00"/>
    <w:family w:val="swiss"/>
    <w:pitch w:val="variable"/>
    <w:sig w:usb0="20000287" w:usb1="00000003" w:usb2="00000000" w:usb3="00000000" w:csb0="0000019F" w:csb1="00000000"/>
    <w:embedRegular r:id="rId3" w:fontKey="{2A6F6676-2870-46CF-9AF4-8B19A5C2181C}"/>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embedRegular r:id="rId4" w:fontKey="{E83329C9-24F7-45BA-BE46-BA2D7F32DB40}"/>
    <w:embedBold r:id="rId5" w:fontKey="{93DD8AF5-37D8-4BA2-86ED-89F270832D80}"/>
  </w:font>
  <w:font w:name="Calibri">
    <w:panose1 w:val="020F0502020204030204"/>
    <w:charset w:val="00"/>
    <w:family w:val="swiss"/>
    <w:pitch w:val="variable"/>
    <w:sig w:usb0="E4002EFF" w:usb1="C200247B" w:usb2="00000009" w:usb3="00000000" w:csb0="000001FF" w:csb1="00000000"/>
    <w:embedRegular r:id="rId6" w:fontKey="{718DE70E-D362-4495-890C-3DCCBA9621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9" w14:textId="77777777" w:rsidR="00332494" w:rsidRDefault="00000000">
    <w:pPr>
      <w:pBdr>
        <w:top w:val="nil"/>
        <w:left w:val="nil"/>
        <w:bottom w:val="nil"/>
        <w:right w:val="nil"/>
        <w:between w:val="nil"/>
      </w:pBdr>
      <w:tabs>
        <w:tab w:val="center" w:pos="4419"/>
        <w:tab w:val="right" w:pos="8838"/>
      </w:tabs>
      <w:spacing w:after="0" w:line="240" w:lineRule="auto"/>
      <w:jc w:val="right"/>
      <w:rPr>
        <w:color w:val="000000"/>
      </w:rPr>
    </w:pPr>
    <w:r>
      <w:rPr>
        <w:color w:val="000000"/>
      </w:rPr>
      <w:t>https://doi.org/10.1016/j.sna.2023.114993</w:t>
    </w:r>
  </w:p>
  <w:p w14:paraId="0000000A" w14:textId="77777777" w:rsidR="00332494" w:rsidRDefault="00000000">
    <w:pPr>
      <w:pBdr>
        <w:top w:val="nil"/>
        <w:left w:val="nil"/>
        <w:bottom w:val="nil"/>
        <w:right w:val="nil"/>
        <w:between w:val="nil"/>
      </w:pBdr>
      <w:tabs>
        <w:tab w:val="center" w:pos="4419"/>
        <w:tab w:val="right" w:pos="8838"/>
      </w:tabs>
      <w:spacing w:after="0" w:line="240" w:lineRule="auto"/>
      <w:jc w:val="right"/>
      <w:rPr>
        <w:color w:val="000000"/>
      </w:rPr>
    </w:pPr>
    <w:r>
      <w:rPr>
        <w:color w:val="000000"/>
      </w:rPr>
      <w:t>18/02/2025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C35B5" w14:textId="77777777" w:rsidR="006B178B" w:rsidRDefault="006B178B">
      <w:pPr>
        <w:spacing w:after="0" w:line="240" w:lineRule="auto"/>
      </w:pPr>
      <w:r>
        <w:separator/>
      </w:r>
    </w:p>
  </w:footnote>
  <w:footnote w:type="continuationSeparator" w:id="0">
    <w:p w14:paraId="681D771A" w14:textId="77777777" w:rsidR="006B178B" w:rsidRDefault="006B17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8" w14:textId="77777777" w:rsidR="00332494" w:rsidRDefault="00000000">
    <w:pPr>
      <w:pBdr>
        <w:top w:val="nil"/>
        <w:left w:val="nil"/>
        <w:bottom w:val="nil"/>
        <w:right w:val="nil"/>
        <w:between w:val="nil"/>
      </w:pBdr>
      <w:tabs>
        <w:tab w:val="center" w:pos="4419"/>
        <w:tab w:val="right" w:pos="8838"/>
      </w:tabs>
      <w:spacing w:after="0" w:line="240" w:lineRule="auto"/>
      <w:rPr>
        <w:rFonts w:ascii="Calibri" w:eastAsia="Calibri" w:hAnsi="Calibri" w:cs="Calibri"/>
        <w:color w:val="000000"/>
      </w:rPr>
    </w:pPr>
    <w:r>
      <w:rPr>
        <w:rFonts w:ascii="Calibri" w:eastAsia="Calibri" w:hAnsi="Calibri" w:cs="Calibri"/>
        <w:color w:val="000000"/>
      </w:rPr>
      <w:t xml:space="preserve">Jesús Javier </w:t>
    </w:r>
    <w:proofErr w:type="spellStart"/>
    <w:r>
      <w:rPr>
        <w:rFonts w:ascii="Calibri" w:eastAsia="Calibri" w:hAnsi="Calibri" w:cs="Calibri"/>
        <w:color w:val="000000"/>
      </w:rPr>
      <w:t>Gortarez</w:t>
    </w:r>
    <w:proofErr w:type="spellEnd"/>
    <w:r>
      <w:rPr>
        <w:rFonts w:ascii="Calibri" w:eastAsia="Calibri" w:hAnsi="Calibri" w:cs="Calibri"/>
        <w:color w:val="000000"/>
      </w:rPr>
      <w:t xml:space="preserve"> Pelayo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494"/>
    <w:rsid w:val="00332494"/>
    <w:rsid w:val="006B178B"/>
    <w:rsid w:val="00B0682D"/>
    <w:rsid w:val="00F629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A38C868-21EA-4C9E-8E0D-941A5A6EB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MX" w:eastAsia="es-MX"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417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417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4171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4171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4171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417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17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17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171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541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54171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4171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4171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4171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4171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4171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171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171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171A"/>
    <w:rPr>
      <w:rFonts w:eastAsiaTheme="majorEastAsia" w:cstheme="majorBidi"/>
      <w:color w:val="272727" w:themeColor="text1" w:themeTint="D8"/>
    </w:rPr>
  </w:style>
  <w:style w:type="character" w:customStyle="1" w:styleId="TtuloCar">
    <w:name w:val="Título Car"/>
    <w:basedOn w:val="Fuentedeprrafopredeter"/>
    <w:link w:val="Ttulo"/>
    <w:uiPriority w:val="10"/>
    <w:rsid w:val="005417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5417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171A"/>
    <w:pPr>
      <w:spacing w:before="160"/>
      <w:jc w:val="center"/>
    </w:pPr>
    <w:rPr>
      <w:i/>
      <w:iCs/>
      <w:color w:val="404040" w:themeColor="text1" w:themeTint="BF"/>
    </w:rPr>
  </w:style>
  <w:style w:type="character" w:customStyle="1" w:styleId="CitaCar">
    <w:name w:val="Cita Car"/>
    <w:basedOn w:val="Fuentedeprrafopredeter"/>
    <w:link w:val="Cita"/>
    <w:uiPriority w:val="29"/>
    <w:rsid w:val="0054171A"/>
    <w:rPr>
      <w:i/>
      <w:iCs/>
      <w:color w:val="404040" w:themeColor="text1" w:themeTint="BF"/>
    </w:rPr>
  </w:style>
  <w:style w:type="paragraph" w:styleId="Prrafodelista">
    <w:name w:val="List Paragraph"/>
    <w:basedOn w:val="Normal"/>
    <w:uiPriority w:val="34"/>
    <w:qFormat/>
    <w:rsid w:val="0054171A"/>
    <w:pPr>
      <w:ind w:left="720"/>
      <w:contextualSpacing/>
    </w:pPr>
  </w:style>
  <w:style w:type="character" w:styleId="nfasisintenso">
    <w:name w:val="Intense Emphasis"/>
    <w:basedOn w:val="Fuentedeprrafopredeter"/>
    <w:uiPriority w:val="21"/>
    <w:qFormat/>
    <w:rsid w:val="0054171A"/>
    <w:rPr>
      <w:i/>
      <w:iCs/>
      <w:color w:val="0F4761" w:themeColor="accent1" w:themeShade="BF"/>
    </w:rPr>
  </w:style>
  <w:style w:type="paragraph" w:styleId="Citadestacada">
    <w:name w:val="Intense Quote"/>
    <w:basedOn w:val="Normal"/>
    <w:next w:val="Normal"/>
    <w:link w:val="CitadestacadaCar"/>
    <w:uiPriority w:val="30"/>
    <w:qFormat/>
    <w:rsid w:val="005417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4171A"/>
    <w:rPr>
      <w:i/>
      <w:iCs/>
      <w:color w:val="0F4761" w:themeColor="accent1" w:themeShade="BF"/>
    </w:rPr>
  </w:style>
  <w:style w:type="character" w:styleId="Referenciaintensa">
    <w:name w:val="Intense Reference"/>
    <w:basedOn w:val="Fuentedeprrafopredeter"/>
    <w:uiPriority w:val="32"/>
    <w:qFormat/>
    <w:rsid w:val="0054171A"/>
    <w:rPr>
      <w:b/>
      <w:bCs/>
      <w:smallCaps/>
      <w:color w:val="0F4761" w:themeColor="accent1" w:themeShade="BF"/>
      <w:spacing w:val="5"/>
    </w:rPr>
  </w:style>
  <w:style w:type="character" w:styleId="Hipervnculo">
    <w:name w:val="Hyperlink"/>
    <w:basedOn w:val="Fuentedeprrafopredeter"/>
    <w:uiPriority w:val="99"/>
    <w:unhideWhenUsed/>
    <w:rsid w:val="00F8307F"/>
    <w:rPr>
      <w:color w:val="467886" w:themeColor="hyperlink"/>
      <w:u w:val="single"/>
    </w:rPr>
  </w:style>
  <w:style w:type="character" w:styleId="Mencinsinresolver">
    <w:name w:val="Unresolved Mention"/>
    <w:basedOn w:val="Fuentedeprrafopredeter"/>
    <w:uiPriority w:val="99"/>
    <w:semiHidden/>
    <w:unhideWhenUsed/>
    <w:rsid w:val="00F8307F"/>
    <w:rPr>
      <w:color w:val="605E5C"/>
      <w:shd w:val="clear" w:color="auto" w:fill="E1DFDD"/>
    </w:rPr>
  </w:style>
  <w:style w:type="paragraph" w:styleId="Encabezado">
    <w:name w:val="header"/>
    <w:basedOn w:val="Normal"/>
    <w:link w:val="EncabezadoCar"/>
    <w:uiPriority w:val="99"/>
    <w:unhideWhenUsed/>
    <w:rsid w:val="00F8307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8307F"/>
  </w:style>
  <w:style w:type="paragraph" w:styleId="Piedepgina">
    <w:name w:val="footer"/>
    <w:basedOn w:val="Normal"/>
    <w:link w:val="PiedepginaCar"/>
    <w:uiPriority w:val="99"/>
    <w:unhideWhenUsed/>
    <w:rsid w:val="00F8307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8307F"/>
  </w:style>
  <w:style w:type="character" w:styleId="Hipervnculovisitado">
    <w:name w:val="FollowedHyperlink"/>
    <w:basedOn w:val="Fuentedeprrafopredeter"/>
    <w:uiPriority w:val="99"/>
    <w:semiHidden/>
    <w:unhideWhenUsed/>
    <w:rsid w:val="00003E7D"/>
    <w:rPr>
      <w:color w:val="96607D" w:themeColor="followedHyperlink"/>
      <w:u w:val="single"/>
    </w:rPr>
  </w:style>
  <w:style w:type="paragraph" w:styleId="NormalWeb">
    <w:name w:val="Normal (Web)"/>
    <w:basedOn w:val="Normal"/>
    <w:uiPriority w:val="99"/>
    <w:semiHidden/>
    <w:unhideWhenUsed/>
    <w:rsid w:val="0024035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1Rp/OR8LRyhcuPweVN/V1dRFBg==">CgMxLjA4AHIhMW9UeWhFOFVST1dTd3ZJdllJS1dBODFSR3BUUW1Hd2Rw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575</Words>
  <Characters>3168</Characters>
  <Application>Microsoft Office Word</Application>
  <DocSecurity>0</DocSecurity>
  <Lines>26</Lines>
  <Paragraphs>7</Paragraphs>
  <ScaleCrop>false</ScaleCrop>
  <Company/>
  <LinksUpToDate>false</LinksUpToDate>
  <CharactersWithSpaces>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Jesus Gortarez</dc:creator>
  <cp:lastModifiedBy>Javier Pelayo</cp:lastModifiedBy>
  <cp:revision>2</cp:revision>
  <dcterms:created xsi:type="dcterms:W3CDTF">2025-02-04T05:14:00Z</dcterms:created>
  <dcterms:modified xsi:type="dcterms:W3CDTF">2025-02-20T05:02:00Z</dcterms:modified>
</cp:coreProperties>
</file>