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ABA6" w14:textId="2AAF76AE" w:rsidR="00556821" w:rsidRPr="00CC5A10" w:rsidRDefault="00556821" w:rsidP="00556821">
      <w:pPr>
        <w:pStyle w:val="Heading1"/>
        <w:jc w:val="center"/>
        <w:rPr>
          <w:i/>
          <w:sz w:val="28"/>
          <w:u w:val="thick"/>
        </w:rPr>
      </w:pPr>
      <w:r w:rsidRPr="00CC5A10">
        <w:rPr>
          <w:i/>
          <w:sz w:val="28"/>
          <w:u w:val="thick"/>
        </w:rPr>
        <w:t>Course Syllabus</w:t>
      </w:r>
    </w:p>
    <w:p w14:paraId="6560DD93" w14:textId="77777777" w:rsidR="00EE5A41" w:rsidRDefault="00EE5A41" w:rsidP="00D6656D"/>
    <w:p w14:paraId="50212B37" w14:textId="77777777" w:rsidR="00D6656D" w:rsidRDefault="00D6656D" w:rsidP="00D6656D"/>
    <w:p w14:paraId="2383BC84" w14:textId="77777777" w:rsidR="00EE5A41" w:rsidRPr="00D6656D" w:rsidRDefault="00EE5A41" w:rsidP="00D6656D">
      <w:pPr>
        <w:pStyle w:val="Heading1"/>
      </w:pPr>
      <w:r w:rsidRPr="00D6656D">
        <w:t>Course Information</w:t>
      </w:r>
    </w:p>
    <w:p w14:paraId="0FE3DE23" w14:textId="54402D51" w:rsidR="00EE5A41" w:rsidRPr="006436F9" w:rsidRDefault="00EE5A41" w:rsidP="00D6656D">
      <w:r w:rsidRPr="006436F9">
        <w:rPr>
          <w:i/>
        </w:rPr>
        <w:t>Course Number/Section</w:t>
      </w:r>
      <w:r w:rsidRPr="006436F9">
        <w:tab/>
      </w:r>
      <w:bookmarkStart w:id="0" w:name="Text1"/>
      <w:r w:rsidR="00714A1A">
        <w:tab/>
      </w:r>
      <w:bookmarkEnd w:id="0"/>
      <w:r w:rsidR="00E5608F">
        <w:t>CS 3345/00</w:t>
      </w:r>
      <w:r w:rsidR="00B85B9C">
        <w:t>1</w:t>
      </w:r>
      <w:r w:rsidR="00E5608F">
        <w:t xml:space="preserve"> (MW </w:t>
      </w:r>
      <w:r w:rsidR="009233E6">
        <w:t>4p</w:t>
      </w:r>
      <w:r w:rsidR="00E5608F">
        <w:t>m-</w:t>
      </w:r>
      <w:r w:rsidR="009233E6">
        <w:t>5</w:t>
      </w:r>
      <w:r w:rsidR="00E5608F">
        <w:t>:15</w:t>
      </w:r>
      <w:r w:rsidR="009233E6">
        <w:t>p</w:t>
      </w:r>
      <w:r w:rsidR="00E5608F">
        <w:t>m)</w:t>
      </w:r>
    </w:p>
    <w:p w14:paraId="33CD9173" w14:textId="7FEB3BF1" w:rsidR="00EE5A41" w:rsidRPr="006436F9" w:rsidRDefault="00EE5A41" w:rsidP="00D6656D">
      <w:r w:rsidRPr="006436F9">
        <w:rPr>
          <w:i/>
        </w:rPr>
        <w:t>Course Title</w:t>
      </w:r>
      <w:bookmarkStart w:id="1" w:name="Text2"/>
      <w:r w:rsidR="00714A1A">
        <w:rPr>
          <w:i/>
        </w:rPr>
        <w:tab/>
      </w:r>
      <w:r w:rsidR="00714A1A">
        <w:rPr>
          <w:i/>
        </w:rPr>
        <w:tab/>
      </w:r>
      <w:r w:rsidR="00714A1A">
        <w:rPr>
          <w:i/>
        </w:rPr>
        <w:tab/>
      </w:r>
      <w:bookmarkEnd w:id="1"/>
      <w:r w:rsidR="00E5608F" w:rsidRPr="00E5608F">
        <w:t>Data Structures and Introduction to Algorithmic Analysis</w:t>
      </w:r>
    </w:p>
    <w:p w14:paraId="7051AD1C" w14:textId="4471D392" w:rsidR="00EE5A41" w:rsidRPr="006436F9" w:rsidRDefault="00EE5A41" w:rsidP="00D6656D">
      <w:r>
        <w:rPr>
          <w:i/>
        </w:rPr>
        <w:t>Ter</w:t>
      </w:r>
      <w:bookmarkStart w:id="2" w:name="Text5"/>
      <w:r w:rsidR="00714A1A">
        <w:rPr>
          <w:i/>
        </w:rPr>
        <w:t>m</w:t>
      </w:r>
      <w:r w:rsidR="00551C7F">
        <w:rPr>
          <w:i/>
        </w:rPr>
        <w:tab/>
      </w:r>
      <w:r w:rsidR="00551C7F">
        <w:rPr>
          <w:i/>
        </w:rPr>
        <w:tab/>
      </w:r>
      <w:r w:rsidR="00551C7F">
        <w:rPr>
          <w:i/>
        </w:rPr>
        <w:tab/>
      </w:r>
      <w:r w:rsidR="00551C7F">
        <w:rPr>
          <w:i/>
        </w:rPr>
        <w:tab/>
      </w:r>
      <w:bookmarkEnd w:id="2"/>
      <w:r w:rsidR="00443DE6">
        <w:t>Spring</w:t>
      </w:r>
      <w:r w:rsidR="00E5608F">
        <w:t xml:space="preserve"> 2</w:t>
      </w:r>
      <w:r w:rsidR="009233E6">
        <w:t>2</w:t>
      </w:r>
    </w:p>
    <w:p w14:paraId="086AFE31" w14:textId="77777777" w:rsidR="00EE5A41" w:rsidRPr="006436F9" w:rsidRDefault="00EE5A41" w:rsidP="00D6656D"/>
    <w:p w14:paraId="0BA64A63" w14:textId="77777777" w:rsidR="00EE5A41" w:rsidRPr="006436F9" w:rsidRDefault="00EE5A41" w:rsidP="00D6656D">
      <w:pPr>
        <w:pStyle w:val="Heading1"/>
      </w:pPr>
      <w:r w:rsidRPr="006436F9">
        <w:t>Professor Contact Information</w:t>
      </w:r>
    </w:p>
    <w:p w14:paraId="05806E5E" w14:textId="09668BEC" w:rsidR="00EE5A41" w:rsidRPr="006436F9" w:rsidRDefault="00EE5A41" w:rsidP="00D6656D">
      <w:r w:rsidRPr="006436F9">
        <w:rPr>
          <w:i/>
        </w:rPr>
        <w:t>Professor</w:t>
      </w:r>
      <w:bookmarkStart w:id="3" w:name="Text6"/>
      <w:r w:rsidR="00714A1A">
        <w:tab/>
      </w:r>
      <w:r w:rsidR="00714A1A">
        <w:tab/>
      </w:r>
      <w:r w:rsidR="00714A1A">
        <w:tab/>
      </w:r>
      <w:bookmarkEnd w:id="3"/>
      <w:r w:rsidR="00E5608F">
        <w:t>Mr. Greg Ozbirn</w:t>
      </w:r>
    </w:p>
    <w:p w14:paraId="2B16BAAE" w14:textId="21721A36" w:rsidR="00EE5A41" w:rsidRPr="006436F9" w:rsidRDefault="00EE5A41" w:rsidP="00D6656D">
      <w:r w:rsidRPr="006436F9">
        <w:rPr>
          <w:i/>
        </w:rPr>
        <w:t>Office Phone</w:t>
      </w:r>
      <w:r w:rsidRPr="006436F9">
        <w:tab/>
      </w:r>
      <w:r w:rsidRPr="006436F9">
        <w:tab/>
      </w:r>
      <w:r w:rsidRPr="006436F9">
        <w:tab/>
      </w:r>
      <w:r w:rsidR="00E5608F">
        <w:t>972-883-4725</w:t>
      </w:r>
    </w:p>
    <w:p w14:paraId="22047756" w14:textId="4643BA76" w:rsidR="00EE5A41" w:rsidRPr="006436F9" w:rsidRDefault="00EE5A41" w:rsidP="00D6656D">
      <w:r w:rsidRPr="006436F9">
        <w:rPr>
          <w:i/>
        </w:rPr>
        <w:t>Other Phone</w:t>
      </w:r>
      <w:r w:rsidRPr="006436F9">
        <w:tab/>
      </w:r>
      <w:r w:rsidRPr="006436F9">
        <w:tab/>
      </w:r>
      <w:r w:rsidRPr="006436F9">
        <w:tab/>
      </w:r>
      <w:r w:rsidR="00E5608F">
        <w:t>N/A</w:t>
      </w:r>
    </w:p>
    <w:p w14:paraId="2062D4B8" w14:textId="799BF0DE" w:rsidR="00EE5A41" w:rsidRPr="006436F9" w:rsidRDefault="00EE5A41" w:rsidP="00D6656D">
      <w:r w:rsidRPr="006436F9">
        <w:rPr>
          <w:i/>
        </w:rPr>
        <w:t>Email Address</w:t>
      </w:r>
      <w:r w:rsidRPr="006436F9">
        <w:tab/>
      </w:r>
      <w:r w:rsidRPr="006436F9">
        <w:tab/>
      </w:r>
      <w:r w:rsidRPr="006436F9">
        <w:tab/>
      </w:r>
      <w:r w:rsidR="00E5608F">
        <w:t>ozbirn@utdallas.edu</w:t>
      </w:r>
    </w:p>
    <w:p w14:paraId="0A874C59" w14:textId="58886056" w:rsidR="00EE5A41" w:rsidRPr="0047441E" w:rsidRDefault="00EE5A41" w:rsidP="00D6656D">
      <w:pPr>
        <w:rPr>
          <w:vertAlign w:val="subscript"/>
        </w:rPr>
      </w:pPr>
      <w:r w:rsidRPr="006436F9">
        <w:rPr>
          <w:i/>
        </w:rPr>
        <w:t>Office Location</w:t>
      </w:r>
      <w:r w:rsidRPr="006436F9">
        <w:tab/>
      </w:r>
      <w:r w:rsidRPr="006436F9">
        <w:tab/>
      </w:r>
      <w:bookmarkStart w:id="4" w:name="Text10"/>
      <w:r>
        <w:tab/>
      </w:r>
      <w:bookmarkEnd w:id="4"/>
      <w:r w:rsidR="00E5608F">
        <w:t>ECSS 3.608</w:t>
      </w:r>
    </w:p>
    <w:p w14:paraId="038899F9" w14:textId="3901177E" w:rsidR="00EE5A41" w:rsidRPr="006436F9" w:rsidRDefault="00EE5A41" w:rsidP="00D6656D">
      <w:r w:rsidRPr="006436F9">
        <w:rPr>
          <w:i/>
        </w:rPr>
        <w:t>Office Hours</w:t>
      </w:r>
      <w:r w:rsidRPr="006436F9">
        <w:rPr>
          <w:i/>
        </w:rPr>
        <w:tab/>
      </w:r>
      <w:r w:rsidRPr="006436F9">
        <w:tab/>
      </w:r>
      <w:r w:rsidR="004547A4">
        <w:tab/>
      </w:r>
      <w:r w:rsidR="004547A4">
        <w:rPr>
          <w:szCs w:val="20"/>
        </w:rPr>
        <w:t>2</w:t>
      </w:r>
      <w:r w:rsidR="00443DE6">
        <w:rPr>
          <w:szCs w:val="20"/>
        </w:rPr>
        <w:t>:</w:t>
      </w:r>
      <w:r w:rsidR="004547A4">
        <w:t>3</w:t>
      </w:r>
      <w:r w:rsidR="00443DE6">
        <w:t>0</w:t>
      </w:r>
      <w:r w:rsidR="00443DE6" w:rsidRPr="008637C8">
        <w:t xml:space="preserve"> </w:t>
      </w:r>
      <w:r w:rsidR="004547A4">
        <w:t>p</w:t>
      </w:r>
      <w:r w:rsidR="00443DE6" w:rsidRPr="008637C8">
        <w:t xml:space="preserve">m – </w:t>
      </w:r>
      <w:r w:rsidR="004547A4">
        <w:t>3</w:t>
      </w:r>
      <w:r w:rsidR="00443DE6" w:rsidRPr="008637C8">
        <w:t>:</w:t>
      </w:r>
      <w:r w:rsidR="004547A4">
        <w:t>3</w:t>
      </w:r>
      <w:r w:rsidR="00443DE6">
        <w:t>0</w:t>
      </w:r>
      <w:r w:rsidR="00443DE6" w:rsidRPr="008637C8">
        <w:t xml:space="preserve"> </w:t>
      </w:r>
      <w:r w:rsidR="004547A4">
        <w:t>p</w:t>
      </w:r>
      <w:r w:rsidR="00443DE6" w:rsidRPr="008637C8">
        <w:t xml:space="preserve">m, </w:t>
      </w:r>
      <w:r w:rsidR="004547A4">
        <w:t>Mond</w:t>
      </w:r>
      <w:r w:rsidR="00443DE6">
        <w:t xml:space="preserve">ay, </w:t>
      </w:r>
      <w:r w:rsidR="004547A4">
        <w:t>Wedne</w:t>
      </w:r>
      <w:r w:rsidR="00443DE6">
        <w:t>sday</w:t>
      </w:r>
    </w:p>
    <w:p w14:paraId="2A879C4E" w14:textId="31F021C1" w:rsidR="00EE5A41" w:rsidRPr="006436F9" w:rsidRDefault="00EE5A41" w:rsidP="00D6656D">
      <w:r>
        <w:rPr>
          <w:i/>
        </w:rPr>
        <w:t>Other Information</w:t>
      </w:r>
      <w:r>
        <w:tab/>
      </w:r>
      <w:r>
        <w:tab/>
      </w:r>
      <w:r w:rsidR="00E5608F">
        <w:t>MS Teams</w:t>
      </w:r>
      <w:r w:rsidR="004547A4">
        <w:t xml:space="preserve"> for office hours</w:t>
      </w:r>
    </w:p>
    <w:p w14:paraId="2F8434AD" w14:textId="4577BF77" w:rsidR="00EE5A41" w:rsidRDefault="00EE5A41" w:rsidP="00D6656D"/>
    <w:p w14:paraId="1DF91FDC" w14:textId="42209B2F" w:rsidR="00FC10C5" w:rsidRDefault="00FC10C5" w:rsidP="00D6656D"/>
    <w:p w14:paraId="145C5292" w14:textId="7B25212D" w:rsidR="00FC10C5" w:rsidRDefault="00FC10C5" w:rsidP="00FC10C5"/>
    <w:p w14:paraId="1773487E" w14:textId="77777777" w:rsidR="005F6BF8" w:rsidRPr="005F6BF8" w:rsidRDefault="005F6BF8" w:rsidP="005F6BF8">
      <w:pPr>
        <w:pStyle w:val="Heading2"/>
        <w:rPr>
          <w:b/>
          <w:bCs w:val="0"/>
          <w:i w:val="0"/>
          <w:iCs/>
          <w:color w:val="000000" w:themeColor="text1"/>
          <w:szCs w:val="22"/>
        </w:rPr>
      </w:pPr>
      <w:r w:rsidRPr="005F6BF8">
        <w:rPr>
          <w:b/>
          <w:i w:val="0"/>
          <w:iCs/>
          <w:color w:val="000000" w:themeColor="text1"/>
          <w:szCs w:val="22"/>
        </w:rPr>
        <w:t>COVID-19 Guidelines and Resources</w:t>
      </w:r>
    </w:p>
    <w:p w14:paraId="3CB0CF28" w14:textId="77777777" w:rsidR="005F6BF8" w:rsidRPr="005F6BF8" w:rsidRDefault="005F6BF8" w:rsidP="005F6BF8"/>
    <w:p w14:paraId="66081303" w14:textId="77777777" w:rsidR="005F6BF8" w:rsidRPr="005F6BF8" w:rsidRDefault="005F6BF8" w:rsidP="005F6BF8">
      <w:pPr>
        <w:pStyle w:val="BodyText"/>
        <w:rPr>
          <w:rFonts w:ascii="Times New Roman" w:hAnsi="Times New Roman" w:cs="Times New Roman"/>
          <w:sz w:val="22"/>
        </w:rPr>
      </w:pPr>
      <w:r w:rsidRPr="005F6BF8">
        <w:rPr>
          <w:rFonts w:ascii="Times New Roman" w:hAnsi="Times New Roman" w:cs="Times New Roman"/>
          <w:sz w:val="22"/>
        </w:rPr>
        <w:t>The information contained in the following link lists the University’s COVID-19 resources for students and instructors of record.</w:t>
      </w:r>
    </w:p>
    <w:p w14:paraId="5ECE3FFE" w14:textId="3D5A6090" w:rsidR="005F6BF8" w:rsidRPr="005F6BF8" w:rsidRDefault="005F6BF8" w:rsidP="005F6BF8">
      <w:pPr>
        <w:pStyle w:val="BodyText"/>
        <w:rPr>
          <w:rFonts w:ascii="Times New Roman" w:hAnsi="Times New Roman" w:cs="Times New Roman"/>
          <w:sz w:val="22"/>
        </w:rPr>
      </w:pPr>
      <w:r w:rsidRPr="005F6BF8">
        <w:rPr>
          <w:rFonts w:ascii="Times New Roman" w:hAnsi="Times New Roman" w:cs="Times New Roman"/>
          <w:sz w:val="22"/>
        </w:rPr>
        <w:t xml:space="preserve">Please see </w:t>
      </w:r>
      <w:hyperlink r:id="rId8" w:history="1">
        <w:r w:rsidR="00667283" w:rsidRPr="00920DB3">
          <w:rPr>
            <w:rStyle w:val="Hyperlink"/>
            <w:rFonts w:ascii="Times New Roman" w:hAnsi="Times New Roman" w:cs="Times New Roman"/>
            <w:sz w:val="22"/>
          </w:rPr>
          <w:t>https://utdallas.edu/covid</w:t>
        </w:r>
      </w:hyperlink>
      <w:r w:rsidRPr="005F6BF8">
        <w:rPr>
          <w:rFonts w:ascii="Times New Roman" w:hAnsi="Times New Roman" w:cs="Times New Roman"/>
          <w:color w:val="000000" w:themeColor="text1"/>
          <w:sz w:val="22"/>
        </w:rPr>
        <w:t>.</w:t>
      </w:r>
    </w:p>
    <w:p w14:paraId="26C5377B" w14:textId="44658CCB" w:rsidR="00FC10C5" w:rsidRPr="00A232DF" w:rsidRDefault="00FC10C5" w:rsidP="00A232DF">
      <w:pPr>
        <w:spacing w:after="160" w:line="259" w:lineRule="auto"/>
        <w:rPr>
          <w:rStyle w:val="Hyperlink"/>
          <w:color w:val="auto"/>
          <w:u w:val="none"/>
        </w:rPr>
      </w:pPr>
      <w:r w:rsidRPr="00FC10C5">
        <w:t>________________________________________________________________</w:t>
      </w:r>
    </w:p>
    <w:p w14:paraId="5C42B03E" w14:textId="77777777" w:rsidR="00693877" w:rsidRDefault="00693877" w:rsidP="00D6656D">
      <w:pPr>
        <w:pStyle w:val="Heading1"/>
      </w:pPr>
    </w:p>
    <w:p w14:paraId="7DE5B09A" w14:textId="47D1F221" w:rsidR="00EE5A41" w:rsidRPr="006436F9" w:rsidRDefault="00EE5A41" w:rsidP="00D6656D">
      <w:pPr>
        <w:pStyle w:val="Heading1"/>
      </w:pPr>
      <w:r w:rsidRPr="006436F9">
        <w:t>Course Pre-re</w:t>
      </w:r>
      <w:r>
        <w:t xml:space="preserve">quisites, Co-requisites, and/or </w:t>
      </w:r>
      <w:r w:rsidRPr="006436F9">
        <w:t>Other Restrictions</w:t>
      </w:r>
    </w:p>
    <w:p w14:paraId="42665CA4" w14:textId="1087B328" w:rsidR="004222F1" w:rsidRDefault="00443DE6" w:rsidP="004222F1">
      <w:r>
        <w:t>Prerequisites:</w:t>
      </w:r>
      <w:r>
        <w:tab/>
        <w:t>CE/CS</w:t>
      </w:r>
      <w:r w:rsidR="004222F1">
        <w:t xml:space="preserve"> 2305 with a grade of C or better, </w:t>
      </w:r>
    </w:p>
    <w:p w14:paraId="6BFCEA0D" w14:textId="7FE3265C" w:rsidR="004222F1" w:rsidRDefault="004222F1" w:rsidP="004222F1">
      <w:r>
        <w:tab/>
      </w:r>
      <w:r>
        <w:tab/>
        <w:t>CE/CS 2336</w:t>
      </w:r>
      <w:r w:rsidR="00443DE6">
        <w:t>/CS 2337</w:t>
      </w:r>
      <w:r>
        <w:t xml:space="preserve"> with a grade of C or better.</w:t>
      </w:r>
    </w:p>
    <w:p w14:paraId="0F362E81" w14:textId="290E48FA" w:rsidR="00EE5A41" w:rsidRDefault="004222F1" w:rsidP="004222F1">
      <w:r>
        <w:t>Prerequisite or co-requisite:  CS/SE 3341 or ENGR 3341.</w:t>
      </w:r>
    </w:p>
    <w:p w14:paraId="24126435" w14:textId="77777777" w:rsidR="004222F1" w:rsidRPr="006436F9" w:rsidRDefault="004222F1" w:rsidP="004222F1"/>
    <w:p w14:paraId="2CA2B101" w14:textId="77777777" w:rsidR="00EE5A41" w:rsidRPr="006436F9" w:rsidRDefault="00EE5A41" w:rsidP="00D6656D">
      <w:pPr>
        <w:pStyle w:val="Heading1"/>
      </w:pPr>
      <w:r w:rsidRPr="006436F9">
        <w:t>Course Description</w:t>
      </w:r>
    </w:p>
    <w:p w14:paraId="786D384B" w14:textId="51264339" w:rsidR="00EE5A41" w:rsidRPr="006436F9" w:rsidRDefault="004222F1" w:rsidP="00D6656D">
      <w:r w:rsidRPr="004222F1">
        <w:t>Analysis of algorithms including time complexity and Big-O notation. Analysis of stacks, queues, and trees, including B-trees. Heaps, hashing, and advanced sorting techniques. Disjoint sets and graphs. Course emphasizes design and implementation.</w:t>
      </w:r>
    </w:p>
    <w:p w14:paraId="111599A6" w14:textId="77777777" w:rsidR="00EE5A41" w:rsidRPr="006436F9" w:rsidRDefault="00EE5A41" w:rsidP="00D6656D"/>
    <w:p w14:paraId="04B42749" w14:textId="77777777" w:rsidR="00EE5A41" w:rsidRPr="006436F9" w:rsidRDefault="00EE5A41" w:rsidP="00D6656D">
      <w:pPr>
        <w:pStyle w:val="Heading1"/>
      </w:pPr>
      <w:r w:rsidRPr="006436F9">
        <w:t>Student Learning Objectives/Outcomes</w:t>
      </w:r>
    </w:p>
    <w:p w14:paraId="44C3F032" w14:textId="2F629753" w:rsidR="004222F1" w:rsidRDefault="004222F1" w:rsidP="004222F1">
      <w:bookmarkStart w:id="5" w:name="Text14"/>
      <w:r>
        <w:t>Ability to use/analyze:</w:t>
      </w:r>
    </w:p>
    <w:p w14:paraId="2BE27B1E" w14:textId="77777777" w:rsidR="004222F1" w:rsidRDefault="004222F1" w:rsidP="004222F1">
      <w:r>
        <w:t>1)</w:t>
      </w:r>
      <w:r>
        <w:tab/>
        <w:t>Asymptotic notations, recurrences, algorithm analysis</w:t>
      </w:r>
    </w:p>
    <w:p w14:paraId="2A99F648" w14:textId="77777777" w:rsidR="004222F1" w:rsidRDefault="004222F1" w:rsidP="004222F1">
      <w:r>
        <w:t>2)</w:t>
      </w:r>
      <w:r>
        <w:tab/>
        <w:t>Lists, stacks, queues, hashing, priority queues</w:t>
      </w:r>
    </w:p>
    <w:p w14:paraId="6F89ED76" w14:textId="77777777" w:rsidR="004222F1" w:rsidRDefault="004222F1" w:rsidP="004222F1">
      <w:r>
        <w:t>3)</w:t>
      </w:r>
      <w:r>
        <w:tab/>
        <w:t>Binary search trees, Balanced binary search trees</w:t>
      </w:r>
    </w:p>
    <w:p w14:paraId="1967C8BF" w14:textId="77777777" w:rsidR="004222F1" w:rsidRDefault="004222F1" w:rsidP="004222F1">
      <w:r>
        <w:t>4)</w:t>
      </w:r>
      <w:r>
        <w:tab/>
        <w:t>Graphs, Depth-first search, Topological ordering</w:t>
      </w:r>
    </w:p>
    <w:p w14:paraId="3D8D0B0C" w14:textId="77777777" w:rsidR="004222F1" w:rsidRDefault="004222F1" w:rsidP="004222F1">
      <w:r>
        <w:t>5)</w:t>
      </w:r>
      <w:r>
        <w:tab/>
        <w:t>Breadth-first search, Dijkstra's algorithm</w:t>
      </w:r>
    </w:p>
    <w:p w14:paraId="68700373" w14:textId="446056EC" w:rsidR="00EE5A41" w:rsidRPr="006436F9" w:rsidRDefault="004222F1" w:rsidP="00D6656D">
      <w:r>
        <w:t>6)</w:t>
      </w:r>
      <w:r>
        <w:tab/>
        <w:t>Algorithms of Prim and Kruskal, Disjoint-set Union-Find problem</w:t>
      </w:r>
      <w:bookmarkEnd w:id="5"/>
    </w:p>
    <w:p w14:paraId="2C413E9A" w14:textId="77777777" w:rsidR="00D6656D" w:rsidRDefault="00D6656D" w:rsidP="00D6656D"/>
    <w:p w14:paraId="5E0B5C08" w14:textId="77777777" w:rsidR="00EE5A41" w:rsidRPr="006436F9" w:rsidRDefault="00EE5A41" w:rsidP="00D6656D">
      <w:pPr>
        <w:pStyle w:val="Heading1"/>
      </w:pPr>
      <w:r w:rsidRPr="006436F9">
        <w:t>Required Textbooks and Materials</w:t>
      </w:r>
    </w:p>
    <w:p w14:paraId="74D680AF" w14:textId="77777777" w:rsidR="00EE5A41" w:rsidRPr="00D6656D" w:rsidRDefault="00EE5A41" w:rsidP="00D6656D">
      <w:pPr>
        <w:pStyle w:val="Heading2"/>
      </w:pPr>
      <w:r w:rsidRPr="00D6656D">
        <w:t>Required Texts</w:t>
      </w:r>
    </w:p>
    <w:p w14:paraId="6413BB59" w14:textId="4A70988E" w:rsidR="00EE5A41" w:rsidRDefault="004222F1" w:rsidP="00D6656D">
      <w:r w:rsidRPr="004222F1">
        <w:t>Data Structures and Algorithm Analysis in Java, (Third Edition), by Mark Allen Weiss, Published by Addison-Wesley, 2011, ISBN-10: 0132576279, ISBN-13: 978-0132576277</w:t>
      </w:r>
    </w:p>
    <w:p w14:paraId="6BFAE8BE" w14:textId="77777777" w:rsidR="00D6656D" w:rsidRPr="006436F9" w:rsidRDefault="00D6656D" w:rsidP="00D6656D"/>
    <w:p w14:paraId="13BFB5EA" w14:textId="77777777" w:rsidR="00EE5A41" w:rsidRPr="006436F9" w:rsidRDefault="00EE5A41" w:rsidP="0047502F">
      <w:pPr>
        <w:pStyle w:val="Heading1"/>
      </w:pPr>
      <w:r w:rsidRPr="006436F9">
        <w:t>Suggested Course Materials</w:t>
      </w:r>
    </w:p>
    <w:p w14:paraId="3CB29345" w14:textId="77777777" w:rsidR="00EE5A41" w:rsidRPr="006436F9" w:rsidRDefault="00EE5A41" w:rsidP="00D6656D">
      <w:pPr>
        <w:pStyle w:val="Heading2"/>
      </w:pPr>
      <w:r w:rsidRPr="006436F9">
        <w:t>Suggested Readings/Texts</w:t>
      </w:r>
    </w:p>
    <w:p w14:paraId="29C89FED" w14:textId="2F7B2319" w:rsidR="00EE5A41" w:rsidRPr="006436F9" w:rsidRDefault="004222F1" w:rsidP="00D6656D">
      <w:r>
        <w:t>N/A</w:t>
      </w:r>
    </w:p>
    <w:p w14:paraId="10AC031E" w14:textId="77777777" w:rsidR="00EE5A41" w:rsidRPr="006436F9" w:rsidRDefault="00EE5A41" w:rsidP="00D6656D">
      <w:pPr>
        <w:pStyle w:val="Heading2"/>
      </w:pPr>
      <w:r w:rsidRPr="006436F9">
        <w:t>Suggested Materials</w:t>
      </w:r>
    </w:p>
    <w:p w14:paraId="32005C55" w14:textId="148BCA74" w:rsidR="00EE5A41" w:rsidRPr="006436F9" w:rsidRDefault="004222F1" w:rsidP="00D6656D">
      <w:r>
        <w:t>N/A</w:t>
      </w:r>
    </w:p>
    <w:p w14:paraId="52E2F8D4" w14:textId="77777777" w:rsidR="00EE5A41" w:rsidRPr="006436F9" w:rsidRDefault="00EE5A41" w:rsidP="00D6656D"/>
    <w:p w14:paraId="6870AF96" w14:textId="77777777" w:rsidR="00EE5A41" w:rsidRDefault="00EE5A41" w:rsidP="00D6656D">
      <w:r>
        <w:t xml:space="preserve">Textbooks and some other bookstore materials can be ordered online or purchased at the </w:t>
      </w:r>
      <w:hyperlink r:id="rId9" w:tgtFrame="_blank" w:history="1">
        <w:r w:rsidR="003A48D1">
          <w:rPr>
            <w:rStyle w:val="Hyperlink"/>
          </w:rPr>
          <w:t>UT Dallas Bookstore</w:t>
        </w:r>
      </w:hyperlink>
      <w:r>
        <w:t>.</w:t>
      </w:r>
    </w:p>
    <w:p w14:paraId="460CEDC6" w14:textId="77777777" w:rsidR="0047502F" w:rsidRDefault="0047502F" w:rsidP="00D6656D"/>
    <w:p w14:paraId="6B4B6F26" w14:textId="5170DD1F" w:rsidR="00667283" w:rsidRDefault="00667283">
      <w:pPr>
        <w:spacing w:after="160" w:line="259" w:lineRule="auto"/>
      </w:pPr>
    </w:p>
    <w:p w14:paraId="2823C1B3" w14:textId="5DCE6F70" w:rsidR="00056609" w:rsidRDefault="00EE5A41" w:rsidP="00596E99">
      <w:pPr>
        <w:pStyle w:val="Heading1"/>
      </w:pPr>
      <w:r w:rsidRPr="006436F9">
        <w:t>Academic Calendar</w:t>
      </w:r>
    </w:p>
    <w:p w14:paraId="53960F00" w14:textId="3ECA61BF" w:rsidR="009233E6" w:rsidRDefault="009233E6" w:rsidP="009233E6">
      <w:pPr>
        <w:rPr>
          <w:lang w:bidi="en-US"/>
        </w:rPr>
      </w:pPr>
    </w:p>
    <w:p w14:paraId="7514A1B1" w14:textId="25EF1119" w:rsidR="009233E6" w:rsidRPr="009233E6" w:rsidRDefault="009233E6" w:rsidP="009233E6">
      <w:pPr>
        <w:rPr>
          <w:lang w:bidi="en-US"/>
        </w:rPr>
      </w:pPr>
      <w:r>
        <w:rPr>
          <w:lang w:bidi="en-US"/>
        </w:rPr>
        <w:tab/>
        <w:t>*Note:  classes held in MS Teams at least through February 4.</w:t>
      </w:r>
    </w:p>
    <w:p w14:paraId="737F3336" w14:textId="295F9CC2" w:rsidR="002902F1" w:rsidRDefault="002902F1" w:rsidP="002902F1">
      <w:pPr>
        <w:rPr>
          <w:lang w:bidi="en-US"/>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1767"/>
        <w:gridCol w:w="3076"/>
        <w:gridCol w:w="2319"/>
      </w:tblGrid>
      <w:tr w:rsidR="00A643C5" w:rsidRPr="009B6439" w14:paraId="041AD7BA" w14:textId="2C0EA131" w:rsidTr="00A643C5">
        <w:tc>
          <w:tcPr>
            <w:tcW w:w="928" w:type="dxa"/>
          </w:tcPr>
          <w:p w14:paraId="231613A2" w14:textId="77777777" w:rsidR="00A643C5" w:rsidRPr="009B6439" w:rsidRDefault="00A643C5" w:rsidP="00F26096">
            <w:pPr>
              <w:rPr>
                <w:b/>
              </w:rPr>
            </w:pPr>
            <w:r w:rsidRPr="009B6439">
              <w:rPr>
                <w:b/>
              </w:rPr>
              <w:t>Class</w:t>
            </w:r>
          </w:p>
        </w:tc>
        <w:tc>
          <w:tcPr>
            <w:tcW w:w="1767" w:type="dxa"/>
          </w:tcPr>
          <w:p w14:paraId="20FBEAFF" w14:textId="77777777" w:rsidR="00A643C5" w:rsidRPr="009B6439" w:rsidRDefault="00A643C5" w:rsidP="00F26096">
            <w:pPr>
              <w:rPr>
                <w:b/>
              </w:rPr>
            </w:pPr>
            <w:r>
              <w:rPr>
                <w:b/>
              </w:rPr>
              <w:t>Date</w:t>
            </w:r>
          </w:p>
        </w:tc>
        <w:tc>
          <w:tcPr>
            <w:tcW w:w="3076" w:type="dxa"/>
          </w:tcPr>
          <w:p w14:paraId="7B72F480" w14:textId="77777777" w:rsidR="00A643C5" w:rsidRPr="00B830C3" w:rsidRDefault="00A643C5" w:rsidP="00F26096">
            <w:pPr>
              <w:rPr>
                <w:b/>
                <w:szCs w:val="20"/>
              </w:rPr>
            </w:pPr>
            <w:r w:rsidRPr="00B830C3">
              <w:rPr>
                <w:b/>
              </w:rPr>
              <w:t>Material Covered</w:t>
            </w:r>
          </w:p>
        </w:tc>
        <w:tc>
          <w:tcPr>
            <w:tcW w:w="2319" w:type="dxa"/>
          </w:tcPr>
          <w:p w14:paraId="484AAD24" w14:textId="3EBA6E04" w:rsidR="00A643C5" w:rsidRPr="00B830C3" w:rsidRDefault="00A643C5" w:rsidP="00F26096">
            <w:pPr>
              <w:rPr>
                <w:b/>
              </w:rPr>
            </w:pPr>
            <w:r>
              <w:rPr>
                <w:b/>
              </w:rPr>
              <w:t>Topic</w:t>
            </w:r>
          </w:p>
        </w:tc>
      </w:tr>
      <w:tr w:rsidR="00443F80" w:rsidRPr="009B6439" w14:paraId="2E557D73" w14:textId="73E11DD5" w:rsidTr="00A643C5">
        <w:tc>
          <w:tcPr>
            <w:tcW w:w="928" w:type="dxa"/>
          </w:tcPr>
          <w:p w14:paraId="474D46FC" w14:textId="16DF73FE" w:rsidR="00443F80" w:rsidRPr="00454782" w:rsidRDefault="00443F80" w:rsidP="00443F80">
            <w:r>
              <w:t>1</w:t>
            </w:r>
          </w:p>
        </w:tc>
        <w:tc>
          <w:tcPr>
            <w:tcW w:w="1767" w:type="dxa"/>
          </w:tcPr>
          <w:p w14:paraId="7AA915DF" w14:textId="51474C2E" w:rsidR="00443F80" w:rsidRPr="004D42C0" w:rsidRDefault="00443F80" w:rsidP="00443F80">
            <w:r w:rsidRPr="008A71AE">
              <w:t>Jan 17*, 19</w:t>
            </w:r>
          </w:p>
        </w:tc>
        <w:tc>
          <w:tcPr>
            <w:tcW w:w="3076" w:type="dxa"/>
          </w:tcPr>
          <w:p w14:paraId="43B91488" w14:textId="51F07625" w:rsidR="00443F80" w:rsidRPr="00A643C5" w:rsidRDefault="00443F80" w:rsidP="00443F80">
            <w:pPr>
              <w:pStyle w:val="Header"/>
              <w:tabs>
                <w:tab w:val="left" w:pos="720"/>
              </w:tabs>
            </w:pPr>
            <w:r w:rsidRPr="00A643C5">
              <w:t>Holiday*, Introduction</w:t>
            </w:r>
          </w:p>
        </w:tc>
        <w:tc>
          <w:tcPr>
            <w:tcW w:w="2319" w:type="dxa"/>
          </w:tcPr>
          <w:p w14:paraId="1E4279D4" w14:textId="512D1C07" w:rsidR="00443F80" w:rsidRPr="00E93E91" w:rsidRDefault="00443F80" w:rsidP="00443F80">
            <w:pPr>
              <w:pStyle w:val="Header"/>
              <w:tabs>
                <w:tab w:val="left" w:pos="720"/>
              </w:tabs>
            </w:pPr>
          </w:p>
        </w:tc>
      </w:tr>
      <w:tr w:rsidR="00443F80" w:rsidRPr="009B6439" w14:paraId="2A9F5947" w14:textId="774880D2" w:rsidTr="00A643C5">
        <w:tc>
          <w:tcPr>
            <w:tcW w:w="928" w:type="dxa"/>
          </w:tcPr>
          <w:p w14:paraId="20BA68AA" w14:textId="4057B440" w:rsidR="00443F80" w:rsidRPr="00454782" w:rsidRDefault="00443F80" w:rsidP="00443F80">
            <w:r>
              <w:t>2,</w:t>
            </w:r>
            <w:r w:rsidRPr="003F3226">
              <w:t>3</w:t>
            </w:r>
          </w:p>
        </w:tc>
        <w:tc>
          <w:tcPr>
            <w:tcW w:w="1767" w:type="dxa"/>
          </w:tcPr>
          <w:p w14:paraId="2A4E0AF7" w14:textId="3742547B" w:rsidR="00443F80" w:rsidRPr="00295220" w:rsidRDefault="00443F80" w:rsidP="00443F80">
            <w:r w:rsidRPr="008A71AE">
              <w:t>Jan 24, 26</w:t>
            </w:r>
          </w:p>
        </w:tc>
        <w:tc>
          <w:tcPr>
            <w:tcW w:w="3076" w:type="dxa"/>
          </w:tcPr>
          <w:p w14:paraId="0F076AF8" w14:textId="76799547" w:rsidR="00443F80" w:rsidRPr="00A643C5" w:rsidRDefault="00443F80" w:rsidP="00443F80">
            <w:pPr>
              <w:pStyle w:val="Footer"/>
              <w:tabs>
                <w:tab w:val="left" w:pos="720"/>
              </w:tabs>
            </w:pPr>
            <w:r w:rsidRPr="00A643C5">
              <w:t>Chapter 1</w:t>
            </w:r>
          </w:p>
        </w:tc>
        <w:tc>
          <w:tcPr>
            <w:tcW w:w="2319" w:type="dxa"/>
          </w:tcPr>
          <w:p w14:paraId="3382EB15" w14:textId="4A992C4F" w:rsidR="00443F80" w:rsidRPr="00A64ABD" w:rsidRDefault="00443F80" w:rsidP="00443F80">
            <w:pPr>
              <w:pStyle w:val="Footer"/>
              <w:tabs>
                <w:tab w:val="left" w:pos="720"/>
              </w:tabs>
              <w:rPr>
                <w:bCs/>
              </w:rPr>
            </w:pPr>
            <w:r>
              <w:t>Math and Java Review</w:t>
            </w:r>
          </w:p>
        </w:tc>
      </w:tr>
      <w:tr w:rsidR="00443F80" w:rsidRPr="009B6439" w14:paraId="4A5E67E6" w14:textId="40814298" w:rsidTr="00A643C5">
        <w:trPr>
          <w:trHeight w:val="252"/>
        </w:trPr>
        <w:tc>
          <w:tcPr>
            <w:tcW w:w="928" w:type="dxa"/>
          </w:tcPr>
          <w:p w14:paraId="3E30C093" w14:textId="5BD3AC2A" w:rsidR="00443F80" w:rsidRPr="00454782" w:rsidRDefault="00443F80" w:rsidP="00443F80">
            <w:r w:rsidRPr="003F3226">
              <w:t>4,5</w:t>
            </w:r>
          </w:p>
        </w:tc>
        <w:tc>
          <w:tcPr>
            <w:tcW w:w="1767" w:type="dxa"/>
          </w:tcPr>
          <w:p w14:paraId="6F58A1B0" w14:textId="06AFCF60" w:rsidR="00443F80" w:rsidRPr="00295220" w:rsidRDefault="00443F80" w:rsidP="00443F80">
            <w:r w:rsidRPr="008A71AE">
              <w:t>Jan 31, Feb 2</w:t>
            </w:r>
          </w:p>
        </w:tc>
        <w:tc>
          <w:tcPr>
            <w:tcW w:w="3076" w:type="dxa"/>
          </w:tcPr>
          <w:p w14:paraId="363FD86C" w14:textId="3350ABF0" w:rsidR="00443F80" w:rsidRPr="00A643C5" w:rsidRDefault="00443F80" w:rsidP="00443F80">
            <w:pPr>
              <w:pStyle w:val="Footer"/>
              <w:tabs>
                <w:tab w:val="left" w:pos="720"/>
              </w:tabs>
            </w:pPr>
            <w:r w:rsidRPr="00A643C5">
              <w:t>Chapter 2</w:t>
            </w:r>
          </w:p>
        </w:tc>
        <w:tc>
          <w:tcPr>
            <w:tcW w:w="2319" w:type="dxa"/>
          </w:tcPr>
          <w:p w14:paraId="39E4A360" w14:textId="4CE201B1" w:rsidR="00443F80" w:rsidRPr="00A643C5" w:rsidRDefault="00443F80" w:rsidP="00443F80">
            <w:pPr>
              <w:pStyle w:val="Footer"/>
              <w:tabs>
                <w:tab w:val="left" w:pos="720"/>
              </w:tabs>
              <w:rPr>
                <w:bCs/>
              </w:rPr>
            </w:pPr>
            <w:r>
              <w:t xml:space="preserve">Algorithm Analysis </w:t>
            </w:r>
          </w:p>
        </w:tc>
      </w:tr>
      <w:tr w:rsidR="00443F80" w:rsidRPr="009B6439" w14:paraId="1E2FA83B" w14:textId="135C71C5" w:rsidTr="00A643C5">
        <w:tc>
          <w:tcPr>
            <w:tcW w:w="928" w:type="dxa"/>
          </w:tcPr>
          <w:p w14:paraId="22C4B308" w14:textId="0B1E5011" w:rsidR="00443F80" w:rsidRPr="00454782" w:rsidRDefault="00443F80" w:rsidP="00443F80"/>
        </w:tc>
        <w:tc>
          <w:tcPr>
            <w:tcW w:w="1767" w:type="dxa"/>
          </w:tcPr>
          <w:p w14:paraId="6F14F087" w14:textId="13E6E88C" w:rsidR="00443F80" w:rsidRPr="00295220" w:rsidRDefault="00443F80" w:rsidP="00443F80"/>
        </w:tc>
        <w:tc>
          <w:tcPr>
            <w:tcW w:w="3076" w:type="dxa"/>
          </w:tcPr>
          <w:p w14:paraId="115C54D8" w14:textId="55CE9866" w:rsidR="00443F80" w:rsidRPr="00A643C5" w:rsidRDefault="00443F80" w:rsidP="00443F80">
            <w:pPr>
              <w:pStyle w:val="Heading1"/>
              <w:rPr>
                <w:b w:val="0"/>
                <w:bCs w:val="0"/>
              </w:rPr>
            </w:pPr>
          </w:p>
        </w:tc>
        <w:tc>
          <w:tcPr>
            <w:tcW w:w="2319" w:type="dxa"/>
          </w:tcPr>
          <w:p w14:paraId="5C854883" w14:textId="082385BF" w:rsidR="00443F80" w:rsidRPr="00A643C5" w:rsidRDefault="00443F80" w:rsidP="00443F80">
            <w:pPr>
              <w:pStyle w:val="Heading1"/>
              <w:rPr>
                <w:b w:val="0"/>
              </w:rPr>
            </w:pPr>
          </w:p>
        </w:tc>
      </w:tr>
      <w:tr w:rsidR="00443F80" w:rsidRPr="009B6439" w14:paraId="230F5D4E" w14:textId="003BC168" w:rsidTr="00A643C5">
        <w:tc>
          <w:tcPr>
            <w:tcW w:w="928" w:type="dxa"/>
          </w:tcPr>
          <w:p w14:paraId="25559708" w14:textId="24F2446A" w:rsidR="00443F80" w:rsidRPr="00454782" w:rsidRDefault="00443F80" w:rsidP="00443F80">
            <w:r w:rsidRPr="003F3226">
              <w:t>6,7</w:t>
            </w:r>
          </w:p>
        </w:tc>
        <w:tc>
          <w:tcPr>
            <w:tcW w:w="1767" w:type="dxa"/>
          </w:tcPr>
          <w:p w14:paraId="5F8FDF34" w14:textId="21B33D70" w:rsidR="00443F80" w:rsidRPr="00295220" w:rsidRDefault="00443F80" w:rsidP="00443F80">
            <w:r w:rsidRPr="008A71AE">
              <w:t>Feb 7, 9</w:t>
            </w:r>
          </w:p>
        </w:tc>
        <w:tc>
          <w:tcPr>
            <w:tcW w:w="3076" w:type="dxa"/>
          </w:tcPr>
          <w:p w14:paraId="2D72AACE" w14:textId="461AD7CA" w:rsidR="00443F80" w:rsidRPr="00A643C5" w:rsidRDefault="00443F80" w:rsidP="00443F80">
            <w:pPr>
              <w:pStyle w:val="Heading1"/>
              <w:rPr>
                <w:b w:val="0"/>
                <w:bCs w:val="0"/>
              </w:rPr>
            </w:pPr>
            <w:r w:rsidRPr="00A643C5">
              <w:rPr>
                <w:b w:val="0"/>
                <w:bCs w:val="0"/>
              </w:rPr>
              <w:t>Chapter 3</w:t>
            </w:r>
          </w:p>
        </w:tc>
        <w:tc>
          <w:tcPr>
            <w:tcW w:w="2319" w:type="dxa"/>
          </w:tcPr>
          <w:p w14:paraId="0F7750E8" w14:textId="0ED52B3D" w:rsidR="00443F80" w:rsidRPr="00A643C5" w:rsidRDefault="00443F80" w:rsidP="00443F80">
            <w:pPr>
              <w:pStyle w:val="Heading1"/>
              <w:rPr>
                <w:b w:val="0"/>
              </w:rPr>
            </w:pPr>
            <w:r w:rsidRPr="00A643C5">
              <w:rPr>
                <w:b w:val="0"/>
              </w:rPr>
              <w:t>Lists/Stacks/Queues</w:t>
            </w:r>
          </w:p>
        </w:tc>
      </w:tr>
      <w:tr w:rsidR="00443F80" w:rsidRPr="009B6439" w14:paraId="3829484A" w14:textId="6F678881" w:rsidTr="00A643C5">
        <w:tc>
          <w:tcPr>
            <w:tcW w:w="928" w:type="dxa"/>
          </w:tcPr>
          <w:p w14:paraId="1F7B4338" w14:textId="47E04D6B" w:rsidR="00443F80" w:rsidRPr="00454782" w:rsidRDefault="00443F80" w:rsidP="00443F80">
            <w:r w:rsidRPr="003F3226">
              <w:t>8,9</w:t>
            </w:r>
          </w:p>
        </w:tc>
        <w:tc>
          <w:tcPr>
            <w:tcW w:w="1767" w:type="dxa"/>
          </w:tcPr>
          <w:p w14:paraId="56CE7291" w14:textId="7448C7ED" w:rsidR="00443F80" w:rsidRPr="00295220" w:rsidRDefault="00443F80" w:rsidP="00443F80">
            <w:r w:rsidRPr="008A71AE">
              <w:t>Feb 14, 16</w:t>
            </w:r>
          </w:p>
        </w:tc>
        <w:tc>
          <w:tcPr>
            <w:tcW w:w="3076" w:type="dxa"/>
          </w:tcPr>
          <w:p w14:paraId="490DF97F" w14:textId="659D2380" w:rsidR="00443F80" w:rsidRPr="00A643C5" w:rsidRDefault="00443F80" w:rsidP="00443F80">
            <w:pPr>
              <w:pStyle w:val="Heading1"/>
              <w:rPr>
                <w:b w:val="0"/>
                <w:bCs w:val="0"/>
              </w:rPr>
            </w:pPr>
            <w:r w:rsidRPr="00A643C5">
              <w:rPr>
                <w:b w:val="0"/>
                <w:bCs w:val="0"/>
              </w:rPr>
              <w:t>Chapter 3</w:t>
            </w:r>
            <w:r>
              <w:rPr>
                <w:b w:val="0"/>
                <w:bCs w:val="0"/>
              </w:rPr>
              <w:t>, Review</w:t>
            </w:r>
          </w:p>
        </w:tc>
        <w:tc>
          <w:tcPr>
            <w:tcW w:w="2319" w:type="dxa"/>
          </w:tcPr>
          <w:p w14:paraId="71ECBC38" w14:textId="77777777" w:rsidR="00443F80" w:rsidRPr="00A643C5" w:rsidRDefault="00443F80" w:rsidP="00443F80">
            <w:pPr>
              <w:pStyle w:val="Heading1"/>
              <w:rPr>
                <w:b w:val="0"/>
              </w:rPr>
            </w:pPr>
          </w:p>
        </w:tc>
      </w:tr>
      <w:tr w:rsidR="00443F80" w:rsidRPr="009B6439" w14:paraId="552E027A" w14:textId="21FDB066" w:rsidTr="00A643C5">
        <w:tc>
          <w:tcPr>
            <w:tcW w:w="928" w:type="dxa"/>
          </w:tcPr>
          <w:p w14:paraId="22C71FD8" w14:textId="39D41F08" w:rsidR="00443F80" w:rsidRPr="00454782" w:rsidRDefault="00443F80" w:rsidP="00443F80">
            <w:r w:rsidRPr="003F3226">
              <w:t>10,11</w:t>
            </w:r>
          </w:p>
        </w:tc>
        <w:tc>
          <w:tcPr>
            <w:tcW w:w="1767" w:type="dxa"/>
          </w:tcPr>
          <w:p w14:paraId="4C1D5698" w14:textId="272AD1ED" w:rsidR="00443F80" w:rsidRPr="00295220" w:rsidRDefault="00443F80" w:rsidP="00443F80">
            <w:r w:rsidRPr="008A71AE">
              <w:t>Feb 21, 23</w:t>
            </w:r>
          </w:p>
        </w:tc>
        <w:tc>
          <w:tcPr>
            <w:tcW w:w="3076" w:type="dxa"/>
          </w:tcPr>
          <w:p w14:paraId="1C8FD6BE" w14:textId="54F47D54" w:rsidR="00443F80" w:rsidRPr="00A643C5" w:rsidRDefault="00443F80" w:rsidP="00443F80">
            <w:pPr>
              <w:pStyle w:val="Heading1"/>
              <w:rPr>
                <w:b w:val="0"/>
                <w:bCs w:val="0"/>
              </w:rPr>
            </w:pPr>
            <w:r w:rsidRPr="00A643C5">
              <w:t>Exam 1</w:t>
            </w:r>
            <w:r w:rsidRPr="00A643C5">
              <w:rPr>
                <w:b w:val="0"/>
                <w:bCs w:val="0"/>
              </w:rPr>
              <w:t xml:space="preserve"> (ch. 1-3), </w:t>
            </w:r>
            <w:r>
              <w:rPr>
                <w:b w:val="0"/>
                <w:bCs w:val="0"/>
              </w:rPr>
              <w:t>Chapter 4</w:t>
            </w:r>
          </w:p>
        </w:tc>
        <w:tc>
          <w:tcPr>
            <w:tcW w:w="2319" w:type="dxa"/>
          </w:tcPr>
          <w:p w14:paraId="1C64FCDE" w14:textId="767E97AB" w:rsidR="00443F80" w:rsidRPr="00A643C5" w:rsidRDefault="00443F80" w:rsidP="00443F80">
            <w:pPr>
              <w:pStyle w:val="Heading1"/>
              <w:rPr>
                <w:b w:val="0"/>
              </w:rPr>
            </w:pPr>
            <w:r w:rsidRPr="00443F80">
              <w:rPr>
                <w:b w:val="0"/>
              </w:rPr>
              <w:t>Trees</w:t>
            </w:r>
          </w:p>
        </w:tc>
      </w:tr>
      <w:tr w:rsidR="00443F80" w:rsidRPr="009B6439" w14:paraId="7D377746" w14:textId="694592E2" w:rsidTr="00A643C5">
        <w:tc>
          <w:tcPr>
            <w:tcW w:w="928" w:type="dxa"/>
          </w:tcPr>
          <w:p w14:paraId="6121D8C9" w14:textId="0A12738F" w:rsidR="00443F80" w:rsidRPr="00454782" w:rsidRDefault="00443F80" w:rsidP="00443F80">
            <w:r w:rsidRPr="003F3226">
              <w:t>12,13</w:t>
            </w:r>
          </w:p>
        </w:tc>
        <w:tc>
          <w:tcPr>
            <w:tcW w:w="1767" w:type="dxa"/>
          </w:tcPr>
          <w:p w14:paraId="6A868862" w14:textId="30C42A45" w:rsidR="00443F80" w:rsidRPr="00295220" w:rsidRDefault="00443F80" w:rsidP="00443F80">
            <w:r w:rsidRPr="008A71AE">
              <w:t>Feb 28, Mar 2</w:t>
            </w:r>
          </w:p>
        </w:tc>
        <w:tc>
          <w:tcPr>
            <w:tcW w:w="3076" w:type="dxa"/>
          </w:tcPr>
          <w:p w14:paraId="462B10FC" w14:textId="18998CDF" w:rsidR="00443F80" w:rsidRPr="009F2CE4" w:rsidRDefault="00443F80" w:rsidP="00443F80">
            <w:pPr>
              <w:pStyle w:val="Heading1"/>
              <w:rPr>
                <w:b w:val="0"/>
                <w:bCs w:val="0"/>
              </w:rPr>
            </w:pPr>
            <w:r w:rsidRPr="009F2CE4">
              <w:rPr>
                <w:b w:val="0"/>
                <w:bCs w:val="0"/>
              </w:rPr>
              <w:t>Chapter 4</w:t>
            </w:r>
          </w:p>
        </w:tc>
        <w:tc>
          <w:tcPr>
            <w:tcW w:w="2319" w:type="dxa"/>
          </w:tcPr>
          <w:p w14:paraId="2D20D7D2" w14:textId="36C9CB07" w:rsidR="00443F80" w:rsidRPr="00443F80" w:rsidRDefault="00443F80" w:rsidP="00443F80">
            <w:pPr>
              <w:pStyle w:val="Heading1"/>
              <w:rPr>
                <w:b w:val="0"/>
              </w:rPr>
            </w:pPr>
          </w:p>
        </w:tc>
      </w:tr>
      <w:tr w:rsidR="00443F80" w:rsidRPr="009B6439" w14:paraId="14F3522A" w14:textId="60046675" w:rsidTr="00A643C5">
        <w:tc>
          <w:tcPr>
            <w:tcW w:w="928" w:type="dxa"/>
          </w:tcPr>
          <w:p w14:paraId="53E7AF91" w14:textId="06880822" w:rsidR="00443F80" w:rsidRPr="00454782" w:rsidRDefault="00443F80" w:rsidP="00443F80"/>
        </w:tc>
        <w:tc>
          <w:tcPr>
            <w:tcW w:w="1767" w:type="dxa"/>
          </w:tcPr>
          <w:p w14:paraId="7A472052" w14:textId="679E2153" w:rsidR="00443F80" w:rsidRPr="00295220" w:rsidRDefault="00443F80" w:rsidP="00443F80"/>
        </w:tc>
        <w:tc>
          <w:tcPr>
            <w:tcW w:w="3076" w:type="dxa"/>
          </w:tcPr>
          <w:p w14:paraId="15AFD10B" w14:textId="465E1E8D" w:rsidR="00443F80" w:rsidRPr="00A643C5" w:rsidRDefault="00443F80" w:rsidP="00443F80"/>
        </w:tc>
        <w:tc>
          <w:tcPr>
            <w:tcW w:w="2319" w:type="dxa"/>
          </w:tcPr>
          <w:p w14:paraId="23DB882C" w14:textId="490C3241" w:rsidR="00443F80" w:rsidRPr="009F2CE4" w:rsidRDefault="00443F80" w:rsidP="00443F80">
            <w:pPr>
              <w:rPr>
                <w:bCs/>
              </w:rPr>
            </w:pPr>
          </w:p>
        </w:tc>
      </w:tr>
      <w:tr w:rsidR="00443F80" w:rsidRPr="009B6439" w14:paraId="09EEC40D" w14:textId="3803C884" w:rsidTr="00A643C5">
        <w:tc>
          <w:tcPr>
            <w:tcW w:w="928" w:type="dxa"/>
          </w:tcPr>
          <w:p w14:paraId="55A3CD74" w14:textId="2BACB062" w:rsidR="00443F80" w:rsidRPr="00454782" w:rsidRDefault="00443F80" w:rsidP="00443F80">
            <w:r w:rsidRPr="003F3226">
              <w:t>14,15</w:t>
            </w:r>
          </w:p>
        </w:tc>
        <w:tc>
          <w:tcPr>
            <w:tcW w:w="1767" w:type="dxa"/>
          </w:tcPr>
          <w:p w14:paraId="080DBDD3" w14:textId="7096633E" w:rsidR="00443F80" w:rsidRPr="00295220" w:rsidRDefault="00443F80" w:rsidP="00443F80">
            <w:r w:rsidRPr="008A71AE">
              <w:t>Mar 7, 9</w:t>
            </w:r>
          </w:p>
        </w:tc>
        <w:tc>
          <w:tcPr>
            <w:tcW w:w="3076" w:type="dxa"/>
          </w:tcPr>
          <w:p w14:paraId="12380399" w14:textId="23C6D094" w:rsidR="00443F80" w:rsidRPr="00A643C5" w:rsidRDefault="00443F80" w:rsidP="00443F80">
            <w:r w:rsidRPr="00A643C5">
              <w:t>Chapter 5</w:t>
            </w:r>
          </w:p>
        </w:tc>
        <w:tc>
          <w:tcPr>
            <w:tcW w:w="2319" w:type="dxa"/>
          </w:tcPr>
          <w:p w14:paraId="04304334" w14:textId="73F0BBE8" w:rsidR="00443F80" w:rsidRPr="00A643C5" w:rsidRDefault="00443F80" w:rsidP="00443F80">
            <w:pPr>
              <w:rPr>
                <w:bCs/>
              </w:rPr>
            </w:pPr>
            <w:r w:rsidRPr="00A643C5">
              <w:rPr>
                <w:bCs/>
              </w:rPr>
              <w:t>Hash Tables</w:t>
            </w:r>
          </w:p>
        </w:tc>
      </w:tr>
      <w:tr w:rsidR="00443F80" w:rsidRPr="009B6439" w14:paraId="5E2D36FB" w14:textId="4A8ECDCC" w:rsidTr="00A643C5">
        <w:tc>
          <w:tcPr>
            <w:tcW w:w="928" w:type="dxa"/>
          </w:tcPr>
          <w:p w14:paraId="27E3D46E" w14:textId="410A708D" w:rsidR="00443F80" w:rsidRPr="00454782" w:rsidRDefault="00443F80" w:rsidP="00443F80">
            <w:r w:rsidRPr="003F3226">
              <w:t>16,17</w:t>
            </w:r>
          </w:p>
        </w:tc>
        <w:tc>
          <w:tcPr>
            <w:tcW w:w="1767" w:type="dxa"/>
          </w:tcPr>
          <w:p w14:paraId="6A595228" w14:textId="546A3AFB" w:rsidR="00443F80" w:rsidRPr="00295220" w:rsidRDefault="00443F80" w:rsidP="00443F80">
            <w:r w:rsidRPr="008A71AE">
              <w:t>Mar 14, 16</w:t>
            </w:r>
          </w:p>
        </w:tc>
        <w:tc>
          <w:tcPr>
            <w:tcW w:w="3076" w:type="dxa"/>
          </w:tcPr>
          <w:p w14:paraId="7FB1AC55" w14:textId="60C7C156" w:rsidR="00443F80" w:rsidRPr="00A643C5" w:rsidRDefault="00443F80" w:rsidP="00443F80">
            <w:r>
              <w:t>Spring Break (no classes)</w:t>
            </w:r>
          </w:p>
        </w:tc>
        <w:tc>
          <w:tcPr>
            <w:tcW w:w="2319" w:type="dxa"/>
          </w:tcPr>
          <w:p w14:paraId="6379F5E1" w14:textId="11D059A4" w:rsidR="00443F80" w:rsidRPr="00A643C5" w:rsidRDefault="00443F80" w:rsidP="00443F80">
            <w:pPr>
              <w:rPr>
                <w:bCs/>
              </w:rPr>
            </w:pPr>
          </w:p>
        </w:tc>
      </w:tr>
      <w:tr w:rsidR="00443F80" w:rsidRPr="009B6439" w14:paraId="240C1DB7" w14:textId="58DAB2B8" w:rsidTr="00A643C5">
        <w:tc>
          <w:tcPr>
            <w:tcW w:w="928" w:type="dxa"/>
          </w:tcPr>
          <w:p w14:paraId="07A33000" w14:textId="5F1EF0D8" w:rsidR="00443F80" w:rsidRPr="00454782" w:rsidRDefault="00443F80" w:rsidP="00443F80"/>
        </w:tc>
        <w:tc>
          <w:tcPr>
            <w:tcW w:w="1767" w:type="dxa"/>
          </w:tcPr>
          <w:p w14:paraId="1A752A4C" w14:textId="0A6599F6" w:rsidR="00443F80" w:rsidRPr="00295220" w:rsidRDefault="00443F80" w:rsidP="00443F80">
            <w:r w:rsidRPr="008A71AE">
              <w:t>Mar 21, 23</w:t>
            </w:r>
          </w:p>
        </w:tc>
        <w:tc>
          <w:tcPr>
            <w:tcW w:w="3076" w:type="dxa"/>
          </w:tcPr>
          <w:p w14:paraId="1BE4653A" w14:textId="0F2EE066" w:rsidR="00443F80" w:rsidRPr="00A643C5" w:rsidRDefault="00443F80" w:rsidP="00443F80">
            <w:pPr>
              <w:pStyle w:val="Footer"/>
              <w:tabs>
                <w:tab w:val="left" w:pos="720"/>
              </w:tabs>
            </w:pPr>
            <w:r w:rsidRPr="00A643C5">
              <w:t>Chapter 6</w:t>
            </w:r>
          </w:p>
        </w:tc>
        <w:tc>
          <w:tcPr>
            <w:tcW w:w="2319" w:type="dxa"/>
          </w:tcPr>
          <w:p w14:paraId="590731F5" w14:textId="010BB2D6" w:rsidR="00443F80" w:rsidRPr="00A643C5" w:rsidRDefault="00443F80" w:rsidP="00443F80">
            <w:pPr>
              <w:pStyle w:val="Footer"/>
              <w:tabs>
                <w:tab w:val="left" w:pos="720"/>
              </w:tabs>
              <w:rPr>
                <w:bCs/>
              </w:rPr>
            </w:pPr>
            <w:r w:rsidRPr="00A643C5">
              <w:rPr>
                <w:bCs/>
              </w:rPr>
              <w:t>Priority Queues</w:t>
            </w:r>
          </w:p>
        </w:tc>
      </w:tr>
      <w:tr w:rsidR="00443F80" w:rsidRPr="009B6439" w14:paraId="54DEACF5" w14:textId="04145A2D" w:rsidTr="00A643C5">
        <w:tc>
          <w:tcPr>
            <w:tcW w:w="928" w:type="dxa"/>
          </w:tcPr>
          <w:p w14:paraId="7FDCBF6E" w14:textId="7EA1214D" w:rsidR="00443F80" w:rsidRPr="00454782" w:rsidRDefault="00443F80" w:rsidP="00443F80">
            <w:r w:rsidRPr="003F3226">
              <w:t>18,19</w:t>
            </w:r>
          </w:p>
        </w:tc>
        <w:tc>
          <w:tcPr>
            <w:tcW w:w="1767" w:type="dxa"/>
          </w:tcPr>
          <w:p w14:paraId="52A8E9E1" w14:textId="76D01F9F" w:rsidR="00443F80" w:rsidRPr="00295220" w:rsidRDefault="00443F80" w:rsidP="00443F80">
            <w:r w:rsidRPr="008A71AE">
              <w:t>Mar 28, 30</w:t>
            </w:r>
          </w:p>
        </w:tc>
        <w:tc>
          <w:tcPr>
            <w:tcW w:w="3076" w:type="dxa"/>
          </w:tcPr>
          <w:p w14:paraId="35212D96" w14:textId="6BFDC684" w:rsidR="00443F80" w:rsidRPr="00A643C5" w:rsidRDefault="00443F80" w:rsidP="00443F80">
            <w:pPr>
              <w:pStyle w:val="Footer"/>
              <w:tabs>
                <w:tab w:val="left" w:pos="720"/>
              </w:tabs>
            </w:pPr>
            <w:r w:rsidRPr="00A643C5">
              <w:t>Chapter 6, Review</w:t>
            </w:r>
          </w:p>
        </w:tc>
        <w:tc>
          <w:tcPr>
            <w:tcW w:w="2319" w:type="dxa"/>
          </w:tcPr>
          <w:p w14:paraId="1BD41F7B" w14:textId="77777777" w:rsidR="00443F80" w:rsidRPr="00A643C5" w:rsidRDefault="00443F80" w:rsidP="00443F80">
            <w:pPr>
              <w:pStyle w:val="Footer"/>
              <w:tabs>
                <w:tab w:val="left" w:pos="720"/>
              </w:tabs>
              <w:rPr>
                <w:bCs/>
              </w:rPr>
            </w:pPr>
          </w:p>
        </w:tc>
      </w:tr>
      <w:tr w:rsidR="00443F80" w:rsidRPr="009B6439" w14:paraId="2DD8CF40" w14:textId="33C86ED3" w:rsidTr="00A643C5">
        <w:tc>
          <w:tcPr>
            <w:tcW w:w="928" w:type="dxa"/>
          </w:tcPr>
          <w:p w14:paraId="7D9E0832" w14:textId="7FB2B1B9" w:rsidR="00443F80" w:rsidRPr="00454782" w:rsidRDefault="00443F80" w:rsidP="00443F80"/>
        </w:tc>
        <w:tc>
          <w:tcPr>
            <w:tcW w:w="1767" w:type="dxa"/>
          </w:tcPr>
          <w:p w14:paraId="32AD5429" w14:textId="61A17660" w:rsidR="00443F80" w:rsidRPr="00295220" w:rsidRDefault="00443F80" w:rsidP="00443F80"/>
        </w:tc>
        <w:tc>
          <w:tcPr>
            <w:tcW w:w="3076" w:type="dxa"/>
          </w:tcPr>
          <w:p w14:paraId="3E82753F" w14:textId="14FB120C" w:rsidR="00443F80" w:rsidRPr="00A643C5" w:rsidRDefault="00443F80" w:rsidP="00443F80">
            <w:pPr>
              <w:pStyle w:val="Heading1"/>
              <w:rPr>
                <w:b w:val="0"/>
                <w:bCs w:val="0"/>
              </w:rPr>
            </w:pPr>
          </w:p>
        </w:tc>
        <w:tc>
          <w:tcPr>
            <w:tcW w:w="2319" w:type="dxa"/>
          </w:tcPr>
          <w:p w14:paraId="2B5076E3" w14:textId="5B9B096C" w:rsidR="00443F80" w:rsidRPr="00A643C5" w:rsidRDefault="00443F80" w:rsidP="00443F80">
            <w:pPr>
              <w:pStyle w:val="Heading1"/>
              <w:rPr>
                <w:b w:val="0"/>
              </w:rPr>
            </w:pPr>
          </w:p>
        </w:tc>
      </w:tr>
      <w:tr w:rsidR="00443F80" w:rsidRPr="009B6439" w14:paraId="441201E4" w14:textId="48ED9AF6" w:rsidTr="00A643C5">
        <w:tc>
          <w:tcPr>
            <w:tcW w:w="928" w:type="dxa"/>
          </w:tcPr>
          <w:p w14:paraId="71938A29" w14:textId="0559133A" w:rsidR="00443F80" w:rsidRPr="00454782" w:rsidRDefault="00443F80" w:rsidP="00443F80">
            <w:r w:rsidRPr="003F3226">
              <w:t>20,21</w:t>
            </w:r>
          </w:p>
        </w:tc>
        <w:tc>
          <w:tcPr>
            <w:tcW w:w="1767" w:type="dxa"/>
          </w:tcPr>
          <w:p w14:paraId="442844C6" w14:textId="295A0BE0" w:rsidR="00443F80" w:rsidRPr="00295220" w:rsidRDefault="00443F80" w:rsidP="00443F80">
            <w:r w:rsidRPr="008A71AE">
              <w:t>Apr 4, 6</w:t>
            </w:r>
          </w:p>
        </w:tc>
        <w:tc>
          <w:tcPr>
            <w:tcW w:w="3076" w:type="dxa"/>
          </w:tcPr>
          <w:p w14:paraId="57E33FC3" w14:textId="38943108" w:rsidR="00443F80" w:rsidRPr="00A643C5" w:rsidRDefault="00443F80" w:rsidP="00443F80">
            <w:pPr>
              <w:pStyle w:val="Heading1"/>
              <w:rPr>
                <w:b w:val="0"/>
                <w:bCs w:val="0"/>
              </w:rPr>
            </w:pPr>
            <w:r w:rsidRPr="009F2CE4">
              <w:t>Exam 2</w:t>
            </w:r>
            <w:r w:rsidRPr="00A643C5">
              <w:rPr>
                <w:b w:val="0"/>
                <w:bCs w:val="0"/>
              </w:rPr>
              <w:t xml:space="preserve"> (ch. 4-6)</w:t>
            </w:r>
            <w:r>
              <w:rPr>
                <w:b w:val="0"/>
                <w:bCs w:val="0"/>
              </w:rPr>
              <w:t>, Chapter 7</w:t>
            </w:r>
          </w:p>
        </w:tc>
        <w:tc>
          <w:tcPr>
            <w:tcW w:w="2319" w:type="dxa"/>
          </w:tcPr>
          <w:p w14:paraId="5E5EA78E" w14:textId="3109D779" w:rsidR="00443F80" w:rsidRPr="00A643C5" w:rsidRDefault="002E6E33" w:rsidP="00443F80">
            <w:pPr>
              <w:pStyle w:val="Heading1"/>
              <w:rPr>
                <w:b w:val="0"/>
              </w:rPr>
            </w:pPr>
            <w:r w:rsidRPr="00A643C5">
              <w:rPr>
                <w:b w:val="0"/>
              </w:rPr>
              <w:t>Sorting</w:t>
            </w:r>
          </w:p>
        </w:tc>
      </w:tr>
      <w:tr w:rsidR="00443F80" w:rsidRPr="009B6439" w14:paraId="02001BE8" w14:textId="704EEAC5" w:rsidTr="00A643C5">
        <w:tc>
          <w:tcPr>
            <w:tcW w:w="928" w:type="dxa"/>
          </w:tcPr>
          <w:p w14:paraId="01DF70CF" w14:textId="32D75AC8" w:rsidR="00443F80" w:rsidRPr="00454782" w:rsidRDefault="00443F80" w:rsidP="00443F80">
            <w:r w:rsidRPr="003F3226">
              <w:t>22,23</w:t>
            </w:r>
          </w:p>
        </w:tc>
        <w:tc>
          <w:tcPr>
            <w:tcW w:w="1767" w:type="dxa"/>
          </w:tcPr>
          <w:p w14:paraId="73F754AB" w14:textId="7E86669D" w:rsidR="00443F80" w:rsidRPr="00295220" w:rsidRDefault="00443F80" w:rsidP="00443F80">
            <w:r w:rsidRPr="008A71AE">
              <w:t>Apr 11, 13</w:t>
            </w:r>
          </w:p>
        </w:tc>
        <w:tc>
          <w:tcPr>
            <w:tcW w:w="3076" w:type="dxa"/>
          </w:tcPr>
          <w:p w14:paraId="7278090D" w14:textId="6570828D" w:rsidR="00443F80" w:rsidRPr="00A643C5" w:rsidRDefault="00443F80" w:rsidP="00443F80">
            <w:pPr>
              <w:pStyle w:val="Heading1"/>
              <w:rPr>
                <w:b w:val="0"/>
                <w:bCs w:val="0"/>
              </w:rPr>
            </w:pPr>
            <w:r w:rsidRPr="00A643C5">
              <w:rPr>
                <w:b w:val="0"/>
                <w:bCs w:val="0"/>
              </w:rPr>
              <w:t>Chapter 7</w:t>
            </w:r>
          </w:p>
        </w:tc>
        <w:tc>
          <w:tcPr>
            <w:tcW w:w="2319" w:type="dxa"/>
          </w:tcPr>
          <w:p w14:paraId="1E916EE5" w14:textId="321A2BAA" w:rsidR="00443F80" w:rsidRPr="00A643C5" w:rsidRDefault="00443F80" w:rsidP="00443F80">
            <w:pPr>
              <w:pStyle w:val="Heading1"/>
              <w:rPr>
                <w:b w:val="0"/>
              </w:rPr>
            </w:pPr>
          </w:p>
        </w:tc>
      </w:tr>
      <w:tr w:rsidR="00443F80" w:rsidRPr="009B6439" w14:paraId="5CE676AE" w14:textId="4C580D40" w:rsidTr="00A643C5">
        <w:tc>
          <w:tcPr>
            <w:tcW w:w="928" w:type="dxa"/>
          </w:tcPr>
          <w:p w14:paraId="593B4136" w14:textId="68D07142" w:rsidR="00443F80" w:rsidRPr="00454782" w:rsidRDefault="00443F80" w:rsidP="00443F80">
            <w:r w:rsidRPr="003F3226">
              <w:t>24,25</w:t>
            </w:r>
          </w:p>
        </w:tc>
        <w:tc>
          <w:tcPr>
            <w:tcW w:w="1767" w:type="dxa"/>
          </w:tcPr>
          <w:p w14:paraId="51419BB8" w14:textId="051B97DD" w:rsidR="00443F80" w:rsidRPr="00295220" w:rsidRDefault="00443F80" w:rsidP="00443F80">
            <w:r w:rsidRPr="008A71AE">
              <w:t>Apr 18, 20</w:t>
            </w:r>
          </w:p>
        </w:tc>
        <w:tc>
          <w:tcPr>
            <w:tcW w:w="3076" w:type="dxa"/>
          </w:tcPr>
          <w:p w14:paraId="5CFFD049" w14:textId="1DD22B83" w:rsidR="00443F80" w:rsidRPr="00A643C5" w:rsidRDefault="00443F80" w:rsidP="00443F80">
            <w:pPr>
              <w:pStyle w:val="Heading1"/>
              <w:rPr>
                <w:b w:val="0"/>
                <w:bCs w:val="0"/>
              </w:rPr>
            </w:pPr>
            <w:r w:rsidRPr="00A643C5">
              <w:rPr>
                <w:b w:val="0"/>
                <w:bCs w:val="0"/>
              </w:rPr>
              <w:t>Chapter 8, Chapter 9</w:t>
            </w:r>
          </w:p>
        </w:tc>
        <w:tc>
          <w:tcPr>
            <w:tcW w:w="2319" w:type="dxa"/>
          </w:tcPr>
          <w:p w14:paraId="690123B8" w14:textId="57099B6B" w:rsidR="00443F80" w:rsidRDefault="00443F80" w:rsidP="00443F80">
            <w:pPr>
              <w:pStyle w:val="Heading1"/>
              <w:rPr>
                <w:b w:val="0"/>
              </w:rPr>
            </w:pPr>
            <w:r w:rsidRPr="00A643C5">
              <w:rPr>
                <w:b w:val="0"/>
              </w:rPr>
              <w:t>Sets, Graphs</w:t>
            </w:r>
          </w:p>
        </w:tc>
      </w:tr>
      <w:tr w:rsidR="00443F80" w:rsidRPr="009B6439" w14:paraId="09BD194B" w14:textId="6BC43105" w:rsidTr="00A643C5">
        <w:tc>
          <w:tcPr>
            <w:tcW w:w="928" w:type="dxa"/>
          </w:tcPr>
          <w:p w14:paraId="1063DC36" w14:textId="4944CF17" w:rsidR="00443F80" w:rsidRPr="00454782" w:rsidRDefault="00443F80" w:rsidP="00443F80">
            <w:r w:rsidRPr="003F3226">
              <w:t xml:space="preserve">26,27 </w:t>
            </w:r>
          </w:p>
        </w:tc>
        <w:tc>
          <w:tcPr>
            <w:tcW w:w="1767" w:type="dxa"/>
          </w:tcPr>
          <w:p w14:paraId="6203C5C7" w14:textId="0E9DB275" w:rsidR="00443F80" w:rsidRPr="00295220" w:rsidRDefault="00443F80" w:rsidP="00443F80">
            <w:r w:rsidRPr="008A71AE">
              <w:t>Apr 25, 27</w:t>
            </w:r>
          </w:p>
        </w:tc>
        <w:tc>
          <w:tcPr>
            <w:tcW w:w="3076" w:type="dxa"/>
          </w:tcPr>
          <w:p w14:paraId="45C74C0B" w14:textId="5ABE171A" w:rsidR="00443F80" w:rsidRPr="00A643C5" w:rsidRDefault="00443F80" w:rsidP="00443F80">
            <w:pPr>
              <w:pStyle w:val="Heading1"/>
              <w:rPr>
                <w:b w:val="0"/>
                <w:bCs w:val="0"/>
              </w:rPr>
            </w:pPr>
            <w:r w:rsidRPr="00A643C5">
              <w:rPr>
                <w:b w:val="0"/>
                <w:bCs w:val="0"/>
              </w:rPr>
              <w:t>Chapter 9</w:t>
            </w:r>
          </w:p>
        </w:tc>
        <w:tc>
          <w:tcPr>
            <w:tcW w:w="2319" w:type="dxa"/>
          </w:tcPr>
          <w:p w14:paraId="60996B39" w14:textId="77777777" w:rsidR="00443F80" w:rsidRDefault="00443F80" w:rsidP="00443F80">
            <w:pPr>
              <w:pStyle w:val="Heading1"/>
              <w:rPr>
                <w:b w:val="0"/>
              </w:rPr>
            </w:pPr>
          </w:p>
        </w:tc>
      </w:tr>
      <w:tr w:rsidR="00443F80" w:rsidRPr="009B6439" w14:paraId="009BED3B" w14:textId="77777777" w:rsidTr="00A643C5">
        <w:tc>
          <w:tcPr>
            <w:tcW w:w="928" w:type="dxa"/>
          </w:tcPr>
          <w:p w14:paraId="6E7004E3" w14:textId="77777777" w:rsidR="00443F80" w:rsidRPr="003F3226" w:rsidRDefault="00443F80" w:rsidP="00443F80"/>
        </w:tc>
        <w:tc>
          <w:tcPr>
            <w:tcW w:w="1767" w:type="dxa"/>
          </w:tcPr>
          <w:p w14:paraId="5A785A78" w14:textId="77777777" w:rsidR="00443F80" w:rsidRPr="008A71AE" w:rsidRDefault="00443F80" w:rsidP="00443F80"/>
        </w:tc>
        <w:tc>
          <w:tcPr>
            <w:tcW w:w="3076" w:type="dxa"/>
          </w:tcPr>
          <w:p w14:paraId="56339DE9" w14:textId="77777777" w:rsidR="00443F80" w:rsidRPr="00A643C5" w:rsidRDefault="00443F80" w:rsidP="00443F80">
            <w:pPr>
              <w:pStyle w:val="Heading1"/>
              <w:rPr>
                <w:b w:val="0"/>
                <w:bCs w:val="0"/>
              </w:rPr>
            </w:pPr>
          </w:p>
        </w:tc>
        <w:tc>
          <w:tcPr>
            <w:tcW w:w="2319" w:type="dxa"/>
          </w:tcPr>
          <w:p w14:paraId="153DD834" w14:textId="77777777" w:rsidR="00443F80" w:rsidRDefault="00443F80" w:rsidP="00443F80">
            <w:pPr>
              <w:pStyle w:val="Heading1"/>
              <w:rPr>
                <w:b w:val="0"/>
              </w:rPr>
            </w:pPr>
          </w:p>
        </w:tc>
      </w:tr>
      <w:tr w:rsidR="00443F80" w:rsidRPr="009B6439" w14:paraId="37354024" w14:textId="78B364D0" w:rsidTr="00A643C5">
        <w:tc>
          <w:tcPr>
            <w:tcW w:w="928" w:type="dxa"/>
          </w:tcPr>
          <w:p w14:paraId="0D53C4E1" w14:textId="2B59D7AE" w:rsidR="00443F80" w:rsidRPr="00454782" w:rsidRDefault="00443F80" w:rsidP="00443F80">
            <w:r>
              <w:t>28,29</w:t>
            </w:r>
          </w:p>
        </w:tc>
        <w:tc>
          <w:tcPr>
            <w:tcW w:w="1767" w:type="dxa"/>
          </w:tcPr>
          <w:p w14:paraId="61B4A761" w14:textId="11582BB3" w:rsidR="00443F80" w:rsidRDefault="00443F80" w:rsidP="00443F80">
            <w:r>
              <w:t>May 2, 4</w:t>
            </w:r>
          </w:p>
        </w:tc>
        <w:tc>
          <w:tcPr>
            <w:tcW w:w="3076" w:type="dxa"/>
          </w:tcPr>
          <w:p w14:paraId="6A86248E" w14:textId="299BACA7" w:rsidR="00443F80" w:rsidRPr="00E93E91" w:rsidRDefault="00443F80" w:rsidP="00443F80">
            <w:pPr>
              <w:pStyle w:val="Heading1"/>
              <w:rPr>
                <w:b w:val="0"/>
              </w:rPr>
            </w:pPr>
            <w:r>
              <w:rPr>
                <w:b w:val="0"/>
              </w:rPr>
              <w:t xml:space="preserve">Review, </w:t>
            </w:r>
            <w:r w:rsidRPr="009F2CE4">
              <w:rPr>
                <w:bCs w:val="0"/>
              </w:rPr>
              <w:t>Exam 3</w:t>
            </w:r>
            <w:r>
              <w:t xml:space="preserve"> </w:t>
            </w:r>
            <w:r w:rsidRPr="00FB5C84">
              <w:rPr>
                <w:b w:val="0"/>
                <w:bCs w:val="0"/>
              </w:rPr>
              <w:t>(ch. 7-9)</w:t>
            </w:r>
          </w:p>
        </w:tc>
        <w:tc>
          <w:tcPr>
            <w:tcW w:w="2319" w:type="dxa"/>
          </w:tcPr>
          <w:p w14:paraId="152F6A1D" w14:textId="77777777" w:rsidR="00443F80" w:rsidRPr="00E93E91" w:rsidRDefault="00443F80" w:rsidP="00443F80">
            <w:pPr>
              <w:pStyle w:val="Heading1"/>
              <w:rPr>
                <w:b w:val="0"/>
              </w:rPr>
            </w:pPr>
          </w:p>
        </w:tc>
      </w:tr>
    </w:tbl>
    <w:p w14:paraId="540D7613" w14:textId="77777777" w:rsidR="002902F1" w:rsidRPr="002902F1" w:rsidRDefault="002902F1" w:rsidP="002902F1">
      <w:pPr>
        <w:rPr>
          <w:lang w:bidi="en-US"/>
        </w:rPr>
      </w:pPr>
    </w:p>
    <w:p w14:paraId="7ECAB0E9" w14:textId="71DFDC07" w:rsidR="009675F7" w:rsidRDefault="009675F7">
      <w:pPr>
        <w:spacing w:after="160" w:line="259" w:lineRule="auto"/>
        <w:rPr>
          <w:lang w:bidi="en-US"/>
        </w:rPr>
      </w:pPr>
      <w:r>
        <w:rPr>
          <w:lang w:bidi="en-US"/>
        </w:rPr>
        <w:br w:type="page"/>
      </w:r>
    </w:p>
    <w:p w14:paraId="2B44B27D" w14:textId="77777777" w:rsidR="00EE5A41" w:rsidRPr="00F75F6B" w:rsidRDefault="00EE5A41" w:rsidP="00D6656D"/>
    <w:p w14:paraId="05802687" w14:textId="5DA99596" w:rsidR="00EE5A41" w:rsidRDefault="00EE5A41" w:rsidP="00B45E70">
      <w:pPr>
        <w:pStyle w:val="Heading1"/>
      </w:pPr>
      <w:r w:rsidRPr="006436F9">
        <w:t>Grading Policy</w:t>
      </w:r>
    </w:p>
    <w:p w14:paraId="4DDC8C09" w14:textId="3D2D9414" w:rsidR="00413503" w:rsidRDefault="00413503" w:rsidP="00413503">
      <w:r>
        <w:t xml:space="preserve">Letter grades are determined using the standard 10-point range for each letter, then dividing this range into three equal parts to determine the +/- designation.  </w:t>
      </w:r>
    </w:p>
    <w:p w14:paraId="79795774" w14:textId="77777777" w:rsidR="00413503" w:rsidRDefault="00413503" w:rsidP="00413503"/>
    <w:p w14:paraId="1896A8F2" w14:textId="79C44433" w:rsidR="00413503" w:rsidRDefault="00413503" w:rsidP="00413503">
      <w:r>
        <w:t>The following weights are used in determining the final score.</w:t>
      </w:r>
    </w:p>
    <w:p w14:paraId="5184A61A" w14:textId="77777777" w:rsidR="00413503" w:rsidRPr="00413503" w:rsidRDefault="00413503" w:rsidP="00413503">
      <w:pPr>
        <w:rPr>
          <w:lang w:bidi="en-US"/>
        </w:rPr>
      </w:pPr>
    </w:p>
    <w:p w14:paraId="7A35264D" w14:textId="48CC2997" w:rsidR="00413503" w:rsidRDefault="00413503" w:rsidP="00413503">
      <w:pPr>
        <w:tabs>
          <w:tab w:val="left" w:pos="576"/>
          <w:tab w:val="left" w:pos="1152"/>
          <w:tab w:val="left" w:pos="2592"/>
          <w:tab w:val="left" w:pos="3312"/>
          <w:tab w:val="left" w:pos="5040"/>
          <w:tab w:val="left" w:pos="6624"/>
        </w:tabs>
        <w:spacing w:line="240" w:lineRule="atLeast"/>
        <w:rPr>
          <w:lang w:val="pt-BR"/>
        </w:rPr>
      </w:pPr>
      <w:r>
        <w:rPr>
          <w:lang w:val="pt-BR"/>
        </w:rPr>
        <w:t>Exam 1</w:t>
      </w:r>
      <w:r>
        <w:rPr>
          <w:lang w:val="pt-BR"/>
        </w:rPr>
        <w:tab/>
      </w:r>
      <w:r>
        <w:rPr>
          <w:lang w:val="pt-BR"/>
        </w:rPr>
        <w:tab/>
      </w:r>
      <w:r w:rsidR="00B977A0">
        <w:rPr>
          <w:lang w:val="pt-BR"/>
        </w:rPr>
        <w:t>15</w:t>
      </w:r>
      <w:r>
        <w:rPr>
          <w:lang w:val="pt-BR"/>
        </w:rPr>
        <w:t>%</w:t>
      </w:r>
    </w:p>
    <w:p w14:paraId="640B449E" w14:textId="00E655D7" w:rsidR="00413503" w:rsidRDefault="00413503" w:rsidP="00413503">
      <w:pPr>
        <w:tabs>
          <w:tab w:val="left" w:pos="576"/>
          <w:tab w:val="left" w:pos="1152"/>
          <w:tab w:val="left" w:pos="2592"/>
          <w:tab w:val="left" w:pos="3312"/>
          <w:tab w:val="left" w:pos="5040"/>
          <w:tab w:val="left" w:pos="6624"/>
        </w:tabs>
        <w:spacing w:line="240" w:lineRule="atLeast"/>
        <w:rPr>
          <w:lang w:val="pt-BR"/>
        </w:rPr>
      </w:pPr>
      <w:r>
        <w:rPr>
          <w:lang w:val="pt-BR"/>
        </w:rPr>
        <w:t>Exam 2</w:t>
      </w:r>
      <w:r>
        <w:rPr>
          <w:lang w:val="pt-BR"/>
        </w:rPr>
        <w:tab/>
      </w:r>
      <w:r>
        <w:rPr>
          <w:lang w:val="pt-BR"/>
        </w:rPr>
        <w:tab/>
      </w:r>
      <w:r w:rsidR="00B977A0">
        <w:rPr>
          <w:lang w:val="pt-BR"/>
        </w:rPr>
        <w:t>15</w:t>
      </w:r>
      <w:r>
        <w:rPr>
          <w:lang w:val="pt-BR"/>
        </w:rPr>
        <w:t>%</w:t>
      </w:r>
    </w:p>
    <w:p w14:paraId="1F77D86C" w14:textId="34A81921" w:rsidR="00B977A0" w:rsidRDefault="00B977A0" w:rsidP="00413503">
      <w:pPr>
        <w:tabs>
          <w:tab w:val="left" w:pos="576"/>
          <w:tab w:val="left" w:pos="1152"/>
          <w:tab w:val="left" w:pos="2592"/>
          <w:tab w:val="left" w:pos="3312"/>
          <w:tab w:val="left" w:pos="5040"/>
          <w:tab w:val="left" w:pos="6624"/>
        </w:tabs>
        <w:spacing w:line="240" w:lineRule="atLeast"/>
        <w:rPr>
          <w:lang w:val="pt-BR"/>
        </w:rPr>
      </w:pPr>
      <w:r>
        <w:rPr>
          <w:lang w:val="pt-BR"/>
        </w:rPr>
        <w:t>Exam 3</w:t>
      </w:r>
      <w:r>
        <w:rPr>
          <w:lang w:val="pt-BR"/>
        </w:rPr>
        <w:tab/>
      </w:r>
      <w:r>
        <w:rPr>
          <w:lang w:val="pt-BR"/>
        </w:rPr>
        <w:tab/>
        <w:t>15%</w:t>
      </w:r>
    </w:p>
    <w:p w14:paraId="7FA4CB7B" w14:textId="2A5E27A3" w:rsidR="00413503" w:rsidRDefault="00413503" w:rsidP="00413503">
      <w:pPr>
        <w:tabs>
          <w:tab w:val="left" w:pos="576"/>
          <w:tab w:val="left" w:pos="1152"/>
          <w:tab w:val="left" w:pos="2592"/>
          <w:tab w:val="left" w:pos="3312"/>
          <w:tab w:val="left" w:pos="5040"/>
          <w:tab w:val="left" w:pos="6624"/>
        </w:tabs>
        <w:spacing w:line="240" w:lineRule="atLeast"/>
      </w:pPr>
      <w:r>
        <w:t>Assignment Average</w:t>
      </w:r>
      <w:r>
        <w:tab/>
      </w:r>
      <w:r w:rsidR="00B977A0">
        <w:t>25</w:t>
      </w:r>
      <w:r>
        <w:t>%</w:t>
      </w:r>
    </w:p>
    <w:p w14:paraId="701F2B56" w14:textId="42003B18" w:rsidR="00413503" w:rsidRDefault="00413503" w:rsidP="00413503">
      <w:pPr>
        <w:tabs>
          <w:tab w:val="left" w:pos="576"/>
          <w:tab w:val="left" w:pos="1152"/>
          <w:tab w:val="left" w:pos="2592"/>
          <w:tab w:val="left" w:pos="3312"/>
          <w:tab w:val="left" w:pos="5040"/>
          <w:tab w:val="left" w:pos="6624"/>
        </w:tabs>
        <w:spacing w:line="240" w:lineRule="atLeast"/>
      </w:pPr>
      <w:r>
        <w:t>Project Average</w:t>
      </w:r>
      <w:r>
        <w:tab/>
        <w:t>30%</w:t>
      </w:r>
    </w:p>
    <w:p w14:paraId="2052B69A" w14:textId="4443DAFE" w:rsidR="00EE5A41" w:rsidRPr="006436F9" w:rsidRDefault="00EE5A41" w:rsidP="00D6656D"/>
    <w:p w14:paraId="2033F635" w14:textId="77777777" w:rsidR="00EE5A41" w:rsidRPr="00F75F6B" w:rsidRDefault="00EE5A41" w:rsidP="00D6656D"/>
    <w:p w14:paraId="047914F1" w14:textId="77777777" w:rsidR="00EE5A41" w:rsidRPr="006436F9" w:rsidRDefault="00EE5A41" w:rsidP="00B45E70">
      <w:pPr>
        <w:pStyle w:val="Heading1"/>
      </w:pPr>
      <w:r w:rsidRPr="006436F9">
        <w:t>Course Policies</w:t>
      </w:r>
    </w:p>
    <w:p w14:paraId="3425122E" w14:textId="77777777" w:rsidR="00EE5A41" w:rsidRPr="006436F9" w:rsidRDefault="00EE5A41" w:rsidP="00B45E70">
      <w:pPr>
        <w:pStyle w:val="Heading2"/>
      </w:pPr>
      <w:r w:rsidRPr="006436F9">
        <w:t>Make-up exams</w:t>
      </w:r>
      <w:r w:rsidR="002B3FFB">
        <w:t xml:space="preserve"> </w:t>
      </w:r>
    </w:p>
    <w:p w14:paraId="0D374422" w14:textId="12FF2E82" w:rsidR="00EE5A41" w:rsidRDefault="00BB7D54" w:rsidP="00D6656D">
      <w:r>
        <w:t xml:space="preserve">Exams must be taken on time.  Exceptions require advance approval by the instructor.  It is up to the instructor to determine whether an exception will be </w:t>
      </w:r>
      <w:proofErr w:type="gramStart"/>
      <w:r>
        <w:t>made, and</w:t>
      </w:r>
      <w:proofErr w:type="gramEnd"/>
      <w:r>
        <w:t xml:space="preserve"> will depend largely on proof of extraordinary circumstances.  Otherwise, a missed exam will either incur a substantial penalty or be recorded as a zero.</w:t>
      </w:r>
    </w:p>
    <w:p w14:paraId="62A7F542" w14:textId="77777777" w:rsidR="00BB7D54" w:rsidRPr="006436F9" w:rsidRDefault="00BB7D54" w:rsidP="00D6656D"/>
    <w:p w14:paraId="1C3D8287" w14:textId="77777777" w:rsidR="00EE5A41" w:rsidRPr="006436F9" w:rsidRDefault="00EE5A41" w:rsidP="00B45E70">
      <w:pPr>
        <w:pStyle w:val="Heading2"/>
      </w:pPr>
      <w:r w:rsidRPr="006436F9">
        <w:t>Extra Credit</w:t>
      </w:r>
    </w:p>
    <w:p w14:paraId="65A1A86F" w14:textId="4360FB57" w:rsidR="00BB7D54" w:rsidRDefault="00BB7D54" w:rsidP="00BB7D54">
      <w:pPr>
        <w:tabs>
          <w:tab w:val="left" w:pos="0"/>
          <w:tab w:val="left" w:pos="1152"/>
          <w:tab w:val="left" w:pos="2592"/>
          <w:tab w:val="left" w:pos="3312"/>
          <w:tab w:val="left" w:pos="5040"/>
          <w:tab w:val="left" w:pos="6624"/>
        </w:tabs>
        <w:spacing w:line="240" w:lineRule="atLeast"/>
      </w:pPr>
      <w:r>
        <w:t>The lowest assignment score and the lowest project score are dropped</w:t>
      </w:r>
      <w:r w:rsidR="00E770CF" w:rsidRPr="00E770CF">
        <w:t xml:space="preserve"> </w:t>
      </w:r>
      <w:r w:rsidR="00E770CF">
        <w:t xml:space="preserve">to account for mistakes in submission.  </w:t>
      </w:r>
      <w:r>
        <w:t>No other bonus work, make-up work, dropped scores, or other means of raising your grade should be expected.  At the end of the semester, it is possible that grades may be curved, but a curve should not be expected.</w:t>
      </w:r>
    </w:p>
    <w:p w14:paraId="7EC53507" w14:textId="066B8388" w:rsidR="00EE5A41" w:rsidRPr="006436F9" w:rsidRDefault="00EE5A41" w:rsidP="00D6656D"/>
    <w:p w14:paraId="6E905263" w14:textId="77777777" w:rsidR="00EE5A41" w:rsidRPr="006436F9" w:rsidRDefault="00EE5A41" w:rsidP="00B45E70">
      <w:pPr>
        <w:pStyle w:val="Heading2"/>
      </w:pPr>
      <w:r w:rsidRPr="006436F9">
        <w:t>Late Work</w:t>
      </w:r>
    </w:p>
    <w:p w14:paraId="31B5A21E" w14:textId="28B6CC95" w:rsidR="00EE5A41" w:rsidRDefault="00BB7D54" w:rsidP="00D6656D">
      <w:r>
        <w:t>Due dates will be followed by a 24-hour grace period.  After the 24-hour period ends, the score is recorded as a zero.</w:t>
      </w:r>
    </w:p>
    <w:p w14:paraId="07D347F3" w14:textId="77777777" w:rsidR="00BB7D54" w:rsidRPr="006436F9" w:rsidRDefault="00BB7D54" w:rsidP="00D6656D"/>
    <w:p w14:paraId="20192002" w14:textId="77777777" w:rsidR="00EE5A41" w:rsidRPr="006436F9" w:rsidRDefault="00EE5A41" w:rsidP="00B45E70">
      <w:pPr>
        <w:pStyle w:val="Heading2"/>
      </w:pPr>
      <w:r w:rsidRPr="006436F9">
        <w:t>Special Assignments</w:t>
      </w:r>
    </w:p>
    <w:p w14:paraId="7EEDAEA9" w14:textId="1EA590DB" w:rsidR="00EE5A41" w:rsidRDefault="00BB7D54" w:rsidP="00D6656D">
      <w:r>
        <w:t>N/A</w:t>
      </w:r>
    </w:p>
    <w:p w14:paraId="50B2F46E" w14:textId="77777777" w:rsidR="00BB7D54" w:rsidRPr="006436F9" w:rsidRDefault="00BB7D54" w:rsidP="00D6656D"/>
    <w:p w14:paraId="7F528399" w14:textId="77777777" w:rsidR="00EE5A41" w:rsidRPr="006436F9" w:rsidRDefault="00EE5A41" w:rsidP="00B45E70">
      <w:pPr>
        <w:pStyle w:val="Heading2"/>
      </w:pPr>
      <w:r w:rsidRPr="006436F9">
        <w:t xml:space="preserve">Class </w:t>
      </w:r>
      <w:r>
        <w:t>Participation</w:t>
      </w:r>
    </w:p>
    <w:p w14:paraId="1B8F8EAD" w14:textId="3F557206" w:rsidR="00EE5A41" w:rsidRDefault="00413503" w:rsidP="00D6656D">
      <w:r>
        <w:t>If a student appears to have stopped participating, for example, no longer submitting assignments, the student will be reported to the department for follow-up.</w:t>
      </w:r>
    </w:p>
    <w:p w14:paraId="4C0429E8" w14:textId="77777777" w:rsidR="00413503" w:rsidRPr="006436F9" w:rsidRDefault="00413503" w:rsidP="00D6656D"/>
    <w:p w14:paraId="6D6153B1" w14:textId="77777777" w:rsidR="00EE5A41" w:rsidRPr="006436F9" w:rsidRDefault="00EE5A41" w:rsidP="00B45E70">
      <w:pPr>
        <w:pStyle w:val="Heading2"/>
      </w:pPr>
      <w:r w:rsidRPr="006436F9">
        <w:t>Classroom Citizenship</w:t>
      </w:r>
    </w:p>
    <w:p w14:paraId="49D4AD21" w14:textId="4EA5B56D" w:rsidR="00EE5A41" w:rsidRPr="0012299F" w:rsidRDefault="00413503" w:rsidP="00D6656D">
      <w:r>
        <w:t>All students are expected to conduct themselves appropriately in the course, including in the live lectures as well as in communication with the instructor and grader(s).</w:t>
      </w:r>
    </w:p>
    <w:p w14:paraId="7F02A054" w14:textId="07095777" w:rsidR="00413503" w:rsidRDefault="00413503">
      <w:pPr>
        <w:spacing w:after="160" w:line="259" w:lineRule="auto"/>
      </w:pPr>
      <w:r>
        <w:br w:type="page"/>
      </w:r>
    </w:p>
    <w:p w14:paraId="662D6C35" w14:textId="77777777" w:rsidR="00667283" w:rsidRPr="00FC10C5" w:rsidRDefault="00667283" w:rsidP="00667283">
      <w:pPr>
        <w:pStyle w:val="BodyText"/>
        <w:rPr>
          <w:rFonts w:ascii="Times New Roman" w:hAnsi="Times New Roman" w:cs="Times New Roman"/>
          <w:b/>
          <w:bCs/>
          <w:sz w:val="22"/>
        </w:rPr>
      </w:pPr>
      <w:r w:rsidRPr="00FC10C5">
        <w:rPr>
          <w:rFonts w:ascii="Times New Roman" w:hAnsi="Times New Roman" w:cs="Times New Roman"/>
          <w:b/>
          <w:bCs/>
          <w:sz w:val="22"/>
        </w:rPr>
        <w:lastRenderedPageBreak/>
        <w:t>Class Materials</w:t>
      </w:r>
    </w:p>
    <w:p w14:paraId="779D146D" w14:textId="77777777" w:rsidR="00667283" w:rsidRPr="00FC10C5" w:rsidRDefault="00667283" w:rsidP="00667283">
      <w:pPr>
        <w:pStyle w:val="BodyText"/>
        <w:rPr>
          <w:rFonts w:ascii="Times New Roman" w:hAnsi="Times New Roman" w:cs="Times New Roman"/>
          <w:sz w:val="22"/>
        </w:rPr>
      </w:pPr>
      <w:r w:rsidRPr="00FC10C5">
        <w:rPr>
          <w:rFonts w:ascii="Times New Roman" w:hAnsi="Times New Roman" w:cs="Times New Roman"/>
          <w:sz w:val="22"/>
        </w:rPr>
        <w:t xml:space="preserve">The </w:t>
      </w:r>
      <w:proofErr w:type="gramStart"/>
      <w:r w:rsidRPr="00FC10C5">
        <w:rPr>
          <w:rFonts w:ascii="Times New Roman" w:hAnsi="Times New Roman" w:cs="Times New Roman"/>
          <w:sz w:val="22"/>
        </w:rPr>
        <w:t>Instructor</w:t>
      </w:r>
      <w:proofErr w:type="gramEnd"/>
      <w:r w:rsidRPr="00FC10C5">
        <w:rPr>
          <w:rFonts w:ascii="Times New Roman" w:hAnsi="Times New Roman" w:cs="Times New Roman"/>
          <w:sz w:val="22"/>
        </w:rPr>
        <w:t xml:space="preserve"> may provide class materials that will be made available to all students registered for this class as they are intended to supplement the classroom experience. These materials may be downloaded during the </w:t>
      </w:r>
      <w:proofErr w:type="gramStart"/>
      <w:r w:rsidRPr="00FC10C5">
        <w:rPr>
          <w:rFonts w:ascii="Times New Roman" w:hAnsi="Times New Roman" w:cs="Times New Roman"/>
          <w:sz w:val="22"/>
        </w:rPr>
        <w:t>course,</w:t>
      </w:r>
      <w:proofErr w:type="gramEnd"/>
      <w:r w:rsidRPr="00FC10C5">
        <w:rPr>
          <w:rFonts w:ascii="Times New Roman" w:hAnsi="Times New Roman" w:cs="Times New Roman"/>
          <w:sz w:val="22"/>
        </w:rPr>
        <w:t xml:space="preserve"> however, these materials are for registered students' use only. Classroom materials may not be reproduced or shared with those not in </w:t>
      </w:r>
      <w:proofErr w:type="gramStart"/>
      <w:r w:rsidRPr="00FC10C5">
        <w:rPr>
          <w:rFonts w:ascii="Times New Roman" w:hAnsi="Times New Roman" w:cs="Times New Roman"/>
          <w:sz w:val="22"/>
        </w:rPr>
        <w:t>class, or</w:t>
      </w:r>
      <w:proofErr w:type="gramEnd"/>
      <w:r w:rsidRPr="00FC10C5">
        <w:rPr>
          <w:rFonts w:ascii="Times New Roman" w:hAnsi="Times New Roman" w:cs="Times New Roman"/>
          <w:sz w:val="22"/>
        </w:rPr>
        <w:t xml:space="preserve"> uploaded to other online environments except to implement an approved Office of Student AccessAbility accommodation. Failure to comply with these University requirements is a violation of the </w:t>
      </w:r>
      <w:hyperlink r:id="rId10" w:history="1">
        <w:r w:rsidRPr="00382C1F">
          <w:rPr>
            <w:rStyle w:val="Hyperlink"/>
            <w:rFonts w:ascii="Times New Roman" w:hAnsi="Times New Roman" w:cs="Times New Roman"/>
            <w:sz w:val="22"/>
          </w:rPr>
          <w:t>Student Code of Conduct.</w:t>
        </w:r>
      </w:hyperlink>
    </w:p>
    <w:p w14:paraId="73DFC1CE" w14:textId="79BCCBFA" w:rsidR="00B45E70" w:rsidRDefault="00B45E70" w:rsidP="00D6656D"/>
    <w:p w14:paraId="564459EF" w14:textId="77777777" w:rsidR="00693877" w:rsidRDefault="00693877" w:rsidP="00693877">
      <w:pPr>
        <w:rPr>
          <w:rFonts w:eastAsia="Arial" w:cs="Arial"/>
          <w:b/>
          <w:bCs/>
          <w:color w:val="000000" w:themeColor="text1"/>
          <w:szCs w:val="24"/>
        </w:rPr>
      </w:pPr>
      <w:r>
        <w:rPr>
          <w:rFonts w:eastAsia="Arial" w:cs="Arial"/>
          <w:b/>
          <w:bCs/>
          <w:color w:val="000000" w:themeColor="text1"/>
          <w:szCs w:val="24"/>
        </w:rPr>
        <w:t>Classroom Conduct Requirements Related to Public Health Measures</w:t>
      </w:r>
    </w:p>
    <w:p w14:paraId="173AFE64" w14:textId="77777777" w:rsidR="00693877" w:rsidRDefault="00693877" w:rsidP="00693877">
      <w:pPr>
        <w:rPr>
          <w:rFonts w:eastAsia="Arial" w:cs="Arial"/>
          <w:color w:val="000000" w:themeColor="text1"/>
          <w:szCs w:val="24"/>
        </w:rPr>
      </w:pPr>
    </w:p>
    <w:p w14:paraId="4D3E10A1" w14:textId="09C8D12C" w:rsidR="00693877" w:rsidRDefault="00693877" w:rsidP="00693877">
      <w:pPr>
        <w:pStyle w:val="NormalWeb"/>
        <w:spacing w:before="0" w:beforeAutospacing="0" w:after="0" w:afterAutospacing="0"/>
        <w:rPr>
          <w:rFonts w:ascii="Times New Roman" w:hAnsi="Times New Roman"/>
          <w:sz w:val="22"/>
          <w:szCs w:val="22"/>
        </w:rPr>
      </w:pPr>
      <w:r w:rsidRPr="00693877">
        <w:rPr>
          <w:rFonts w:ascii="Times New Roman" w:hAnsi="Times New Roman"/>
          <w:color w:val="000000" w:themeColor="text1"/>
          <w:sz w:val="22"/>
          <w:szCs w:val="22"/>
        </w:rPr>
        <w:t xml:space="preserve">UT Dallas will follow the public health and safety guidelines put forth by the Centers for Disease Control and Prevention (CDC), the Texas Department of State Health Services (DSHS), and local public health agencies that are in effect at that time during the Spring 2022 semester to the extent allowed by state governance. Texas Governor Greg Abbott’s Executive Order </w:t>
      </w:r>
      <w:hyperlink r:id="rId11" w:history="1">
        <w:r w:rsidRPr="00693877">
          <w:rPr>
            <w:rStyle w:val="Hyperlink"/>
            <w:rFonts w:ascii="Times New Roman" w:hAnsi="Times New Roman"/>
            <w:color w:val="0432FF"/>
            <w:sz w:val="22"/>
            <w:szCs w:val="22"/>
          </w:rPr>
          <w:t>GA-38</w:t>
        </w:r>
      </w:hyperlink>
      <w:r w:rsidRPr="00693877">
        <w:rPr>
          <w:rFonts w:ascii="Times New Roman" w:hAnsi="Times New Roman"/>
          <w:color w:val="000000" w:themeColor="text1"/>
          <w:sz w:val="22"/>
          <w:szCs w:val="22"/>
        </w:rPr>
        <w:t xml:space="preserve"> prohibits us from mandating vaccines and face coverings for UT Dallas employees, students, and members of the public on campus. However, we strongly encourage all Comets to get vaccinated and wear face coverings as recommended by the CDC. Check the </w:t>
      </w:r>
      <w:hyperlink r:id="rId12" w:tgtFrame="_blank" w:history="1">
        <w:r w:rsidRPr="00693877">
          <w:rPr>
            <w:rStyle w:val="Hyperlink"/>
            <w:rFonts w:ascii="Times New Roman" w:hAnsi="Times New Roman"/>
            <w:sz w:val="22"/>
            <w:szCs w:val="22"/>
            <w:bdr w:val="none" w:sz="0" w:space="0" w:color="auto" w:frame="1"/>
          </w:rPr>
          <w:t>Comets United: Latest Updates webpage</w:t>
        </w:r>
      </w:hyperlink>
      <w:r w:rsidRPr="00693877">
        <w:rPr>
          <w:rFonts w:ascii="Times New Roman" w:hAnsi="Times New Roman"/>
          <w:color w:val="333333"/>
          <w:sz w:val="22"/>
          <w:szCs w:val="22"/>
        </w:rPr>
        <w:t> </w:t>
      </w:r>
      <w:r w:rsidRPr="00693877">
        <w:rPr>
          <w:rFonts w:ascii="Times New Roman" w:hAnsi="Times New Roman"/>
          <w:color w:val="000000" w:themeColor="text1"/>
          <w:sz w:val="22"/>
          <w:szCs w:val="22"/>
        </w:rPr>
        <w:t xml:space="preserve">for the latest guidance on the University’s public health measures. Comets are expected to carry out </w:t>
      </w:r>
      <w:hyperlink r:id="rId13" w:history="1">
        <w:r w:rsidRPr="00693877">
          <w:rPr>
            <w:rStyle w:val="Hyperlink"/>
            <w:rFonts w:ascii="Times New Roman" w:hAnsi="Times New Roman"/>
            <w:sz w:val="22"/>
            <w:szCs w:val="22"/>
          </w:rPr>
          <w:t>Student Safety</w:t>
        </w:r>
      </w:hyperlink>
      <w:r w:rsidRPr="00693877">
        <w:rPr>
          <w:rFonts w:ascii="Times New Roman" w:hAnsi="Times New Roman"/>
          <w:sz w:val="22"/>
          <w:szCs w:val="22"/>
        </w:rPr>
        <w:t xml:space="preserve"> </w:t>
      </w:r>
      <w:r w:rsidRPr="00693877">
        <w:rPr>
          <w:rFonts w:ascii="Times New Roman" w:hAnsi="Times New Roman"/>
          <w:color w:val="000000" w:themeColor="text1"/>
          <w:sz w:val="22"/>
          <w:szCs w:val="22"/>
        </w:rPr>
        <w:t>protocols in adherence to the Comet Commitment. Unvaccinated Comets will be expected to complete the</w:t>
      </w:r>
      <w:r w:rsidRPr="00693877">
        <w:rPr>
          <w:rFonts w:ascii="Times New Roman" w:hAnsi="Times New Roman"/>
          <w:sz w:val="22"/>
          <w:szCs w:val="22"/>
        </w:rPr>
        <w:t xml:space="preserve"> </w:t>
      </w:r>
      <w:hyperlink r:id="rId14" w:history="1">
        <w:r w:rsidRPr="00693877">
          <w:rPr>
            <w:rStyle w:val="Hyperlink"/>
            <w:rFonts w:ascii="Times New Roman" w:hAnsi="Times New Roman"/>
            <w:sz w:val="22"/>
            <w:szCs w:val="22"/>
          </w:rPr>
          <w:t>Required Daily Health Screening.</w:t>
        </w:r>
      </w:hyperlink>
      <w:r w:rsidRPr="00693877">
        <w:rPr>
          <w:rFonts w:ascii="Times New Roman" w:hAnsi="Times New Roman"/>
          <w:sz w:val="22"/>
          <w:szCs w:val="22"/>
        </w:rPr>
        <w:t xml:space="preserve">  </w:t>
      </w:r>
      <w:r w:rsidRPr="00693877">
        <w:rPr>
          <w:rFonts w:ascii="Times New Roman" w:hAnsi="Times New Roman"/>
          <w:color w:val="000000" w:themeColor="text1"/>
          <w:sz w:val="22"/>
          <w:szCs w:val="22"/>
        </w:rPr>
        <w:t xml:space="preserve">Those students who do not comply will be referred to the Office of Community Standards and Conduct for disciplinary action under the </w:t>
      </w:r>
      <w:hyperlink r:id="rId15" w:history="1">
        <w:r w:rsidRPr="00693877">
          <w:rPr>
            <w:rStyle w:val="Hyperlink"/>
            <w:rFonts w:ascii="Times New Roman" w:hAnsi="Times New Roman"/>
            <w:sz w:val="22"/>
            <w:szCs w:val="22"/>
          </w:rPr>
          <w:t>Student Code of Conduct – UTSP5003</w:t>
        </w:r>
      </w:hyperlink>
      <w:r w:rsidRPr="00693877">
        <w:rPr>
          <w:rFonts w:ascii="Times New Roman" w:hAnsi="Times New Roman"/>
          <w:sz w:val="22"/>
          <w:szCs w:val="22"/>
        </w:rPr>
        <w:t>.</w:t>
      </w:r>
    </w:p>
    <w:p w14:paraId="780D360F" w14:textId="2DDFDCAE" w:rsidR="00693877" w:rsidRDefault="00693877" w:rsidP="00693877">
      <w:pPr>
        <w:pStyle w:val="NormalWeb"/>
        <w:spacing w:before="0" w:beforeAutospacing="0" w:after="0" w:afterAutospacing="0"/>
        <w:rPr>
          <w:rFonts w:ascii="Times New Roman" w:hAnsi="Times New Roman"/>
          <w:sz w:val="22"/>
          <w:szCs w:val="22"/>
        </w:rPr>
      </w:pPr>
    </w:p>
    <w:p w14:paraId="42AEEADC" w14:textId="77777777" w:rsidR="00693877" w:rsidRPr="009675F7" w:rsidRDefault="00693877" w:rsidP="00693877">
      <w:pPr>
        <w:pStyle w:val="Heading2"/>
        <w:rPr>
          <w:b/>
          <w:i w:val="0"/>
          <w:iCs/>
          <w:color w:val="000000" w:themeColor="text1"/>
          <w:szCs w:val="22"/>
        </w:rPr>
      </w:pPr>
      <w:r w:rsidRPr="009675F7">
        <w:rPr>
          <w:b/>
          <w:bCs w:val="0"/>
          <w:i w:val="0"/>
          <w:iCs/>
          <w:color w:val="000000" w:themeColor="text1"/>
          <w:szCs w:val="22"/>
        </w:rPr>
        <w:t xml:space="preserve">Class Attendance </w:t>
      </w:r>
    </w:p>
    <w:p w14:paraId="4B74D39C" w14:textId="77777777" w:rsidR="00693877" w:rsidRDefault="00693877" w:rsidP="00693877">
      <w:pPr>
        <w:rPr>
          <w:rFonts w:ascii="Arial" w:hAnsi="Arial" w:cs="Tahoma"/>
          <w:sz w:val="24"/>
        </w:rPr>
      </w:pPr>
    </w:p>
    <w:p w14:paraId="5BE6F1C5" w14:textId="77777777" w:rsidR="00693877" w:rsidRDefault="00693877" w:rsidP="00693877">
      <w:pPr>
        <w:autoSpaceDE w:val="0"/>
        <w:autoSpaceDN w:val="0"/>
        <w:adjustRightInd w:val="0"/>
        <w:rPr>
          <w:rFonts w:cstheme="minorHAnsi"/>
        </w:rPr>
      </w:pPr>
      <w:r>
        <w:rPr>
          <w:rFonts w:eastAsia="Arial" w:cs="Arial"/>
          <w:szCs w:val="24"/>
        </w:rPr>
        <w:t>The University’s attendance policy requirement is that individual faculty set their course attendance requirements. Regular and punctual class attendance is expected. Students who fail to attend class regularly are inviting scholastic difficulty.</w:t>
      </w:r>
      <w:r>
        <w:rPr>
          <w:szCs w:val="24"/>
        </w:rPr>
        <w:t xml:space="preserve"> In some courses, instructors may have special attendance requirements; these should be made known to students during the first week of classes. </w:t>
      </w:r>
      <w:r>
        <w:rPr>
          <w:rFonts w:cstheme="minorHAnsi"/>
        </w:rPr>
        <w:t xml:space="preserve">Faculty have the discretion to set an attendance policy for their in-person meetings, but the absences due to COVID-19 cannot be counted against a quarantined student. </w:t>
      </w:r>
    </w:p>
    <w:p w14:paraId="0021C32D" w14:textId="72CEE9F0" w:rsidR="00693877" w:rsidRDefault="00693877" w:rsidP="00693877">
      <w:pPr>
        <w:pStyle w:val="NormalWeb"/>
        <w:spacing w:before="0" w:beforeAutospacing="0" w:after="0" w:afterAutospacing="0"/>
        <w:rPr>
          <w:rFonts w:ascii="Times New Roman" w:hAnsi="Times New Roman"/>
          <w:sz w:val="22"/>
          <w:szCs w:val="22"/>
        </w:rPr>
      </w:pPr>
    </w:p>
    <w:p w14:paraId="06F18CCF" w14:textId="7BB3A35C" w:rsidR="00693877" w:rsidRDefault="00693877" w:rsidP="00693877">
      <w:pPr>
        <w:pStyle w:val="NormalWeb"/>
        <w:spacing w:before="0" w:beforeAutospacing="0" w:after="0" w:afterAutospacing="0"/>
        <w:rPr>
          <w:rFonts w:ascii="Times New Roman" w:hAnsi="Times New Roman"/>
          <w:sz w:val="22"/>
          <w:szCs w:val="22"/>
        </w:rPr>
      </w:pPr>
    </w:p>
    <w:p w14:paraId="66ECD0BD" w14:textId="15F21FAD" w:rsidR="00693877" w:rsidRDefault="00693877" w:rsidP="00693877">
      <w:pPr>
        <w:pStyle w:val="Heading2"/>
        <w:rPr>
          <w:b/>
          <w:bCs w:val="0"/>
          <w:i w:val="0"/>
          <w:iCs/>
          <w:color w:val="000000" w:themeColor="text1"/>
          <w:szCs w:val="22"/>
        </w:rPr>
      </w:pPr>
      <w:r w:rsidRPr="009675F7">
        <w:rPr>
          <w:b/>
          <w:bCs w:val="0"/>
          <w:i w:val="0"/>
          <w:iCs/>
          <w:color w:val="000000" w:themeColor="text1"/>
          <w:szCs w:val="22"/>
        </w:rPr>
        <w:t>Class Participation</w:t>
      </w:r>
    </w:p>
    <w:p w14:paraId="04B5EFD7" w14:textId="77777777" w:rsidR="003D6320" w:rsidRPr="003D6320" w:rsidRDefault="003D6320" w:rsidP="003D6320">
      <w:pPr>
        <w:rPr>
          <w:lang w:bidi="en-US"/>
        </w:rPr>
      </w:pPr>
    </w:p>
    <w:p w14:paraId="2610D2FB" w14:textId="77777777" w:rsidR="00693877" w:rsidRPr="009675F7" w:rsidRDefault="00693877" w:rsidP="00693877">
      <w:pPr>
        <w:pStyle w:val="Heading2"/>
        <w:rPr>
          <w:b/>
          <w:bCs w:val="0"/>
          <w:i w:val="0"/>
          <w:iCs/>
          <w:color w:val="000000" w:themeColor="text1"/>
          <w:szCs w:val="22"/>
        </w:rPr>
      </w:pPr>
      <w:r w:rsidRPr="009675F7">
        <w:rPr>
          <w:rFonts w:eastAsia="Arial"/>
          <w:i w:val="0"/>
          <w:iCs/>
          <w:color w:val="000000" w:themeColor="text1"/>
          <w:szCs w:val="22"/>
        </w:rPr>
        <w:t xml:space="preserve">Regular class participation is expected. Students who fail to participate in class regularly are inviting scholastic difficulty. </w:t>
      </w:r>
      <w:r w:rsidRPr="009675F7">
        <w:rPr>
          <w:i w:val="0"/>
          <w:iCs/>
          <w:color w:val="000000" w:themeColor="text1"/>
          <w:szCs w:val="22"/>
        </w:rPr>
        <w:t xml:space="preserve">A portion of the grade for this course is directly tied to your participation in this class. It also includes engaging in group or other activities during class that solicit your feedback on homework assignments, readings, or materials covered in the lectures (and/or labs). </w:t>
      </w:r>
      <w:r w:rsidRPr="009675F7">
        <w:rPr>
          <w:rFonts w:eastAsia="Arial"/>
          <w:i w:val="0"/>
          <w:iCs/>
          <w:color w:val="000000" w:themeColor="text1"/>
          <w:szCs w:val="22"/>
        </w:rPr>
        <w:t>Class participation is documented by faculty</w:t>
      </w:r>
      <w:r w:rsidRPr="009675F7">
        <w:rPr>
          <w:rFonts w:eastAsia="Calibri"/>
          <w:i w:val="0"/>
          <w:iCs/>
          <w:szCs w:val="22"/>
        </w:rPr>
        <w:t xml:space="preserve">.  </w:t>
      </w:r>
      <w:r w:rsidRPr="009675F7">
        <w:rPr>
          <w:i w:val="0"/>
          <w:iCs/>
          <w:color w:val="000000" w:themeColor="text1"/>
          <w:szCs w:val="22"/>
        </w:rPr>
        <w:t xml:space="preserve">Successful participation is defined as consistently adhering to </w:t>
      </w:r>
      <w:proofErr w:type="gramStart"/>
      <w:r w:rsidRPr="009675F7">
        <w:rPr>
          <w:i w:val="0"/>
          <w:iCs/>
          <w:color w:val="000000" w:themeColor="text1"/>
          <w:szCs w:val="22"/>
        </w:rPr>
        <w:t>University</w:t>
      </w:r>
      <w:proofErr w:type="gramEnd"/>
      <w:r w:rsidRPr="009675F7">
        <w:rPr>
          <w:i w:val="0"/>
          <w:iCs/>
          <w:color w:val="000000" w:themeColor="text1"/>
          <w:szCs w:val="22"/>
        </w:rPr>
        <w:t xml:space="preserve"> requirements, as presented in this syllabus. Failure to comply with these University requirements is a violation of the </w:t>
      </w:r>
      <w:hyperlink r:id="rId16" w:history="1">
        <w:r w:rsidRPr="009675F7">
          <w:rPr>
            <w:rStyle w:val="Hyperlink"/>
            <w:i w:val="0"/>
            <w:iCs/>
            <w:szCs w:val="22"/>
          </w:rPr>
          <w:t>Student Code of Conduct</w:t>
        </w:r>
      </w:hyperlink>
      <w:r w:rsidRPr="009675F7">
        <w:rPr>
          <w:i w:val="0"/>
          <w:iCs/>
          <w:color w:val="000000" w:themeColor="text1"/>
          <w:szCs w:val="22"/>
        </w:rPr>
        <w:t xml:space="preserve">.  </w:t>
      </w:r>
    </w:p>
    <w:p w14:paraId="6E7AA55F" w14:textId="77777777" w:rsidR="00693877" w:rsidRDefault="00693877" w:rsidP="00693877">
      <w:pPr>
        <w:pStyle w:val="BodyText"/>
      </w:pPr>
      <w:r>
        <w:t>________________________________________________________________</w:t>
      </w:r>
    </w:p>
    <w:p w14:paraId="164763F8" w14:textId="77777777" w:rsidR="003D6320" w:rsidRDefault="003D6320">
      <w:pPr>
        <w:spacing w:after="160" w:line="259" w:lineRule="auto"/>
        <w:rPr>
          <w:b/>
          <w:bCs/>
        </w:rPr>
      </w:pPr>
      <w:r>
        <w:rPr>
          <w:b/>
          <w:bCs/>
        </w:rPr>
        <w:br w:type="page"/>
      </w:r>
    </w:p>
    <w:p w14:paraId="72272492" w14:textId="6B2219DF" w:rsidR="00693877" w:rsidRDefault="00693877" w:rsidP="00693877">
      <w:pPr>
        <w:rPr>
          <w:b/>
          <w:bCs/>
        </w:rPr>
      </w:pPr>
      <w:r>
        <w:rPr>
          <w:b/>
          <w:bCs/>
        </w:rPr>
        <w:lastRenderedPageBreak/>
        <w:t>Class Recordings</w:t>
      </w:r>
    </w:p>
    <w:p w14:paraId="62B2E701" w14:textId="77777777" w:rsidR="00693877" w:rsidRDefault="00693877" w:rsidP="00693877"/>
    <w:p w14:paraId="0454F5D9" w14:textId="77777777" w:rsidR="00693877" w:rsidRDefault="00693877" w:rsidP="00693877">
      <w:r>
        <w:t xml:space="preserve">Students are expected to follow appropriate University policies and maintain the security of passwords used to access recorded lectures. Unless the Office of Student AccessAbility has approved the student to record the instruction, students are expressly prohibited from recording any part of this course. Recordings may not be published, reproduced, or shared with those not in the class, or uploaded to other online environments except to implement an approved Office of Student AccessAbility accommodation. Failure to comply with these University requirements is a violation of the </w:t>
      </w:r>
      <w:hyperlink r:id="rId17" w:history="1">
        <w:r>
          <w:rPr>
            <w:rStyle w:val="Hyperlink"/>
            <w:color w:val="0432FF"/>
          </w:rPr>
          <w:t>Student Code of Conduct.</w:t>
        </w:r>
      </w:hyperlink>
    </w:p>
    <w:p w14:paraId="4A682933" w14:textId="77777777" w:rsidR="00693877" w:rsidRDefault="00693877" w:rsidP="00693877"/>
    <w:p w14:paraId="6201B68C" w14:textId="77777777" w:rsidR="00693877" w:rsidRPr="00693877" w:rsidRDefault="00693877" w:rsidP="00693877">
      <w:pPr>
        <w:pStyle w:val="Heading2"/>
        <w:rPr>
          <w:b/>
          <w:i w:val="0"/>
          <w:iCs/>
          <w:color w:val="000000" w:themeColor="text1"/>
          <w:szCs w:val="22"/>
        </w:rPr>
      </w:pPr>
      <w:r w:rsidRPr="00693877">
        <w:rPr>
          <w:i w:val="0"/>
          <w:iCs/>
          <w:color w:val="000000" w:themeColor="text1"/>
          <w:szCs w:val="22"/>
        </w:rPr>
        <w:t>The instructor may record meetings of this course. These recordings will be made available to all students registered for this class if the intent is to supplement the classroom experience. If the instructor or a UTD school/department/office plans any other uses for the recordings, consent of the students identifiable in the recordings is required prior to such use unless an exception is allowed by law.</w:t>
      </w:r>
    </w:p>
    <w:p w14:paraId="73FDA204" w14:textId="77777777" w:rsidR="003D6320" w:rsidRDefault="003D6320" w:rsidP="00693877">
      <w:pPr>
        <w:pStyle w:val="Heading2"/>
        <w:rPr>
          <w:rFonts w:ascii="Arial" w:hAnsi="Arial" w:cs="Arial"/>
          <w:b/>
          <w:bCs w:val="0"/>
          <w:color w:val="000000" w:themeColor="text1"/>
          <w:sz w:val="24"/>
          <w:szCs w:val="24"/>
        </w:rPr>
      </w:pPr>
    </w:p>
    <w:p w14:paraId="7EBED641" w14:textId="4BD2E08F" w:rsidR="00693877" w:rsidRPr="003D6320" w:rsidRDefault="00693877" w:rsidP="00693877">
      <w:pPr>
        <w:pStyle w:val="Heading2"/>
        <w:rPr>
          <w:b/>
          <w:i w:val="0"/>
          <w:iCs/>
          <w:color w:val="000000" w:themeColor="text1"/>
          <w:szCs w:val="22"/>
        </w:rPr>
      </w:pPr>
      <w:r w:rsidRPr="003D6320">
        <w:rPr>
          <w:b/>
          <w:bCs w:val="0"/>
          <w:i w:val="0"/>
          <w:iCs/>
          <w:color w:val="000000" w:themeColor="text1"/>
          <w:szCs w:val="22"/>
        </w:rPr>
        <w:t>Off-campus Instruction and Course Activities</w:t>
      </w:r>
    </w:p>
    <w:p w14:paraId="7A2E6FD3" w14:textId="3FD2E82B" w:rsidR="00693877" w:rsidRPr="003D6320" w:rsidRDefault="00693877" w:rsidP="00693877">
      <w:pPr>
        <w:pStyle w:val="CommentText"/>
        <w:rPr>
          <w:rFonts w:ascii="Arial" w:hAnsi="Arial" w:cs="Tahoma"/>
          <w:sz w:val="22"/>
          <w:szCs w:val="22"/>
        </w:rPr>
      </w:pPr>
      <w:r w:rsidRPr="003D6320">
        <w:rPr>
          <w:sz w:val="22"/>
          <w:szCs w:val="22"/>
        </w:rPr>
        <w:t>N/A</w:t>
      </w:r>
    </w:p>
    <w:p w14:paraId="6284E75D" w14:textId="77777777" w:rsidR="00693877" w:rsidRDefault="00693877" w:rsidP="00693877">
      <w:pPr>
        <w:pStyle w:val="BodyText"/>
      </w:pPr>
    </w:p>
    <w:p w14:paraId="12C91908" w14:textId="77777777" w:rsidR="00693877" w:rsidRDefault="00693877" w:rsidP="00693877">
      <w:pPr>
        <w:pStyle w:val="BodyText"/>
      </w:pPr>
      <w:r>
        <w:t>________________________________________________________________</w:t>
      </w:r>
    </w:p>
    <w:p w14:paraId="358EE92C" w14:textId="77777777" w:rsidR="00693877" w:rsidRPr="00693877" w:rsidRDefault="00693877" w:rsidP="00693877">
      <w:pPr>
        <w:pStyle w:val="NormalWeb"/>
        <w:spacing w:before="0" w:beforeAutospacing="0" w:after="0" w:afterAutospacing="0"/>
        <w:rPr>
          <w:rFonts w:ascii="Times New Roman" w:hAnsi="Times New Roman"/>
          <w:sz w:val="22"/>
          <w:szCs w:val="22"/>
        </w:rPr>
      </w:pPr>
    </w:p>
    <w:p w14:paraId="5AEA2311" w14:textId="635016B8" w:rsidR="00693877" w:rsidRDefault="00693877" w:rsidP="00D6656D"/>
    <w:p w14:paraId="12847EFE" w14:textId="77777777" w:rsidR="00693877" w:rsidRPr="00F75F6B" w:rsidRDefault="00693877" w:rsidP="00D6656D"/>
    <w:p w14:paraId="22CDB273" w14:textId="77777777" w:rsidR="00EE5A41" w:rsidRPr="00B45E70" w:rsidRDefault="00EE5A41" w:rsidP="00B45E70">
      <w:pPr>
        <w:pStyle w:val="Heading1"/>
      </w:pPr>
      <w:r w:rsidRPr="00B45E70">
        <w:t>Comet Creed</w:t>
      </w:r>
    </w:p>
    <w:p w14:paraId="4843AA09" w14:textId="77777777" w:rsidR="00EE5A41" w:rsidRDefault="00EE5A41" w:rsidP="00B45E70">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This cre</w:t>
      </w:r>
      <w:r w:rsidR="00B45E70">
        <w:rPr>
          <w:rFonts w:ascii="Times New Roman" w:hAnsi="Times New Roman"/>
          <w:sz w:val="22"/>
          <w:szCs w:val="22"/>
        </w:rPr>
        <w:t>e</w:t>
      </w:r>
      <w:r w:rsidRPr="00B45E70">
        <w:rPr>
          <w:rFonts w:ascii="Times New Roman" w:hAnsi="Times New Roman"/>
          <w:sz w:val="22"/>
          <w:szCs w:val="22"/>
        </w:rPr>
        <w:t>d was voted on by the UT Dallas student body in 2014. It is a standard that Comets choose to live by and encourage others to do the same:</w:t>
      </w:r>
    </w:p>
    <w:p w14:paraId="66DF0750" w14:textId="77777777" w:rsidR="00B45E70" w:rsidRPr="00B45E70" w:rsidRDefault="00B45E70" w:rsidP="00B45E70">
      <w:pPr>
        <w:pStyle w:val="NormalWeb"/>
        <w:spacing w:before="0" w:beforeAutospacing="0" w:after="0" w:afterAutospacing="0"/>
        <w:rPr>
          <w:rFonts w:ascii="Times New Roman" w:hAnsi="Times New Roman"/>
          <w:b/>
          <w:sz w:val="22"/>
          <w:szCs w:val="22"/>
        </w:rPr>
      </w:pPr>
    </w:p>
    <w:p w14:paraId="1528856C" w14:textId="77777777" w:rsidR="00B45E70" w:rsidRDefault="00EE5A41" w:rsidP="00B45E70">
      <w:pPr>
        <w:pStyle w:val="NormalWeb"/>
        <w:spacing w:before="0" w:beforeAutospacing="0" w:after="0" w:afterAutospacing="0"/>
        <w:jc w:val="center"/>
        <w:rPr>
          <w:rFonts w:ascii="Times New Roman" w:hAnsi="Times New Roman"/>
          <w:i/>
          <w:sz w:val="22"/>
          <w:szCs w:val="22"/>
        </w:rPr>
      </w:pPr>
      <w:r w:rsidRPr="00B45E70">
        <w:rPr>
          <w:rFonts w:ascii="Times New Roman" w:hAnsi="Times New Roman"/>
          <w:i/>
          <w:sz w:val="22"/>
          <w:szCs w:val="22"/>
        </w:rPr>
        <w:t>“As a Comet, I pledge honesty, integrity, and service in all that I do.”</w:t>
      </w:r>
    </w:p>
    <w:p w14:paraId="4E932F4A" w14:textId="77777777" w:rsidR="00B45E70" w:rsidRDefault="00B45E70" w:rsidP="00B45E70">
      <w:pPr>
        <w:pStyle w:val="NormalWeb"/>
        <w:spacing w:before="0" w:beforeAutospacing="0" w:after="0" w:afterAutospacing="0"/>
        <w:jc w:val="center"/>
        <w:rPr>
          <w:rFonts w:ascii="Times New Roman" w:hAnsi="Times New Roman"/>
          <w:i/>
          <w:sz w:val="22"/>
          <w:szCs w:val="22"/>
        </w:rPr>
      </w:pPr>
    </w:p>
    <w:p w14:paraId="4308806E" w14:textId="00F8E15E" w:rsidR="008B0C39" w:rsidRDefault="008B0C39" w:rsidP="008B0C39">
      <w:pPr>
        <w:pStyle w:val="Heading1"/>
      </w:pPr>
      <w:r>
        <w:t>Academic Support Resources</w:t>
      </w:r>
    </w:p>
    <w:p w14:paraId="3833D174" w14:textId="2D394BA3" w:rsidR="008B0C39" w:rsidRDefault="008B0C39" w:rsidP="008B0C39">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The information contained in the following link </w:t>
      </w:r>
      <w:r>
        <w:rPr>
          <w:rFonts w:ascii="Times New Roman" w:hAnsi="Times New Roman"/>
          <w:sz w:val="22"/>
          <w:szCs w:val="22"/>
        </w:rPr>
        <w:t>lists t</w:t>
      </w:r>
      <w:r w:rsidRPr="00B45E70">
        <w:rPr>
          <w:rFonts w:ascii="Times New Roman" w:hAnsi="Times New Roman"/>
          <w:sz w:val="22"/>
          <w:szCs w:val="22"/>
        </w:rPr>
        <w:t xml:space="preserve">he University’s </w:t>
      </w:r>
      <w:r>
        <w:rPr>
          <w:rFonts w:ascii="Times New Roman" w:hAnsi="Times New Roman"/>
          <w:sz w:val="22"/>
          <w:szCs w:val="22"/>
        </w:rPr>
        <w:t xml:space="preserve">academic support resources for all students. </w:t>
      </w:r>
      <w:r w:rsidRPr="00B45E70">
        <w:rPr>
          <w:rFonts w:ascii="Times New Roman" w:hAnsi="Times New Roman"/>
          <w:sz w:val="22"/>
          <w:szCs w:val="22"/>
        </w:rPr>
        <w:t xml:space="preserve"> </w:t>
      </w:r>
    </w:p>
    <w:p w14:paraId="36F732A5" w14:textId="77777777" w:rsidR="008B0C39" w:rsidRPr="00B45E70" w:rsidRDefault="008B0C39" w:rsidP="008B0C39">
      <w:pPr>
        <w:pStyle w:val="NormalWeb"/>
        <w:spacing w:before="0" w:beforeAutospacing="0" w:after="0" w:afterAutospacing="0"/>
        <w:rPr>
          <w:rFonts w:ascii="Times New Roman" w:hAnsi="Times New Roman"/>
          <w:sz w:val="22"/>
          <w:szCs w:val="22"/>
        </w:rPr>
      </w:pPr>
    </w:p>
    <w:p w14:paraId="445EC62C" w14:textId="49F1103A" w:rsidR="008B0C39" w:rsidRPr="00B45E70" w:rsidRDefault="008B0C39" w:rsidP="008B0C39">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Please go to </w:t>
      </w:r>
      <w:hyperlink r:id="rId18" w:tgtFrame="_blank" w:history="1">
        <w:r>
          <w:rPr>
            <w:rStyle w:val="Hyperlink"/>
            <w:rFonts w:ascii="Times New Roman" w:hAnsi="Times New Roman"/>
            <w:sz w:val="22"/>
            <w:szCs w:val="22"/>
          </w:rPr>
          <w:t>Academic Support Resources</w:t>
        </w:r>
      </w:hyperlink>
      <w:r w:rsidRPr="00B45E70">
        <w:rPr>
          <w:rFonts w:ascii="Times New Roman" w:hAnsi="Times New Roman"/>
          <w:sz w:val="22"/>
          <w:szCs w:val="22"/>
        </w:rPr>
        <w:t xml:space="preserve"> </w:t>
      </w:r>
      <w:r>
        <w:rPr>
          <w:rFonts w:ascii="Times New Roman" w:hAnsi="Times New Roman"/>
          <w:sz w:val="22"/>
          <w:szCs w:val="22"/>
        </w:rPr>
        <w:t xml:space="preserve">webpage </w:t>
      </w:r>
      <w:r w:rsidRPr="00B45E70">
        <w:rPr>
          <w:rFonts w:ascii="Times New Roman" w:hAnsi="Times New Roman"/>
          <w:sz w:val="22"/>
          <w:szCs w:val="22"/>
        </w:rPr>
        <w:t>for these policies.</w:t>
      </w:r>
    </w:p>
    <w:p w14:paraId="63B8C91E" w14:textId="77777777" w:rsidR="008B0C39" w:rsidRPr="00B45E70" w:rsidRDefault="008B0C39" w:rsidP="0092247A">
      <w:pPr>
        <w:pStyle w:val="NormalWeb"/>
        <w:spacing w:before="0" w:beforeAutospacing="0" w:after="0" w:afterAutospacing="0"/>
        <w:rPr>
          <w:rFonts w:ascii="Times New Roman" w:hAnsi="Times New Roman"/>
          <w:i/>
          <w:sz w:val="22"/>
          <w:szCs w:val="22"/>
        </w:rPr>
      </w:pPr>
    </w:p>
    <w:p w14:paraId="6D251D39" w14:textId="40085A89" w:rsidR="00EE5A41" w:rsidRPr="00B45E70" w:rsidRDefault="00EE5A41" w:rsidP="00B45E70">
      <w:pPr>
        <w:pStyle w:val="Heading1"/>
      </w:pPr>
      <w:r w:rsidRPr="00B45E70">
        <w:t>UT Dallas Syllabus Policies and Procedures</w:t>
      </w:r>
    </w:p>
    <w:p w14:paraId="43DEF257" w14:textId="77777777" w:rsidR="00EE5A41" w:rsidRDefault="00EE5A41" w:rsidP="00B45E70">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The information contained in the following link constitutes the University’s policies and procedures segment of the course syllabus. </w:t>
      </w:r>
    </w:p>
    <w:p w14:paraId="5B03DD54" w14:textId="77777777" w:rsidR="00B45E70" w:rsidRPr="00B45E70" w:rsidRDefault="00B45E70" w:rsidP="00B45E70">
      <w:pPr>
        <w:pStyle w:val="NormalWeb"/>
        <w:spacing w:before="0" w:beforeAutospacing="0" w:after="0" w:afterAutospacing="0"/>
        <w:rPr>
          <w:rFonts w:ascii="Times New Roman" w:hAnsi="Times New Roman"/>
          <w:sz w:val="22"/>
          <w:szCs w:val="22"/>
        </w:rPr>
      </w:pPr>
    </w:p>
    <w:p w14:paraId="3E4EC4AB" w14:textId="77777777" w:rsidR="00EE5A41" w:rsidRPr="00B45E70" w:rsidRDefault="00EE5A41" w:rsidP="00B45E70">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Please go to </w:t>
      </w:r>
      <w:hyperlink r:id="rId19" w:tgtFrame="_blank" w:history="1">
        <w:r w:rsidR="004733EA">
          <w:rPr>
            <w:rStyle w:val="Hyperlink"/>
            <w:rFonts w:ascii="Times New Roman" w:hAnsi="Times New Roman"/>
            <w:sz w:val="22"/>
            <w:szCs w:val="22"/>
          </w:rPr>
          <w:t>UT Dallas Syllabus Policies</w:t>
        </w:r>
      </w:hyperlink>
      <w:r w:rsidRPr="00B45E70">
        <w:rPr>
          <w:rFonts w:ascii="Times New Roman" w:hAnsi="Times New Roman"/>
          <w:sz w:val="22"/>
          <w:szCs w:val="22"/>
        </w:rPr>
        <w:t xml:space="preserve"> </w:t>
      </w:r>
      <w:r w:rsidR="004733EA">
        <w:rPr>
          <w:rFonts w:ascii="Times New Roman" w:hAnsi="Times New Roman"/>
          <w:sz w:val="22"/>
          <w:szCs w:val="22"/>
        </w:rPr>
        <w:t xml:space="preserve">webpage </w:t>
      </w:r>
      <w:r w:rsidRPr="00B45E70">
        <w:rPr>
          <w:rFonts w:ascii="Times New Roman" w:hAnsi="Times New Roman"/>
          <w:sz w:val="22"/>
          <w:szCs w:val="22"/>
        </w:rPr>
        <w:t>for these policies.</w:t>
      </w:r>
    </w:p>
    <w:p w14:paraId="7DE9B9CF" w14:textId="77777777" w:rsidR="00B45E70" w:rsidRPr="00B45E70" w:rsidRDefault="00B45E70" w:rsidP="00B45E70">
      <w:pPr>
        <w:pStyle w:val="NormalWeb"/>
        <w:jc w:val="center"/>
        <w:rPr>
          <w:rFonts w:ascii="Times New Roman" w:hAnsi="Times New Roman"/>
        </w:rPr>
      </w:pPr>
    </w:p>
    <w:p w14:paraId="0A8A4100" w14:textId="77777777" w:rsidR="009228DB" w:rsidRPr="00B45E70" w:rsidRDefault="00EE5A41" w:rsidP="00B45E70">
      <w:pPr>
        <w:jc w:val="center"/>
        <w:rPr>
          <w:b/>
          <w:i/>
        </w:rPr>
      </w:pPr>
      <w:r w:rsidRPr="00B45E70">
        <w:rPr>
          <w:b/>
          <w:i/>
        </w:rPr>
        <w:t>The descriptions and timelines contained in this syllabus are subject to change at the discretion of the Professor.</w:t>
      </w:r>
    </w:p>
    <w:sectPr w:rsidR="009228DB" w:rsidRPr="00B45E70">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F018" w14:textId="77777777" w:rsidR="00772E90" w:rsidRDefault="00772E90">
      <w:r>
        <w:separator/>
      </w:r>
    </w:p>
  </w:endnote>
  <w:endnote w:type="continuationSeparator" w:id="0">
    <w:p w14:paraId="584E57CF" w14:textId="77777777" w:rsidR="00772E90" w:rsidRDefault="00772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6C9D" w14:textId="00F11C7C" w:rsidR="00E5608F" w:rsidRPr="00156618" w:rsidRDefault="00E5608F" w:rsidP="00D6656D">
    <w:pPr>
      <w:pStyle w:val="Footer"/>
    </w:pPr>
    <w:r w:rsidRPr="00156618">
      <w:t>Course Syllabus</w:t>
    </w:r>
    <w:r w:rsidRPr="00156618">
      <w:tab/>
    </w:r>
    <w:r w:rsidRPr="00156618">
      <w:tab/>
      <w:t xml:space="preserve">Page </w:t>
    </w:r>
    <w:r w:rsidRPr="00156618">
      <w:rPr>
        <w:rStyle w:val="PageNumber"/>
        <w:i/>
        <w:sz w:val="18"/>
        <w:szCs w:val="18"/>
      </w:rPr>
      <w:fldChar w:fldCharType="begin"/>
    </w:r>
    <w:r w:rsidRPr="00156618">
      <w:rPr>
        <w:rStyle w:val="PageNumber"/>
        <w:i/>
        <w:sz w:val="18"/>
        <w:szCs w:val="18"/>
      </w:rPr>
      <w:instrText xml:space="preserve"> PAGE </w:instrText>
    </w:r>
    <w:r w:rsidRPr="00156618">
      <w:rPr>
        <w:rStyle w:val="PageNumber"/>
        <w:i/>
        <w:sz w:val="18"/>
        <w:szCs w:val="18"/>
      </w:rPr>
      <w:fldChar w:fldCharType="separate"/>
    </w:r>
    <w:r w:rsidR="00E770CF">
      <w:rPr>
        <w:rStyle w:val="PageNumber"/>
        <w:i/>
        <w:noProof/>
        <w:sz w:val="18"/>
        <w:szCs w:val="18"/>
      </w:rPr>
      <w:t>5</w:t>
    </w:r>
    <w:r w:rsidRPr="00156618">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46164" w14:textId="77777777" w:rsidR="00772E90" w:rsidRDefault="00772E90">
      <w:r>
        <w:separator/>
      </w:r>
    </w:p>
  </w:footnote>
  <w:footnote w:type="continuationSeparator" w:id="0">
    <w:p w14:paraId="13A9CE29" w14:textId="77777777" w:rsidR="00772E90" w:rsidRDefault="00772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F803B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2C86D17"/>
    <w:multiLevelType w:val="hybridMultilevel"/>
    <w:tmpl w:val="BA1C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41"/>
    <w:rsid w:val="0001120A"/>
    <w:rsid w:val="00011DE5"/>
    <w:rsid w:val="00016A21"/>
    <w:rsid w:val="00056609"/>
    <w:rsid w:val="00081977"/>
    <w:rsid w:val="000A57A8"/>
    <w:rsid w:val="000A7E74"/>
    <w:rsid w:val="000C0EEF"/>
    <w:rsid w:val="000D7C17"/>
    <w:rsid w:val="000F0161"/>
    <w:rsid w:val="000F7F90"/>
    <w:rsid w:val="001261F2"/>
    <w:rsid w:val="00157DC0"/>
    <w:rsid w:val="001F01E8"/>
    <w:rsid w:val="00203578"/>
    <w:rsid w:val="002210D7"/>
    <w:rsid w:val="00221640"/>
    <w:rsid w:val="002253F2"/>
    <w:rsid w:val="002304F2"/>
    <w:rsid w:val="002348A9"/>
    <w:rsid w:val="002902F1"/>
    <w:rsid w:val="002B3DFF"/>
    <w:rsid w:val="002B3FFB"/>
    <w:rsid w:val="002D2EAB"/>
    <w:rsid w:val="002E6E33"/>
    <w:rsid w:val="002F471F"/>
    <w:rsid w:val="00307AF3"/>
    <w:rsid w:val="00313925"/>
    <w:rsid w:val="003424ED"/>
    <w:rsid w:val="00382C1F"/>
    <w:rsid w:val="003972D2"/>
    <w:rsid w:val="003A48D1"/>
    <w:rsid w:val="003B1AB0"/>
    <w:rsid w:val="003D6320"/>
    <w:rsid w:val="003E7065"/>
    <w:rsid w:val="00413503"/>
    <w:rsid w:val="004222F1"/>
    <w:rsid w:val="00443DE6"/>
    <w:rsid w:val="00443F80"/>
    <w:rsid w:val="004547A4"/>
    <w:rsid w:val="0046254C"/>
    <w:rsid w:val="004733EA"/>
    <w:rsid w:val="0047502F"/>
    <w:rsid w:val="00490D3A"/>
    <w:rsid w:val="004C2675"/>
    <w:rsid w:val="004C5BB6"/>
    <w:rsid w:val="005020A2"/>
    <w:rsid w:val="00504A1D"/>
    <w:rsid w:val="00551C7F"/>
    <w:rsid w:val="00556821"/>
    <w:rsid w:val="00587D23"/>
    <w:rsid w:val="00595A27"/>
    <w:rsid w:val="00595E93"/>
    <w:rsid w:val="00596E99"/>
    <w:rsid w:val="005A757E"/>
    <w:rsid w:val="005F6BF8"/>
    <w:rsid w:val="006119FF"/>
    <w:rsid w:val="00645ACC"/>
    <w:rsid w:val="00667283"/>
    <w:rsid w:val="006722A4"/>
    <w:rsid w:val="00693877"/>
    <w:rsid w:val="006C172A"/>
    <w:rsid w:val="006D4870"/>
    <w:rsid w:val="006F0B54"/>
    <w:rsid w:val="00714A1A"/>
    <w:rsid w:val="007315C4"/>
    <w:rsid w:val="00772E90"/>
    <w:rsid w:val="00775AB8"/>
    <w:rsid w:val="007B134B"/>
    <w:rsid w:val="007C6F24"/>
    <w:rsid w:val="007D51DF"/>
    <w:rsid w:val="007E0656"/>
    <w:rsid w:val="00801F5E"/>
    <w:rsid w:val="00816410"/>
    <w:rsid w:val="0083734B"/>
    <w:rsid w:val="00844AFA"/>
    <w:rsid w:val="008B0C39"/>
    <w:rsid w:val="008D57BC"/>
    <w:rsid w:val="009024D5"/>
    <w:rsid w:val="00906AEB"/>
    <w:rsid w:val="0092247A"/>
    <w:rsid w:val="009228DB"/>
    <w:rsid w:val="009233E6"/>
    <w:rsid w:val="0092530B"/>
    <w:rsid w:val="009675F7"/>
    <w:rsid w:val="009755A4"/>
    <w:rsid w:val="009844B6"/>
    <w:rsid w:val="00997B0F"/>
    <w:rsid w:val="009D25B8"/>
    <w:rsid w:val="009E2C2D"/>
    <w:rsid w:val="009F2CE4"/>
    <w:rsid w:val="009F68B3"/>
    <w:rsid w:val="00A232DF"/>
    <w:rsid w:val="00A643C5"/>
    <w:rsid w:val="00A7670B"/>
    <w:rsid w:val="00AC4BD6"/>
    <w:rsid w:val="00B05941"/>
    <w:rsid w:val="00B45E70"/>
    <w:rsid w:val="00B76A67"/>
    <w:rsid w:val="00B80CC9"/>
    <w:rsid w:val="00B8577C"/>
    <w:rsid w:val="00B85B9C"/>
    <w:rsid w:val="00B977A0"/>
    <w:rsid w:val="00BA054D"/>
    <w:rsid w:val="00BA208E"/>
    <w:rsid w:val="00BA3D2C"/>
    <w:rsid w:val="00BB472F"/>
    <w:rsid w:val="00BB7D54"/>
    <w:rsid w:val="00BE3B7F"/>
    <w:rsid w:val="00BF5267"/>
    <w:rsid w:val="00BF6CD2"/>
    <w:rsid w:val="00C13181"/>
    <w:rsid w:val="00C27F12"/>
    <w:rsid w:val="00C32A30"/>
    <w:rsid w:val="00C34F7B"/>
    <w:rsid w:val="00C4098C"/>
    <w:rsid w:val="00C52A16"/>
    <w:rsid w:val="00C91DE5"/>
    <w:rsid w:val="00CC22C5"/>
    <w:rsid w:val="00CC5A10"/>
    <w:rsid w:val="00CD29F8"/>
    <w:rsid w:val="00CE2D9B"/>
    <w:rsid w:val="00CF4A00"/>
    <w:rsid w:val="00D21558"/>
    <w:rsid w:val="00D45015"/>
    <w:rsid w:val="00D56D95"/>
    <w:rsid w:val="00D6656D"/>
    <w:rsid w:val="00D94D71"/>
    <w:rsid w:val="00DD52A2"/>
    <w:rsid w:val="00DD75E6"/>
    <w:rsid w:val="00DE1423"/>
    <w:rsid w:val="00DF54E3"/>
    <w:rsid w:val="00E30050"/>
    <w:rsid w:val="00E5608F"/>
    <w:rsid w:val="00E70444"/>
    <w:rsid w:val="00E770CF"/>
    <w:rsid w:val="00E81F29"/>
    <w:rsid w:val="00EA6694"/>
    <w:rsid w:val="00EE5A41"/>
    <w:rsid w:val="00EE672F"/>
    <w:rsid w:val="00F12303"/>
    <w:rsid w:val="00F607B5"/>
    <w:rsid w:val="00F65471"/>
    <w:rsid w:val="00F6569A"/>
    <w:rsid w:val="00F65F50"/>
    <w:rsid w:val="00F84212"/>
    <w:rsid w:val="00FA27BB"/>
    <w:rsid w:val="00FB5C84"/>
    <w:rsid w:val="00FC10C5"/>
    <w:rsid w:val="00FF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DD22"/>
  <w15:chartTrackingRefBased/>
  <w15:docId w15:val="{4A36633C-57FF-41AA-8144-56DD76A2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6D"/>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D6656D"/>
    <w:pPr>
      <w:keepNext/>
      <w:keepLines/>
      <w:outlineLvl w:val="0"/>
    </w:pPr>
    <w:rPr>
      <w:b/>
      <w:bCs/>
      <w:szCs w:val="28"/>
      <w:lang w:bidi="en-US"/>
    </w:rPr>
  </w:style>
  <w:style w:type="paragraph" w:styleId="Heading2">
    <w:name w:val="heading 2"/>
    <w:basedOn w:val="Normal"/>
    <w:next w:val="Normal"/>
    <w:link w:val="Heading2Char"/>
    <w:uiPriority w:val="9"/>
    <w:unhideWhenUsed/>
    <w:qFormat/>
    <w:rsid w:val="00D6656D"/>
    <w:pPr>
      <w:keepNext/>
      <w:keepLines/>
      <w:outlineLvl w:val="1"/>
    </w:pPr>
    <w:rPr>
      <w:bCs/>
      <w:i/>
      <w:szCs w:val="26"/>
      <w:lang w:bidi="en-US"/>
    </w:rPr>
  </w:style>
  <w:style w:type="paragraph" w:styleId="Heading3">
    <w:name w:val="heading 3"/>
    <w:basedOn w:val="Normal"/>
    <w:next w:val="Normal"/>
    <w:link w:val="Heading3Char"/>
    <w:semiHidden/>
    <w:unhideWhenUsed/>
    <w:qFormat/>
    <w:rsid w:val="00EE5A41"/>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56D"/>
    <w:rPr>
      <w:rFonts w:ascii="Times New Roman" w:eastAsia="Times New Roman" w:hAnsi="Times New Roman" w:cs="Times New Roman"/>
      <w:b/>
      <w:bCs/>
      <w:szCs w:val="28"/>
      <w:lang w:bidi="en-US"/>
    </w:rPr>
  </w:style>
  <w:style w:type="character" w:customStyle="1" w:styleId="Heading2Char">
    <w:name w:val="Heading 2 Char"/>
    <w:basedOn w:val="DefaultParagraphFont"/>
    <w:link w:val="Heading2"/>
    <w:uiPriority w:val="9"/>
    <w:rsid w:val="00D6656D"/>
    <w:rPr>
      <w:rFonts w:ascii="Times New Roman" w:eastAsia="Times New Roman" w:hAnsi="Times New Roman" w:cs="Times New Roman"/>
      <w:bCs/>
      <w:i/>
      <w:szCs w:val="26"/>
      <w:lang w:bidi="en-US"/>
    </w:rPr>
  </w:style>
  <w:style w:type="character" w:customStyle="1" w:styleId="Heading3Char">
    <w:name w:val="Heading 3 Char"/>
    <w:basedOn w:val="DefaultParagraphFont"/>
    <w:link w:val="Heading3"/>
    <w:semiHidden/>
    <w:rsid w:val="00EE5A41"/>
    <w:rPr>
      <w:rFonts w:ascii="Cambria" w:eastAsia="Times New Roman" w:hAnsi="Cambria" w:cs="Times New Roman"/>
      <w:b/>
      <w:bCs/>
      <w:sz w:val="26"/>
      <w:szCs w:val="26"/>
    </w:rPr>
  </w:style>
  <w:style w:type="character" w:styleId="CommentReference">
    <w:name w:val="annotation reference"/>
    <w:semiHidden/>
    <w:rsid w:val="00EE5A41"/>
    <w:rPr>
      <w:sz w:val="16"/>
      <w:szCs w:val="16"/>
    </w:rPr>
  </w:style>
  <w:style w:type="paragraph" w:styleId="CommentText">
    <w:name w:val="annotation text"/>
    <w:basedOn w:val="Normal"/>
    <w:link w:val="CommentTextChar"/>
    <w:uiPriority w:val="99"/>
    <w:semiHidden/>
    <w:rsid w:val="00EE5A41"/>
    <w:rPr>
      <w:sz w:val="20"/>
      <w:szCs w:val="20"/>
    </w:rPr>
  </w:style>
  <w:style w:type="character" w:customStyle="1" w:styleId="CommentTextChar">
    <w:name w:val="Comment Text Char"/>
    <w:basedOn w:val="DefaultParagraphFont"/>
    <w:link w:val="CommentText"/>
    <w:uiPriority w:val="99"/>
    <w:semiHidden/>
    <w:rsid w:val="00EE5A41"/>
    <w:rPr>
      <w:rFonts w:ascii="Arial" w:eastAsia="Times New Roman" w:hAnsi="Arial" w:cs="Tahoma"/>
      <w:sz w:val="20"/>
      <w:szCs w:val="20"/>
    </w:rPr>
  </w:style>
  <w:style w:type="paragraph" w:styleId="CommentSubject">
    <w:name w:val="annotation subject"/>
    <w:basedOn w:val="CommentText"/>
    <w:next w:val="CommentText"/>
    <w:link w:val="CommentSubjectChar"/>
    <w:semiHidden/>
    <w:rsid w:val="00EE5A41"/>
    <w:rPr>
      <w:b/>
      <w:bCs/>
    </w:rPr>
  </w:style>
  <w:style w:type="character" w:customStyle="1" w:styleId="CommentSubjectChar">
    <w:name w:val="Comment Subject Char"/>
    <w:basedOn w:val="CommentTextChar"/>
    <w:link w:val="CommentSubject"/>
    <w:semiHidden/>
    <w:rsid w:val="00EE5A41"/>
    <w:rPr>
      <w:rFonts w:ascii="Arial" w:eastAsia="Times New Roman" w:hAnsi="Arial" w:cs="Tahoma"/>
      <w:b/>
      <w:bCs/>
      <w:sz w:val="20"/>
      <w:szCs w:val="20"/>
    </w:rPr>
  </w:style>
  <w:style w:type="paragraph" w:styleId="BalloonText">
    <w:name w:val="Balloon Text"/>
    <w:basedOn w:val="Normal"/>
    <w:link w:val="BalloonTextChar"/>
    <w:semiHidden/>
    <w:rsid w:val="00EE5A41"/>
    <w:rPr>
      <w:rFonts w:ascii="Tahoma" w:hAnsi="Tahoma"/>
      <w:sz w:val="16"/>
      <w:szCs w:val="16"/>
    </w:rPr>
  </w:style>
  <w:style w:type="character" w:customStyle="1" w:styleId="BalloonTextChar">
    <w:name w:val="Balloon Text Char"/>
    <w:basedOn w:val="DefaultParagraphFont"/>
    <w:link w:val="BalloonText"/>
    <w:semiHidden/>
    <w:rsid w:val="00EE5A41"/>
    <w:rPr>
      <w:rFonts w:ascii="Tahoma" w:eastAsia="Times New Roman" w:hAnsi="Tahoma" w:cs="Tahoma"/>
      <w:sz w:val="16"/>
      <w:szCs w:val="16"/>
    </w:rPr>
  </w:style>
  <w:style w:type="paragraph" w:customStyle="1" w:styleId="text">
    <w:name w:val="text"/>
    <w:basedOn w:val="Normal"/>
    <w:rsid w:val="00EE5A41"/>
    <w:pPr>
      <w:spacing w:before="100" w:beforeAutospacing="1" w:after="100" w:afterAutospacing="1"/>
    </w:pPr>
    <w:rPr>
      <w:rFonts w:ascii="Verdana" w:hAnsi="Verdana"/>
      <w:color w:val="000000"/>
      <w:sz w:val="17"/>
      <w:szCs w:val="17"/>
    </w:rPr>
  </w:style>
  <w:style w:type="paragraph" w:styleId="NormalWeb">
    <w:name w:val="Normal (Web)"/>
    <w:basedOn w:val="Normal"/>
    <w:uiPriority w:val="99"/>
    <w:rsid w:val="00EE5A41"/>
    <w:pPr>
      <w:spacing w:before="100" w:beforeAutospacing="1" w:after="100" w:afterAutospacing="1"/>
      <w:jc w:val="both"/>
    </w:pPr>
    <w:rPr>
      <w:rFonts w:ascii="Verdana" w:hAnsi="Verdana"/>
      <w:sz w:val="18"/>
      <w:szCs w:val="18"/>
    </w:rPr>
  </w:style>
  <w:style w:type="paragraph" w:styleId="Header">
    <w:name w:val="header"/>
    <w:basedOn w:val="Normal"/>
    <w:link w:val="HeaderChar"/>
    <w:rsid w:val="00EE5A41"/>
    <w:pPr>
      <w:tabs>
        <w:tab w:val="center" w:pos="4320"/>
        <w:tab w:val="right" w:pos="8640"/>
      </w:tabs>
    </w:pPr>
  </w:style>
  <w:style w:type="character" w:customStyle="1" w:styleId="HeaderChar">
    <w:name w:val="Header Char"/>
    <w:basedOn w:val="DefaultParagraphFont"/>
    <w:link w:val="Header"/>
    <w:rsid w:val="00EE5A41"/>
    <w:rPr>
      <w:rFonts w:ascii="Arial" w:eastAsia="Times New Roman" w:hAnsi="Arial" w:cs="Tahoma"/>
    </w:rPr>
  </w:style>
  <w:style w:type="paragraph" w:styleId="Footer">
    <w:name w:val="footer"/>
    <w:basedOn w:val="Normal"/>
    <w:link w:val="FooterChar"/>
    <w:rsid w:val="00EE5A41"/>
    <w:pPr>
      <w:tabs>
        <w:tab w:val="center" w:pos="4320"/>
        <w:tab w:val="right" w:pos="8640"/>
      </w:tabs>
    </w:pPr>
  </w:style>
  <w:style w:type="character" w:customStyle="1" w:styleId="FooterChar">
    <w:name w:val="Footer Char"/>
    <w:basedOn w:val="DefaultParagraphFont"/>
    <w:link w:val="Footer"/>
    <w:rsid w:val="00EE5A41"/>
    <w:rPr>
      <w:rFonts w:ascii="Arial" w:eastAsia="Times New Roman" w:hAnsi="Arial" w:cs="Tahoma"/>
    </w:rPr>
  </w:style>
  <w:style w:type="character" w:styleId="PageNumber">
    <w:name w:val="page number"/>
    <w:basedOn w:val="DefaultParagraphFont"/>
    <w:rsid w:val="00EE5A41"/>
  </w:style>
  <w:style w:type="character" w:styleId="Hyperlink">
    <w:name w:val="Hyperlink"/>
    <w:rsid w:val="00EE5A41"/>
    <w:rPr>
      <w:color w:val="0000FF"/>
      <w:u w:val="single"/>
    </w:rPr>
  </w:style>
  <w:style w:type="character" w:styleId="FollowedHyperlink">
    <w:name w:val="FollowedHyperlink"/>
    <w:rsid w:val="00EE5A41"/>
    <w:rPr>
      <w:color w:val="800080"/>
      <w:u w:val="single"/>
    </w:rPr>
  </w:style>
  <w:style w:type="character" w:styleId="Strong">
    <w:name w:val="Strong"/>
    <w:uiPriority w:val="22"/>
    <w:qFormat/>
    <w:rsid w:val="00EE5A41"/>
    <w:rPr>
      <w:b/>
      <w:bCs/>
    </w:rPr>
  </w:style>
  <w:style w:type="character" w:customStyle="1" w:styleId="UnresolvedMention1">
    <w:name w:val="Unresolved Mention1"/>
    <w:basedOn w:val="DefaultParagraphFont"/>
    <w:uiPriority w:val="99"/>
    <w:semiHidden/>
    <w:unhideWhenUsed/>
    <w:rsid w:val="001261F2"/>
    <w:rPr>
      <w:color w:val="605E5C"/>
      <w:shd w:val="clear" w:color="auto" w:fill="E1DFDD"/>
    </w:rPr>
  </w:style>
  <w:style w:type="paragraph" w:styleId="BodyText">
    <w:name w:val="Body Text"/>
    <w:basedOn w:val="Normal"/>
    <w:link w:val="BodyTextChar"/>
    <w:rsid w:val="00FC10C5"/>
    <w:pPr>
      <w:spacing w:after="120"/>
    </w:pPr>
    <w:rPr>
      <w:rFonts w:ascii="Arial" w:hAnsi="Arial" w:cs="Tahoma"/>
      <w:sz w:val="24"/>
    </w:rPr>
  </w:style>
  <w:style w:type="character" w:customStyle="1" w:styleId="BodyTextChar">
    <w:name w:val="Body Text Char"/>
    <w:basedOn w:val="DefaultParagraphFont"/>
    <w:link w:val="BodyText"/>
    <w:rsid w:val="00FC10C5"/>
    <w:rPr>
      <w:rFonts w:ascii="Arial" w:eastAsia="Times New Roman" w:hAnsi="Arial" w:cs="Tahoma"/>
      <w:sz w:val="24"/>
    </w:rPr>
  </w:style>
  <w:style w:type="paragraph" w:styleId="FootnoteText">
    <w:name w:val="footnote text"/>
    <w:basedOn w:val="Normal"/>
    <w:link w:val="FootnoteTextChar"/>
    <w:rsid w:val="002902F1"/>
    <w:rPr>
      <w:sz w:val="20"/>
      <w:szCs w:val="20"/>
    </w:rPr>
  </w:style>
  <w:style w:type="character" w:customStyle="1" w:styleId="FootnoteTextChar">
    <w:name w:val="Footnote Text Char"/>
    <w:basedOn w:val="DefaultParagraphFont"/>
    <w:link w:val="FootnoteText"/>
    <w:rsid w:val="002902F1"/>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667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2781">
      <w:bodyDiv w:val="1"/>
      <w:marLeft w:val="0"/>
      <w:marRight w:val="0"/>
      <w:marTop w:val="0"/>
      <w:marBottom w:val="0"/>
      <w:divBdr>
        <w:top w:val="none" w:sz="0" w:space="0" w:color="auto"/>
        <w:left w:val="none" w:sz="0" w:space="0" w:color="auto"/>
        <w:bottom w:val="none" w:sz="0" w:space="0" w:color="auto"/>
        <w:right w:val="none" w:sz="0" w:space="0" w:color="auto"/>
      </w:divBdr>
    </w:div>
    <w:div w:id="1176575744">
      <w:bodyDiv w:val="1"/>
      <w:marLeft w:val="0"/>
      <w:marRight w:val="0"/>
      <w:marTop w:val="0"/>
      <w:marBottom w:val="0"/>
      <w:divBdr>
        <w:top w:val="none" w:sz="0" w:space="0" w:color="auto"/>
        <w:left w:val="none" w:sz="0" w:space="0" w:color="auto"/>
        <w:bottom w:val="none" w:sz="0" w:space="0" w:color="auto"/>
        <w:right w:val="none" w:sz="0" w:space="0" w:color="auto"/>
      </w:divBdr>
    </w:div>
    <w:div w:id="1922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dallas.edu/covid" TargetMode="External"/><Relationship Id="rId13" Type="http://schemas.openxmlformats.org/officeDocument/2006/relationships/hyperlink" Target="https://www.utdallas.edu/covid/students-families-info/student-safety/" TargetMode="External"/><Relationship Id="rId18" Type="http://schemas.openxmlformats.org/officeDocument/2006/relationships/hyperlink" Target="http://go.utdallas.edu/academic-support-resourc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tdallas.edu/covid/response/" TargetMode="External"/><Relationship Id="rId17" Type="http://schemas.openxmlformats.org/officeDocument/2006/relationships/hyperlink" Target="https://policy.utdallas.edu/utdsp5003" TargetMode="External"/><Relationship Id="rId2" Type="http://schemas.openxmlformats.org/officeDocument/2006/relationships/numbering" Target="numbering.xml"/><Relationship Id="rId16" Type="http://schemas.openxmlformats.org/officeDocument/2006/relationships/hyperlink" Target="https://policy.utdallas.edu/utdsp500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v.texas.gov/news/post/governor-abbott-issues-executive-order-providing-clarity-and-uniformity-in-the-states-covid-19-response" TargetMode="External"/><Relationship Id="rId5" Type="http://schemas.openxmlformats.org/officeDocument/2006/relationships/webSettings" Target="webSettings.xml"/><Relationship Id="rId15" Type="http://schemas.openxmlformats.org/officeDocument/2006/relationships/hyperlink" Target="https://policy.utdallas.edu/utdsp5003" TargetMode="External"/><Relationship Id="rId10" Type="http://schemas.openxmlformats.org/officeDocument/2006/relationships/hyperlink" Target="https://policy.utdallas.edu/utdsp5003" TargetMode="External"/><Relationship Id="rId19" Type="http://schemas.openxmlformats.org/officeDocument/2006/relationships/hyperlink" Target="http://go.utdallas.edu/syllabus-policies" TargetMode="External"/><Relationship Id="rId4" Type="http://schemas.openxmlformats.org/officeDocument/2006/relationships/settings" Target="settings.xml"/><Relationship Id="rId9" Type="http://schemas.openxmlformats.org/officeDocument/2006/relationships/hyperlink" Target="http://www.bkstr.com/texasatdallasstore/home" TargetMode="External"/><Relationship Id="rId14" Type="http://schemas.openxmlformats.org/officeDocument/2006/relationships/hyperlink" Target="https://www.utdallas.edu/covid/response/daily-health-chec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03117-5555-4A84-8EBB-AB622CED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Course Syllabus</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Safai, Alan</dc:creator>
  <cp:keywords/>
  <dc:description/>
  <cp:lastModifiedBy>Ozbirn, Greg</cp:lastModifiedBy>
  <cp:revision>13</cp:revision>
  <dcterms:created xsi:type="dcterms:W3CDTF">2020-12-22T20:25:00Z</dcterms:created>
  <dcterms:modified xsi:type="dcterms:W3CDTF">2022-01-13T21:14:00Z</dcterms:modified>
</cp:coreProperties>
</file>