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Enlaza los siguientes elementos característicos de distintos tipos de redes:</w:t>
        <w:br w:type="textWrapping"/>
      </w:r>
    </w:p>
    <w:tbl>
      <w:tblPr>
        <w:tblStyle w:val="Table1"/>
        <w:bidi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590"/>
        <w:gridCol w:w="2549"/>
        <w:tblGridChange w:id="0">
          <w:tblGrid>
            <w:gridCol w:w="1170"/>
            <w:gridCol w:w="4590"/>
            <w:gridCol w:w="254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a) 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1) Entorno mundial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i) Entorno público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b) WAN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2) Red doméstica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ii) Difusión de TV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c) 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3) Entorno de una ciudad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iii) Entorno privado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d) 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4) Entorno de un edificio u oficina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iv) Bluetooth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a4iii / b1ii / c3i / d2iv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2.   La topología de una red en estrella requiere: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nodo central.  </w:t>
      </w:r>
      <w:r w:rsidDel="00000000" w:rsidR="00000000" w:rsidRPr="00000000">
        <w:rPr>
          <w:rFonts w:ascii="Nova Mono" w:cs="Nova Mono" w:eastAsia="Nova Mono" w:hAnsi="Nova Mono"/>
          <w:b w:val="1"/>
          <w:color w:val="0000ff"/>
          <w:sz w:val="24"/>
          <w:szCs w:val="24"/>
          <w:rtl w:val="0"/>
        </w:rPr>
        <w:t xml:space="preserve">←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anillo central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bus de comunicaciones común a todas las estaciones.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nodo central y un bus común.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3.    Averigua si son verdaderas o falsas las siguientes afirmaciones: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anillo es más rápida que una red en bus.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en más rápida que una red en anillo.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rotura del anillo de una red impide totalmente la comunicación en toda la red.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rotura de un segmento de red en una red en estrella impide la comunicación en toda la red.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es muy sensible a la congestión provocada por exceso de trafico.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bus se adapta mejor a la estructura de cableado de un edificio.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red en anillo se adapta mejor a la estructura de un campus.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Tot las redes metropolitanas son anillos.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4.   Enlaza los siguientes elementos característicos de distintos tipos de redes:</w:t>
        <w:br w:type="textWrapping"/>
      </w:r>
    </w:p>
    <w:tbl>
      <w:tblPr>
        <w:tblStyle w:val="Table2"/>
        <w:bidi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a) WLAN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 I) Servicios distribuidos y deslocalizados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i) Acceso universal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b) Nube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2) LAN inalámbrica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ii) Cloud computing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c) Internet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3) WAN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iii) Wi-Fi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a2iii / b1ii / c3i    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5.   Clasifica las redes que intervienen en las circunstancias que se citan a continuación            según sean PAN, WAN, LAN, MAN, WLAN o cloud computing. Razona la respuesta.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conexión por módem a Internet.    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MAN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televisor recibe una transmisión televisiva por cable.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receptor de radio recibe por su antena la radio-difusión de un programa musical.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ordenador se conecta a una red para imprimir por una impresora de red.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LAN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agenda electrónica sincroniza el correo electrónico utilizando Bluetooth.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PAN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Varios usuarios comparten una conexión a Internet sin necesidad de cables.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WLAN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Dos campus universitarios en la misma ciudad, pero distantes, se conectan mediante Libra optics.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aplicación accede a sus datos en Internet desde cualquier lugar.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6.    Cuáles de las siguientes afirmaciones son verdaderas?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Los nodos de la red se conectan siempre mediante cables.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Los nodos requieren de una interfaz de red para conectarse a la misma.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estación se puede conectar inalámbricamente, pero un nodo no.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 nodo puede tener más de una tarjeta de red.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transmisión puede ser simplex o unidireccional siempre y cuando se puedan transmitir la información en ambos sentidos.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7.   A continuación se va a especificar un conjunto de palabras, siglas y acrónimos. Se trata de que relaciones cada uno de ellos con los distintos tipos de redes. Razona la respuesta.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Wi-Fi. W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LAN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Ethernet.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ÁREA LOCAL-LAN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Frame-Relay.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X.25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Token Ring.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ÁREA LOCAL-LAN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Ondas de radio.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WiMAX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Bluetooth </w:t>
      </w:r>
      <w:r w:rsidDel="00000000" w:rsidR="00000000" w:rsidRPr="00000000">
        <w:rPr>
          <w:rFonts w:ascii="Titillium Web" w:cs="Titillium Web" w:eastAsia="Titillium Web" w:hAnsi="Titillium Web"/>
          <w:color w:val="0000ff"/>
          <w:sz w:val="24"/>
          <w:szCs w:val="24"/>
          <w:rtl w:val="0"/>
        </w:rPr>
        <w:t xml:space="preserve">PAN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8.   Las redes entre iguales: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Necesitan un servidor central. 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←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Posibilitan los accesos cruzados entre todos los nodos de la red. 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←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Requieren ordenadores con el mismo sistema operativo.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Solo se pueden utilizar en Internet.</w:t>
      </w:r>
    </w:p>
    <w:p w:rsidR="00000000" w:rsidDel="00000000" w:rsidP="00000000" w:rsidRDefault="00000000" w:rsidRPr="00000000">
      <w:pPr>
        <w:pStyle w:val="Heading1"/>
        <w:keepLines w:val="0"/>
        <w:spacing w:after="360" w:before="360" w:line="288" w:lineRule="auto"/>
        <w:contextualSpacing w:val="0"/>
        <w:jc w:val="center"/>
      </w:pPr>
      <w:bookmarkStart w:colFirst="0" w:colLast="0" w:name="_505kkyywryjo" w:id="0"/>
      <w:bookmarkEnd w:id="0"/>
      <w:r w:rsidDel="00000000" w:rsidR="00000000" w:rsidRPr="00000000">
        <w:rPr>
          <w:rFonts w:ascii="Lobster" w:cs="Lobster" w:eastAsia="Lobster" w:hAnsi="Lobster"/>
          <w:b w:val="1"/>
          <w:color w:val="351c75"/>
          <w:sz w:val="48"/>
          <w:szCs w:val="48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Conversión Binario a Decimal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Recuerda los pesos 128 64 32 16 8 4 2 1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10010010 = 146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01110111 = 119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11111111 = 255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11000101 =197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11110110 =246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00010011 =19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10000001 =129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00110001 =49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01111000 =120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11110000 =240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00000111 =7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00011011 =27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10101010 =170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11000000 =192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Identificación de la Clase de Red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Dirección Clase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10.250.1.1 = A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150.10.15.0 = B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192.14.2.0 = C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148.17.9.1 =B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193.42.1.1 =C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126.8.156.0 =E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220.200.23.1 =C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230.230.45.58 =D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177.100.18.4 =B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119.18.45.0 =D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249.240.80.78 =E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199.155.77.56 =C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117.89.56.45 =B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215.45.45.0 =C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219.21.56.0 =C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Identificación de Red y Host. Pon en negrita y subrayado la parte de red de cada dirección: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177.100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.18.4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119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.18.45.0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209.240.80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.78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199.155.77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.56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b w:val="1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117.89.56.45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215.45.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45.0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192.200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.15.0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95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.0.21.90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33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.0.0.0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158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.98.80.0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217.21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.56.0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10.250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.1.1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.10.15.0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192.14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.2.0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148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.17.9.1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193.42.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b w:val="1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126.8.156.0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u w:val="single"/>
          <w:rtl w:val="0"/>
        </w:rPr>
        <w:t xml:space="preserve">220.200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.23.1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Escriba la máscara de subred correspondiente a cada una de estas direcciones: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177.100.18.4 = 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119.18.45.0 = 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191.249.234.191 =255.255.0.0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223.23.223.109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10.10.250.1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126.123.23.1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223.69.230.250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192.12.35.105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77.251.200.51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189.210.50.1 =255.255.0.0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88.45.65.35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128.212.250.254 =255.255.0.0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193.100.77.83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125.125.250.1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1.1.10.50 =255.0.0.0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220.90.130.45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134.125.34.9 =255.255.0.0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95.250.91.99 =255.0.0.0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Máscaras de Subred Adaptadas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14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192.10.10.0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=255.255.255.240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Otro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60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165.100.0.0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B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1022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Problema 3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= 148.75.0.0/26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B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 255.255.0.0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62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Problema 4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de hosts útiles necesarios = 30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Dirección de Red 210.100.56.0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Clase = 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Máscara de Red =255.255.255.0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Nº host como máximo = 6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Titillium Web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TitilliumWeb-regular.ttf"/><Relationship Id="rId3" Type="http://schemas.openxmlformats.org/officeDocument/2006/relationships/font" Target="fonts/TitilliumWeb-bold.ttf"/><Relationship Id="rId4" Type="http://schemas.openxmlformats.org/officeDocument/2006/relationships/font" Target="fonts/TitilliumWeb-italic.ttf"/><Relationship Id="rId5" Type="http://schemas.openxmlformats.org/officeDocument/2006/relationships/font" Target="fonts/TitilliumWeb-boldItalic.ttf"/><Relationship Id="rId6" Type="http://schemas.openxmlformats.org/officeDocument/2006/relationships/font" Target="fonts/NovaMono-regular.ttf"/></Relationships>
</file>