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b w:val="1"/>
          <w:bCs w:val="1"/>
          <w:sz w:val="36"/>
          <w:szCs w:val="36"/>
        </w:rPr>
      </w:pPr>
      <w:r w:rsidDel="00000000" w:rsidR="00000000" w:rsidRPr="00000000">
        <w:rPr>
          <w:b w:val="1"/>
          <w:bCs w:val="1"/>
          <w:sz w:val="36"/>
          <w:szCs w:val="36"/>
          <w:rtl w:val="0"/>
        </w:rPr>
        <w:t xml:space="preserve">Data analysis with Google Sheet</w:t>
      </w:r>
    </w:p>
    <w:p w:rsidR="00000000" w:rsidDel="00000000" w:rsidP="00000000" w:rsidRDefault="00000000" w:rsidRPr="00000000" w14:paraId="00000002">
      <w:pPr>
        <w:spacing w:after="80" w:before="240" w:line="276" w:lineRule="auto"/>
        <w:jc w:val="center"/>
        <w:rPr>
          <w:b w:val="1"/>
          <w:bCs w:val="1"/>
          <w:sz w:val="36"/>
          <w:szCs w:val="36"/>
        </w:rPr>
      </w:pPr>
      <w:r w:rsidDel="00000000" w:rsidR="00000000" w:rsidRPr="00000000">
        <w:rPr>
          <w:b w:val="1"/>
          <w:bCs w:val="1"/>
          <w:sz w:val="36"/>
          <w:szCs w:val="36"/>
          <w:rtl w:val="0"/>
        </w:rPr>
        <w:t xml:space="preserve">Global Sales Analysis - Findings and Conclusions</w:t>
      </w:r>
    </w:p>
    <w:p w:rsidR="00000000" w:rsidDel="00000000" w:rsidP="00000000" w:rsidRDefault="00000000" w:rsidRPr="00000000" w14:paraId="00000003">
      <w:pPr>
        <w:spacing w:after="320" w:before="240" w:line="276" w:lineRule="auto"/>
        <w:jc w:val="both"/>
        <w:rPr>
          <w:sz w:val="20"/>
          <w:szCs w:val="20"/>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80" w:before="240" w:line="276" w:lineRule="auto"/>
        <w:jc w:val="both"/>
        <w:rPr>
          <w:b w:val="1"/>
          <w:bCs w:val="1"/>
          <w:sz w:val="24"/>
          <w:szCs w:val="24"/>
        </w:rPr>
      </w:pPr>
      <w:r w:rsidDel="00000000" w:rsidR="00000000" w:rsidRPr="00000000">
        <w:rPr>
          <w:b w:val="1"/>
          <w:bCs w:val="1"/>
          <w:sz w:val="24"/>
          <w:szCs w:val="24"/>
          <w:rtl w:val="0"/>
        </w:rPr>
        <w:t xml:space="preserve">1. General overview</w:t>
      </w:r>
    </w:p>
    <w:p w:rsidR="00000000" w:rsidDel="00000000" w:rsidP="00000000" w:rsidRDefault="00000000" w:rsidRPr="00000000" w14:paraId="00000005">
      <w:pPr>
        <w:spacing w:after="80" w:before="240" w:line="276" w:lineRule="auto"/>
        <w:ind w:left="0" w:firstLine="0"/>
        <w:jc w:val="both"/>
        <w:rPr>
          <w:sz w:val="20"/>
          <w:szCs w:val="20"/>
        </w:rPr>
      </w:pPr>
      <w:r w:rsidDel="00000000" w:rsidR="00000000" w:rsidRPr="00000000">
        <w:rPr>
          <w:sz w:val="20"/>
          <w:szCs w:val="20"/>
          <w:rtl w:val="0"/>
        </w:rPr>
        <w:t xml:space="preserve">The dataset covers global sales across 12 product categories, 47 countries, and 8 years (2010–2017), including online and offline sales channels. NULL values in Country Code and Units Sold were identified and kept during the data cleaning process, as these rows still contain useful information.</w:t>
      </w:r>
      <w:r w:rsidDel="00000000" w:rsidR="00000000" w:rsidRPr="00000000">
        <w:rPr>
          <w:rtl w:val="0"/>
        </w:rPr>
      </w:r>
    </w:p>
    <w:p w:rsidR="00000000" w:rsidDel="00000000" w:rsidP="00000000" w:rsidRDefault="00000000" w:rsidRPr="00000000" w14:paraId="00000006">
      <w:pPr>
        <w:spacing w:after="80" w:before="240" w:line="276" w:lineRule="auto"/>
        <w:jc w:val="both"/>
        <w:rPr>
          <w:sz w:val="20"/>
          <w:szCs w:val="20"/>
        </w:rPr>
      </w:pPr>
      <w:r w:rsidDel="00000000" w:rsidR="00000000" w:rsidRPr="00000000">
        <w:rPr>
          <w:rtl w:val="0"/>
        </w:rPr>
      </w:r>
    </w:p>
    <w:tbl>
      <w:tblPr>
        <w:tblStyle w:val="Table1"/>
        <w:tblpPr w:leftFromText="180" w:rightFromText="180" w:topFromText="180" w:bottomFromText="180" w:vertAnchor="text" w:horzAnchor="text" w:tblpX="315"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1a3a5c" w:val="clear"/>
            <w:tcMar>
              <w:top w:w="0.0" w:type="dxa"/>
              <w:bottom w:w="0.0" w:type="dxa"/>
            </w:tcMar>
          </w:tcPr>
          <w:p w:rsidR="00000000" w:rsidDel="00000000" w:rsidP="00000000" w:rsidRDefault="00000000" w:rsidRPr="00000000" w14:paraId="00000007">
            <w:pPr>
              <w:spacing w:before="240" w:line="276" w:lineRule="auto"/>
              <w:jc w:val="both"/>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000000" w:space="0" w:sz="6" w:val="single"/>
              <w:left w:color="000000" w:space="0" w:sz="6" w:val="single"/>
              <w:bottom w:color="000000" w:space="0" w:sz="6" w:val="single"/>
              <w:right w:color="000000" w:space="0" w:sz="6" w:val="single"/>
            </w:tcBorders>
            <w:shd w:fill="1a3a5c" w:val="clear"/>
            <w:tcMar>
              <w:top w:w="0.0" w:type="dxa"/>
              <w:bottom w:w="0.0" w:type="dxa"/>
            </w:tcMar>
          </w:tcPr>
          <w:p w:rsidR="00000000" w:rsidDel="00000000" w:rsidP="00000000" w:rsidRDefault="00000000" w:rsidRPr="00000000" w14:paraId="00000008">
            <w:pPr>
              <w:spacing w:before="240" w:line="276" w:lineRule="auto"/>
              <w:jc w:val="both"/>
              <w:rPr>
                <w:b w:val="1"/>
                <w:bCs w:val="1"/>
                <w:color w:val="ffffff"/>
                <w:sz w:val="20"/>
                <w:szCs w:val="20"/>
              </w:rPr>
            </w:pPr>
            <w:r w:rsidDel="00000000" w:rsidR="00000000" w:rsidRPr="00000000">
              <w:rPr>
                <w:b w:val="1"/>
                <w:bCs w:val="1"/>
                <w:color w:val="ffffff"/>
                <w:sz w:val="20"/>
                <w:szCs w:val="20"/>
                <w:rtl w:val="0"/>
              </w:rPr>
              <w:t xml:space="preserve">Value</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09">
            <w:pPr>
              <w:spacing w:before="240" w:line="276" w:lineRule="auto"/>
              <w:jc w:val="both"/>
              <w:rPr>
                <w:sz w:val="20"/>
                <w:szCs w:val="20"/>
              </w:rPr>
            </w:pPr>
            <w:r w:rsidDel="00000000" w:rsidR="00000000" w:rsidRPr="00000000">
              <w:rPr>
                <w:sz w:val="20"/>
                <w:szCs w:val="20"/>
                <w:rtl w:val="0"/>
              </w:rPr>
              <w:t xml:space="preserve">Total Orders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0A">
            <w:pPr>
              <w:spacing w:before="240" w:line="276" w:lineRule="auto"/>
              <w:jc w:val="both"/>
              <w:rPr>
                <w:b w:val="1"/>
                <w:bCs w:val="1"/>
                <w:sz w:val="20"/>
                <w:szCs w:val="20"/>
              </w:rPr>
            </w:pPr>
            <w:r w:rsidDel="00000000" w:rsidR="00000000" w:rsidRPr="00000000">
              <w:rPr>
                <w:b w:val="1"/>
                <w:bCs w:val="1"/>
                <w:sz w:val="20"/>
                <w:szCs w:val="20"/>
                <w:rtl w:val="0"/>
              </w:rPr>
              <w:t xml:space="preserve">1.331</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5f5f5" w:val="clear"/>
            <w:tcMar>
              <w:top w:w="0.0" w:type="dxa"/>
              <w:bottom w:w="0.0" w:type="dxa"/>
            </w:tcMar>
          </w:tcPr>
          <w:p w:rsidR="00000000" w:rsidDel="00000000" w:rsidP="00000000" w:rsidRDefault="00000000" w:rsidRPr="00000000" w14:paraId="0000000B">
            <w:pPr>
              <w:spacing w:before="240" w:line="276" w:lineRule="auto"/>
              <w:jc w:val="both"/>
              <w:rPr>
                <w:sz w:val="20"/>
                <w:szCs w:val="20"/>
              </w:rPr>
            </w:pPr>
            <w:r w:rsidDel="00000000" w:rsidR="00000000" w:rsidRPr="00000000">
              <w:rPr>
                <w:sz w:val="20"/>
                <w:szCs w:val="20"/>
                <w:rtl w:val="0"/>
              </w:rPr>
              <w:t xml:space="preserve">Total Revenue </w:t>
            </w:r>
          </w:p>
        </w:tc>
        <w:tc>
          <w:tcPr>
            <w:tcBorders>
              <w:top w:color="000000" w:space="0" w:sz="6" w:val="single"/>
              <w:left w:color="000000" w:space="0" w:sz="6" w:val="single"/>
              <w:bottom w:color="000000" w:space="0" w:sz="6" w:val="single"/>
              <w:right w:color="000000" w:space="0" w:sz="6" w:val="single"/>
            </w:tcBorders>
            <w:shd w:fill="f5f5f5" w:val="clear"/>
            <w:tcMar>
              <w:top w:w="0.0" w:type="dxa"/>
              <w:bottom w:w="0.0" w:type="dxa"/>
            </w:tcMar>
          </w:tcPr>
          <w:p w:rsidR="00000000" w:rsidDel="00000000" w:rsidP="00000000" w:rsidRDefault="00000000" w:rsidRPr="00000000" w14:paraId="0000000C">
            <w:pPr>
              <w:spacing w:before="240" w:line="276" w:lineRule="auto"/>
              <w:jc w:val="both"/>
              <w:rPr>
                <w:b w:val="1"/>
                <w:bCs w:val="1"/>
                <w:sz w:val="20"/>
                <w:szCs w:val="20"/>
              </w:rPr>
            </w:pPr>
            <w:r w:rsidDel="00000000" w:rsidR="00000000" w:rsidRPr="00000000">
              <w:rPr>
                <w:b w:val="1"/>
                <w:bCs w:val="1"/>
                <w:sz w:val="20"/>
                <w:szCs w:val="20"/>
                <w:rtl w:val="0"/>
              </w:rPr>
              <w:t xml:space="preserve">$1.702.129.408</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0D">
            <w:pPr>
              <w:spacing w:before="240" w:line="276" w:lineRule="auto"/>
              <w:jc w:val="both"/>
              <w:rPr>
                <w:sz w:val="20"/>
                <w:szCs w:val="20"/>
              </w:rPr>
            </w:pPr>
            <w:r w:rsidDel="00000000" w:rsidR="00000000" w:rsidRPr="00000000">
              <w:rPr>
                <w:sz w:val="20"/>
                <w:szCs w:val="20"/>
                <w:rtl w:val="0"/>
              </w:rPr>
              <w:t xml:space="preserve">Total Profit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0E">
            <w:pPr>
              <w:spacing w:before="240" w:line="276" w:lineRule="auto"/>
              <w:jc w:val="both"/>
              <w:rPr>
                <w:b w:val="1"/>
                <w:bCs w:val="1"/>
                <w:sz w:val="20"/>
                <w:szCs w:val="20"/>
              </w:rPr>
            </w:pPr>
            <w:r w:rsidDel="00000000" w:rsidR="00000000" w:rsidRPr="00000000">
              <w:rPr>
                <w:b w:val="1"/>
                <w:bCs w:val="1"/>
                <w:sz w:val="20"/>
                <w:szCs w:val="20"/>
                <w:rtl w:val="0"/>
              </w:rPr>
              <w:t xml:space="preserve">$501.434.459</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5f5f5" w:val="clear"/>
            <w:tcMar>
              <w:top w:w="0.0" w:type="dxa"/>
              <w:bottom w:w="0.0" w:type="dxa"/>
            </w:tcMar>
          </w:tcPr>
          <w:p w:rsidR="00000000" w:rsidDel="00000000" w:rsidP="00000000" w:rsidRDefault="00000000" w:rsidRPr="00000000" w14:paraId="0000000F">
            <w:pPr>
              <w:spacing w:before="240" w:line="276" w:lineRule="auto"/>
              <w:jc w:val="both"/>
              <w:rPr>
                <w:sz w:val="20"/>
                <w:szCs w:val="20"/>
              </w:rPr>
            </w:pPr>
            <w:r w:rsidDel="00000000" w:rsidR="00000000" w:rsidRPr="00000000">
              <w:rPr>
                <w:sz w:val="20"/>
                <w:szCs w:val="20"/>
                <w:rtl w:val="0"/>
              </w:rPr>
              <w:t xml:space="preserve">Countries Covered </w:t>
            </w:r>
          </w:p>
        </w:tc>
        <w:tc>
          <w:tcPr>
            <w:tcBorders>
              <w:top w:color="000000" w:space="0" w:sz="6" w:val="single"/>
              <w:left w:color="000000" w:space="0" w:sz="6" w:val="single"/>
              <w:bottom w:color="000000" w:space="0" w:sz="6" w:val="single"/>
              <w:right w:color="000000" w:space="0" w:sz="6" w:val="single"/>
            </w:tcBorders>
            <w:shd w:fill="f5f5f5" w:val="clear"/>
            <w:tcMar>
              <w:top w:w="0.0" w:type="dxa"/>
              <w:bottom w:w="0.0" w:type="dxa"/>
            </w:tcMar>
          </w:tcPr>
          <w:p w:rsidR="00000000" w:rsidDel="00000000" w:rsidP="00000000" w:rsidRDefault="00000000" w:rsidRPr="00000000" w14:paraId="00000010">
            <w:pPr>
              <w:spacing w:before="240" w:line="276" w:lineRule="auto"/>
              <w:jc w:val="both"/>
              <w:rPr>
                <w:b w:val="1"/>
                <w:bCs w:val="1"/>
                <w:sz w:val="20"/>
                <w:szCs w:val="20"/>
              </w:rPr>
            </w:pPr>
            <w:r w:rsidDel="00000000" w:rsidR="00000000" w:rsidRPr="00000000">
              <w:rPr>
                <w:b w:val="1"/>
                <w:bCs w:val="1"/>
                <w:sz w:val="20"/>
                <w:szCs w:val="20"/>
                <w:rtl w:val="0"/>
              </w:rPr>
              <w:t xml:space="preserve">47</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1">
            <w:pPr>
              <w:spacing w:before="240" w:line="276" w:lineRule="auto"/>
              <w:jc w:val="both"/>
              <w:rPr>
                <w:sz w:val="20"/>
                <w:szCs w:val="20"/>
              </w:rPr>
            </w:pPr>
            <w:r w:rsidDel="00000000" w:rsidR="00000000" w:rsidRPr="00000000">
              <w:rPr>
                <w:sz w:val="20"/>
                <w:szCs w:val="20"/>
                <w:rtl w:val="0"/>
              </w:rPr>
              <w:t xml:space="preserve">Profit Margin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2">
            <w:pPr>
              <w:spacing w:before="240" w:line="276" w:lineRule="auto"/>
              <w:jc w:val="both"/>
              <w:rPr>
                <w:b w:val="1"/>
                <w:bCs w:val="1"/>
                <w:sz w:val="20"/>
                <w:szCs w:val="20"/>
              </w:rPr>
            </w:pPr>
            <w:r w:rsidDel="00000000" w:rsidR="00000000" w:rsidRPr="00000000">
              <w:rPr>
                <w:b w:val="1"/>
                <w:bCs w:val="1"/>
                <w:sz w:val="20"/>
                <w:szCs w:val="20"/>
                <w:rtl w:val="0"/>
              </w:rPr>
              <w:t xml:space="preserve">~29,5%</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5f5f5" w:val="clear"/>
            <w:tcMar>
              <w:top w:w="0.0" w:type="dxa"/>
              <w:left w:w="100.0" w:type="dxa"/>
              <w:bottom w:w="0.0" w:type="dxa"/>
              <w:right w:w="100.0" w:type="dxa"/>
            </w:tcMar>
            <w:vAlign w:val="top"/>
          </w:tcPr>
          <w:p w:rsidR="00000000" w:rsidDel="00000000" w:rsidP="00000000" w:rsidRDefault="00000000" w:rsidRPr="00000000" w14:paraId="00000013">
            <w:pPr>
              <w:spacing w:before="240" w:line="276" w:lineRule="auto"/>
              <w:jc w:val="both"/>
              <w:rPr>
                <w:sz w:val="20"/>
                <w:szCs w:val="20"/>
              </w:rPr>
            </w:pPr>
            <w:r w:rsidDel="00000000" w:rsidR="00000000" w:rsidRPr="00000000">
              <w:rPr>
                <w:sz w:val="20"/>
                <w:szCs w:val="20"/>
                <w:rtl w:val="0"/>
              </w:rPr>
              <w:t xml:space="preserve">Total Units Sold</w:t>
            </w:r>
          </w:p>
        </w:tc>
        <w:tc>
          <w:tcPr>
            <w:tcBorders>
              <w:top w:color="000000" w:space="0" w:sz="6" w:val="single"/>
              <w:left w:color="000000" w:space="0" w:sz="0" w:val="nil"/>
              <w:bottom w:color="000000" w:space="0" w:sz="6" w:val="single"/>
              <w:right w:color="000000" w:space="0" w:sz="6" w:val="single"/>
            </w:tcBorders>
            <w:shd w:fill="f5f5f5" w:val="clear"/>
            <w:tcMar>
              <w:top w:w="0.0" w:type="dxa"/>
              <w:left w:w="100.0" w:type="dxa"/>
              <w:bottom w:w="0.0" w:type="dxa"/>
              <w:right w:w="100.0" w:type="dxa"/>
            </w:tcMar>
            <w:vAlign w:val="top"/>
          </w:tcPr>
          <w:p w:rsidR="00000000" w:rsidDel="00000000" w:rsidP="00000000" w:rsidRDefault="00000000" w:rsidRPr="00000000" w14:paraId="00000014">
            <w:pPr>
              <w:spacing w:before="240" w:line="276" w:lineRule="auto"/>
              <w:jc w:val="both"/>
              <w:rPr>
                <w:b w:val="1"/>
                <w:bCs w:val="1"/>
                <w:sz w:val="20"/>
                <w:szCs w:val="20"/>
              </w:rPr>
            </w:pPr>
            <w:r w:rsidDel="00000000" w:rsidR="00000000" w:rsidRPr="00000000">
              <w:rPr>
                <w:b w:val="1"/>
                <w:bCs w:val="1"/>
                <w:sz w:val="20"/>
                <w:szCs w:val="20"/>
                <w:rtl w:val="0"/>
              </w:rPr>
              <w:t xml:space="preserve">6.576.524</w:t>
            </w:r>
          </w:p>
        </w:tc>
      </w:tr>
    </w:tbl>
    <w:p w:rsidR="00000000" w:rsidDel="00000000" w:rsidP="00000000" w:rsidRDefault="00000000" w:rsidRPr="00000000" w14:paraId="00000015">
      <w:pPr>
        <w:spacing w:after="160" w:before="240" w:line="276" w:lineRule="auto"/>
        <w:jc w:val="both"/>
        <w:rPr/>
      </w:pPr>
      <w:r w:rsidDel="00000000" w:rsidR="00000000" w:rsidRPr="00000000">
        <w:rPr>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80" w:before="240" w:line="276" w:lineRule="auto"/>
        <w:jc w:val="both"/>
        <w:rPr>
          <w:b w:val="1"/>
          <w:bCs w:val="1"/>
          <w:color w:val="1a3a5c"/>
          <w:sz w:val="24"/>
          <w:szCs w:val="24"/>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80" w:before="240" w:line="276" w:lineRule="auto"/>
        <w:jc w:val="both"/>
        <w:rPr>
          <w:b w:val="1"/>
          <w:bCs w:val="1"/>
          <w:color w:val="1a3a5c"/>
          <w:sz w:val="24"/>
          <w:szCs w:val="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80" w:before="240" w:line="276" w:lineRule="auto"/>
        <w:jc w:val="both"/>
        <w:rPr>
          <w:b w:val="1"/>
          <w:bCs w:val="1"/>
          <w:color w:val="1a3a5c"/>
          <w:sz w:val="24"/>
          <w:szCs w:val="24"/>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80" w:before="240" w:line="276" w:lineRule="auto"/>
        <w:jc w:val="both"/>
        <w:rPr>
          <w:b w:val="1"/>
          <w:bCs w:val="1"/>
          <w:color w:val="1a3a5c"/>
          <w:sz w:val="24"/>
          <w:szCs w:val="24"/>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80" w:before="240" w:line="276" w:lineRule="auto"/>
        <w:jc w:val="both"/>
        <w:rPr>
          <w:b w:val="1"/>
          <w:bCs w:val="1"/>
          <w:color w:val="1a3a5c"/>
          <w:sz w:val="24"/>
          <w:szCs w:val="24"/>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80" w:before="240" w:line="276" w:lineRule="auto"/>
        <w:jc w:val="both"/>
        <w:rPr>
          <w:b w:val="1"/>
          <w:bCs w:val="1"/>
          <w:color w:val="1a3a5c"/>
          <w:sz w:val="24"/>
          <w:szCs w:val="24"/>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80" w:before="240" w:line="276" w:lineRule="auto"/>
        <w:jc w:val="both"/>
        <w:rPr>
          <w:b w:val="1"/>
          <w:bCs w:val="1"/>
          <w:sz w:val="24"/>
          <w:szCs w:val="24"/>
        </w:rPr>
      </w:pPr>
      <w:r w:rsidDel="00000000" w:rsidR="00000000" w:rsidRPr="00000000">
        <w:rPr>
          <w:b w:val="1"/>
          <w:bCs w:val="1"/>
          <w:sz w:val="24"/>
          <w:szCs w:val="24"/>
          <w:rtl w:val="0"/>
        </w:rPr>
        <w:t xml:space="preserve">2. Data Quality and Integrity</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I identified the following issues during the analysis:</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numPr>
          <w:ilvl w:val="0"/>
          <w:numId w:val="1"/>
        </w:numPr>
        <w:spacing w:line="276" w:lineRule="auto"/>
        <w:ind w:left="720" w:hanging="360"/>
        <w:rPr/>
      </w:pPr>
      <w:r w:rsidDel="00000000" w:rsidR="00000000" w:rsidRPr="00000000">
        <w:rPr>
          <w:rtl w:val="0"/>
        </w:rPr>
        <w:t xml:space="preserve">82 rows with null Country Code — marked as NULL (not deleted).</w:t>
      </w:r>
    </w:p>
    <w:p w:rsidR="00000000" w:rsidDel="00000000" w:rsidP="00000000" w:rsidRDefault="00000000" w:rsidRPr="00000000" w14:paraId="00000021">
      <w:pPr>
        <w:numPr>
          <w:ilvl w:val="0"/>
          <w:numId w:val="1"/>
        </w:numPr>
        <w:spacing w:line="276" w:lineRule="auto"/>
        <w:ind w:left="720" w:hanging="360"/>
        <w:rPr/>
      </w:pPr>
      <w:r w:rsidDel="00000000" w:rsidR="00000000" w:rsidRPr="00000000">
        <w:rPr>
          <w:rtl w:val="0"/>
        </w:rPr>
        <w:t xml:space="preserve">2 rows with null Units Sold — replaced with 0.</w:t>
      </w:r>
    </w:p>
    <w:p w:rsidR="00000000" w:rsidDel="00000000" w:rsidP="00000000" w:rsidRDefault="00000000" w:rsidRPr="00000000" w14:paraId="00000022">
      <w:pPr>
        <w:numPr>
          <w:ilvl w:val="0"/>
          <w:numId w:val="1"/>
        </w:numPr>
        <w:spacing w:line="276" w:lineRule="auto"/>
        <w:ind w:left="720" w:hanging="360"/>
        <w:rPr/>
      </w:pPr>
      <w:r w:rsidDel="00000000" w:rsidR="00000000" w:rsidRPr="00000000">
        <w:rPr>
          <w:rtl w:val="0"/>
        </w:rPr>
        <w:t xml:space="preserve">Inconsistency in Sales Channel: value "online" in lowercase standardized to "Online".</w:t>
      </w:r>
    </w:p>
    <w:p w:rsidR="00000000" w:rsidDel="00000000" w:rsidP="00000000" w:rsidRDefault="00000000" w:rsidRPr="00000000" w14:paraId="00000023">
      <w:pPr>
        <w:numPr>
          <w:ilvl w:val="0"/>
          <w:numId w:val="1"/>
        </w:numPr>
        <w:spacing w:line="276" w:lineRule="auto"/>
        <w:ind w:left="720" w:hanging="360"/>
        <w:rPr/>
      </w:pPr>
      <w:r w:rsidDel="00000000" w:rsidR="00000000" w:rsidRPr="00000000">
        <w:rPr>
          <w:rtl w:val="0"/>
        </w:rPr>
        <w:t xml:space="preserve">Inconsistent date formats in Order Date and Ship Date columns. I had to change the Google Sheets locale to English to read the dates correctly.</w:t>
      </w:r>
    </w:p>
    <w:p w:rsidR="00000000" w:rsidDel="00000000" w:rsidP="00000000" w:rsidRDefault="00000000" w:rsidRPr="00000000" w14:paraId="00000024">
      <w:pPr>
        <w:spacing w:line="276" w:lineRule="auto"/>
        <w:ind w:left="720" w:firstLine="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80" w:before="240" w:line="276" w:lineRule="auto"/>
        <w:ind w:left="0" w:right="0" w:firstLine="0"/>
        <w:jc w:val="both"/>
        <w:rPr>
          <w:b w:val="1"/>
          <w:bCs w:val="1"/>
          <w:sz w:val="24"/>
          <w:szCs w:val="24"/>
        </w:rPr>
      </w:pPr>
      <w:r w:rsidDel="00000000" w:rsidR="00000000" w:rsidRPr="00000000">
        <w:rPr>
          <w:b w:val="1"/>
          <w:bCs w:val="1"/>
          <w:sz w:val="24"/>
          <w:szCs w:val="24"/>
          <w:rtl w:val="0"/>
        </w:rPr>
        <w:t xml:space="preserve">3. Product Category Analysis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found significant variation across revenue and profitability: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Cosmetics leads in profit ($92.7M) despite not being the top revenue category, indicating excellent margins.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Office Supplies generates the highest revenue ($402.2M) and the second highest profit ($78M).</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Fruits is the least profitable category ($1.4M in profit and $5.5M in revenue).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Units sold volume is relatively uniform across categories (440K–617K), confirming that margins — not volume — determine profitability.</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right="0"/>
        <w:jc w:val="both"/>
        <w:rPr>
          <w:b w:val="1"/>
          <w:bCs w:val="1"/>
          <w:sz w:val="24"/>
          <w:szCs w:val="24"/>
        </w:rPr>
      </w:pPr>
      <w:r w:rsidDel="00000000" w:rsidR="00000000" w:rsidRPr="00000000">
        <w:rPr>
          <w:b w:val="1"/>
          <w:bCs w:val="1"/>
          <w:sz w:val="24"/>
          <w:szCs w:val="24"/>
          <w:rtl w:val="0"/>
        </w:rPr>
        <w:t xml:space="preserve">4. Geographic Analysis</w:t>
      </w:r>
    </w:p>
    <w:p w:rsidR="00000000" w:rsidDel="00000000" w:rsidP="00000000" w:rsidRDefault="00000000" w:rsidRPr="00000000" w14:paraId="0000002F">
      <w:pPr>
        <w:spacing w:after="240" w:before="240" w:line="276" w:lineRule="auto"/>
        <w:jc w:val="both"/>
        <w:rPr>
          <w:b w:val="1"/>
          <w:bCs w:val="1"/>
          <w:sz w:val="24"/>
          <w:szCs w:val="24"/>
        </w:rPr>
      </w:pPr>
      <w:r w:rsidDel="00000000" w:rsidR="00000000" w:rsidRPr="00000000">
        <w:rPr>
          <w:rtl w:val="0"/>
        </w:rPr>
        <w:t xml:space="preserve">The company's geographic presence is highly concentrated in Europe: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Europe accounts for $1,505,652,874 (88.5%) of total revenue, while Asia contributes $93,330,887 (5.5%), significantly less.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Regarding sub-regions, Southern Europe is the strongest with $562,032,284 in revenue, and Eastern Europe ranks second with $378,686,527.</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The top countries by revenue are Czech Republic ($53.5M), Ukraine ($52.3M), and Bosnia and Herzegovina ($50.1M)</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b w:val="1"/>
          <w:bCs w:val="1"/>
          <w:sz w:val="24"/>
          <w:szCs w:val="24"/>
        </w:rPr>
      </w:pPr>
      <w:r w:rsidDel="00000000" w:rsidR="00000000" w:rsidRPr="00000000">
        <w:rPr>
          <w:b w:val="1"/>
          <w:bCs w:val="1"/>
          <w:sz w:val="24"/>
          <w:szCs w:val="24"/>
          <w:rtl w:val="0"/>
        </w:rPr>
        <w:t xml:space="preserve">5.Sales Channel Analysis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distribution between online and offline sales is nearly equal, with the following figures: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Offline: $871,760,624 in revenue (51.2%) | 3,320,363 units sold (50.5%).</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Online: $830,368,784 in revenue (48.8%) | 3,256,161 units sold (49.5%).</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Offline Profit: $253,466,519 (50.5%) vs Online: $247,967,940 (49.5%).</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right="0"/>
        <w:jc w:val="both"/>
        <w:rPr/>
      </w:pPr>
      <w:r w:rsidDel="00000000" w:rsidR="00000000" w:rsidRPr="00000000">
        <w:rPr>
          <w:rtl w:val="0"/>
        </w:rPr>
      </w:r>
    </w:p>
    <w:p w:rsidR="00000000" w:rsidDel="00000000" w:rsidP="00000000" w:rsidRDefault="00000000" w:rsidRPr="00000000" w14:paraId="0000003A">
      <w:pPr>
        <w:spacing w:after="240" w:before="240" w:line="276" w:lineRule="auto"/>
        <w:ind w:left="0" w:firstLine="0"/>
        <w:rPr>
          <w:b w:val="1"/>
          <w:bCs w:val="1"/>
          <w:sz w:val="24"/>
          <w:szCs w:val="24"/>
        </w:rPr>
      </w:pPr>
      <w:r w:rsidDel="00000000" w:rsidR="00000000" w:rsidRPr="00000000">
        <w:rPr>
          <w:b w:val="1"/>
          <w:bCs w:val="1"/>
          <w:sz w:val="24"/>
          <w:szCs w:val="24"/>
          <w:rtl w:val="0"/>
        </w:rPr>
        <w:t xml:space="preserve">6. Shipping Time Analysis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average shipping time is 25 days, with limited variation across categories and regions: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Office Supplies has the longest average shipping time (27 days) and Personal Care has the shortest (21 days).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sz w:val="24"/>
          <w:szCs w:val="24"/>
        </w:rPr>
      </w:pPr>
      <w:r w:rsidDel="00000000" w:rsidR="00000000" w:rsidRPr="00000000">
        <w:rPr>
          <w:rtl w:val="0"/>
        </w:rPr>
        <w:t xml:space="preserve">By country, Hungary is the slowest (33 days) and Croatia the fastest (18 days).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right="0"/>
        <w:jc w:val="both"/>
        <w:rPr>
          <w:b w:val="1"/>
          <w:bCs w:val="1"/>
          <w:sz w:val="24"/>
          <w:szCs w:val="24"/>
        </w:rPr>
      </w:pPr>
      <w:r w:rsidDel="00000000" w:rsidR="00000000" w:rsidRPr="00000000">
        <w:rPr>
          <w:rtl w:val="0"/>
        </w:rPr>
      </w:r>
    </w:p>
    <w:p w:rsidR="00000000" w:rsidDel="00000000" w:rsidP="00000000" w:rsidRDefault="00000000" w:rsidRPr="00000000" w14:paraId="0000003F">
      <w:pPr>
        <w:spacing w:after="240" w:before="240" w:line="276" w:lineRule="auto"/>
        <w:ind w:left="0" w:firstLine="0"/>
        <w:rPr>
          <w:b w:val="1"/>
          <w:bCs w:val="1"/>
          <w:sz w:val="24"/>
          <w:szCs w:val="24"/>
        </w:rPr>
      </w:pPr>
      <w:r w:rsidDel="00000000" w:rsidR="00000000" w:rsidRPr="00000000">
        <w:rPr>
          <w:b w:val="1"/>
          <w:bCs w:val="1"/>
          <w:sz w:val="24"/>
          <w:szCs w:val="24"/>
          <w:rtl w:val="0"/>
        </w:rPr>
        <w:t xml:space="preserve">7. Sales Trends Over Time</w:t>
      </w:r>
    </w:p>
    <w:p w:rsidR="00000000" w:rsidDel="00000000" w:rsidP="00000000" w:rsidRDefault="00000000" w:rsidRPr="00000000" w14:paraId="00000040">
      <w:pPr>
        <w:spacing w:after="240" w:before="240" w:line="276" w:lineRule="auto"/>
        <w:ind w:left="0" w:firstLine="0"/>
        <w:rPr>
          <w:b w:val="1"/>
          <w:bCs w:val="1"/>
          <w:sz w:val="24"/>
          <w:szCs w:val="24"/>
        </w:rPr>
      </w:pPr>
      <w:r w:rsidDel="00000000" w:rsidR="00000000" w:rsidRPr="00000000">
        <w:rPr>
          <w:rtl w:val="0"/>
        </w:rPr>
        <w:t xml:space="preserve">Key temporal patterns were identified across the 8-year period. 2012 was the best year with $285,485,892 in revenue and $121,258,135 in profit. Europe leads in all years; Asia maintains a stable but limited share.</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right="0"/>
        <w:jc w:val="both"/>
        <w:rPr/>
      </w:pPr>
      <w:r w:rsidDel="00000000" w:rsidR="00000000" w:rsidRPr="00000000">
        <w:rPr>
          <w:rtl w:val="0"/>
        </w:rPr>
      </w:r>
    </w:p>
    <w:p w:rsidR="00000000" w:rsidDel="00000000" w:rsidP="00000000" w:rsidRDefault="00000000" w:rsidRPr="00000000" w14:paraId="00000042">
      <w:pPr>
        <w:spacing w:after="240" w:before="240" w:line="276" w:lineRule="auto"/>
        <w:ind w:left="0" w:firstLine="0"/>
        <w:rPr>
          <w:b w:val="1"/>
          <w:bCs w:val="1"/>
          <w:sz w:val="24"/>
          <w:szCs w:val="24"/>
        </w:rPr>
      </w:pPr>
      <w:r w:rsidDel="00000000" w:rsidR="00000000" w:rsidRPr="00000000">
        <w:rPr>
          <w:b w:val="1"/>
          <w:bCs w:val="1"/>
          <w:sz w:val="24"/>
          <w:szCs w:val="24"/>
          <w:rtl w:val="0"/>
        </w:rPr>
        <w:t xml:space="preserve">8. ABC Analysis (2017 Data)</w:t>
      </w:r>
    </w:p>
    <w:p w:rsidR="00000000" w:rsidDel="00000000" w:rsidP="00000000" w:rsidRDefault="00000000" w:rsidRPr="00000000" w14:paraId="00000043">
      <w:pPr>
        <w:spacing w:after="240" w:before="240" w:line="276" w:lineRule="auto"/>
        <w:jc w:val="both"/>
        <w:rPr>
          <w:b w:val="1"/>
          <w:bCs w:val="1"/>
          <w:sz w:val="24"/>
          <w:szCs w:val="24"/>
        </w:rPr>
      </w:pPr>
      <w:r w:rsidDel="00000000" w:rsidR="00000000" w:rsidRPr="00000000">
        <w:rPr>
          <w:rtl w:val="0"/>
        </w:rPr>
        <w:t xml:space="preserve">Applying the Pareto principle, products were classified into:</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Category A (80% of revenue): Office Supplies, Cosmetics, Household, Meat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Category B (15% of revenue): Snacks, Vegetables, Baby Food</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Category C (5% of revenue): Beverages, Clothes, Personal Care, Cereal, Fruits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means that only 4 products generate the majority of revenue (Category 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right="0"/>
        <w:jc w:val="both"/>
        <w:rPr/>
      </w:pPr>
      <w:r w:rsidDel="00000000" w:rsidR="00000000" w:rsidRPr="00000000">
        <w:rPr>
          <w:rtl w:val="0"/>
        </w:rPr>
      </w:r>
    </w:p>
    <w:p w:rsidR="00000000" w:rsidDel="00000000" w:rsidP="00000000" w:rsidRDefault="00000000" w:rsidRPr="00000000" w14:paraId="00000049">
      <w:pPr>
        <w:spacing w:after="240" w:before="240" w:line="276" w:lineRule="auto"/>
        <w:ind w:left="0" w:firstLine="0"/>
        <w:rPr>
          <w:b w:val="1"/>
          <w:bCs w:val="1"/>
          <w:sz w:val="24"/>
          <w:szCs w:val="24"/>
        </w:rPr>
      </w:pPr>
      <w:r w:rsidDel="00000000" w:rsidR="00000000" w:rsidRPr="00000000">
        <w:rPr>
          <w:b w:val="1"/>
          <w:bCs w:val="1"/>
          <w:sz w:val="24"/>
          <w:szCs w:val="24"/>
          <w:rtl w:val="0"/>
        </w:rPr>
        <w:t xml:space="preserve">9. Key Business Conclusions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Investment should be focused on Category A products: Office Supplies, Cosmetics, Household, and Meat, which concentrate the majority of revenue and profit.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Regarding geography, Europe accounts for 88.5% of revenue; diversifying into Asia or other regions would reduce geographic concentration risk.</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sz w:val="24"/>
          <w:szCs w:val="24"/>
        </w:rPr>
      </w:pPr>
      <w:r w:rsidDel="00000000" w:rsidR="00000000" w:rsidRPr="00000000">
        <w:rPr>
          <w:rtl w:val="0"/>
        </w:rPr>
        <w:t xml:space="preserve">Category C products, especially Fruits and Cereal, should be reviewed to evaluate their continuity or repositioning strategies.</w:t>
      </w:r>
      <w:r w:rsidDel="00000000" w:rsidR="00000000" w:rsidRPr="00000000">
        <w:rPr>
          <w:rtl w:val="0"/>
        </w:rPr>
      </w:r>
    </w:p>
    <w:p w:rsidR="00000000" w:rsidDel="00000000" w:rsidP="00000000" w:rsidRDefault="00000000" w:rsidRPr="00000000" w14:paraId="0000004D">
      <w:pPr>
        <w:spacing w:line="276" w:lineRule="auto"/>
        <w:jc w:val="both"/>
        <w:rPr/>
      </w:pPr>
      <w:r w:rsidDel="00000000" w:rsidR="00000000" w:rsidRPr="00000000">
        <w:rPr>
          <w:rtl w:val="0"/>
        </w:rPr>
      </w:r>
    </w:p>
    <w:p w:rsidR="00000000" w:rsidDel="00000000" w:rsidP="00000000" w:rsidRDefault="00000000" w:rsidRPr="00000000" w14:paraId="0000004E">
      <w:pPr>
        <w:spacing w:line="276" w:lineRule="auto"/>
        <w:jc w:val="both"/>
        <w:rPr/>
      </w:pPr>
      <w:r w:rsidDel="00000000" w:rsidR="00000000" w:rsidRPr="00000000">
        <w:rPr>
          <w:rtl w:val="0"/>
        </w:rPr>
      </w:r>
    </w:p>
    <w:p w:rsidR="00000000" w:rsidDel="00000000" w:rsidP="00000000" w:rsidRDefault="00000000" w:rsidRPr="00000000" w14:paraId="0000004F">
      <w:pPr>
        <w:spacing w:line="276" w:lineRule="auto"/>
        <w:ind w:left="0" w:firstLine="0"/>
        <w:jc w:val="both"/>
        <w:rPr/>
      </w:pPr>
      <w:r w:rsidDel="00000000" w:rsidR="00000000" w:rsidRPr="00000000">
        <w:rPr>
          <w:b w:val="1"/>
          <w:bCs w:val="1"/>
          <w:sz w:val="24"/>
          <w:szCs w:val="24"/>
          <w:rtl w:val="0"/>
        </w:rPr>
        <w:t xml:space="preserve">10. Google Sheets Link</w:t>
      </w:r>
      <w:r w:rsidDel="00000000" w:rsidR="00000000" w:rsidRPr="00000000">
        <w:rPr>
          <w:rtl w:val="0"/>
        </w:rPr>
      </w:r>
    </w:p>
    <w:p w:rsidR="00000000" w:rsidDel="00000000" w:rsidP="00000000" w:rsidRDefault="00000000" w:rsidRPr="00000000" w14:paraId="00000050">
      <w:pPr>
        <w:spacing w:line="276" w:lineRule="auto"/>
        <w:jc w:val="both"/>
        <w:rPr/>
      </w:pPr>
      <w:r w:rsidDel="00000000" w:rsidR="00000000" w:rsidRPr="00000000">
        <w:rPr>
          <w:rtl w:val="0"/>
        </w:rPr>
      </w:r>
    </w:p>
    <w:p w:rsidR="00000000" w:rsidDel="00000000" w:rsidP="00000000" w:rsidRDefault="00000000" w:rsidRPr="00000000" w14:paraId="00000051">
      <w:pPr>
        <w:spacing w:line="276" w:lineRule="auto"/>
        <w:jc w:val="both"/>
        <w:rPr/>
      </w:pPr>
      <w:hyperlink r:id="rId6">
        <w:r w:rsidDel="00000000" w:rsidR="00000000" w:rsidRPr="00000000">
          <w:rPr>
            <w:color w:val="1155cc"/>
            <w:u w:val="single"/>
            <w:rtl w:val="0"/>
          </w:rPr>
          <w:t xml:space="preserve">https://docs.google.com/spreadsheets/d/1yA1SUws72hrZHrCepfy5_tGgTUkLC5AyRbqh3bdLE4I/edit?usp=sharing</w:t>
        </w:r>
      </w:hyperlink>
      <w:r w:rsidDel="00000000" w:rsidR="00000000" w:rsidRPr="00000000">
        <w:rPr>
          <w:rtl w:val="0"/>
        </w:rPr>
      </w:r>
    </w:p>
    <w:p w:rsidR="00000000" w:rsidDel="00000000" w:rsidP="00000000" w:rsidRDefault="00000000" w:rsidRPr="00000000" w14:paraId="00000052">
      <w:pPr>
        <w:spacing w:line="276" w:lineRule="auto"/>
        <w:jc w:val="both"/>
        <w:rPr/>
      </w:pPr>
      <w:r w:rsidDel="00000000" w:rsidR="00000000" w:rsidRPr="00000000">
        <w:rPr>
          <w:rtl w:val="0"/>
        </w:rPr>
      </w:r>
    </w:p>
    <w:p w:rsidR="00000000" w:rsidDel="00000000" w:rsidP="00000000" w:rsidRDefault="00000000" w:rsidRPr="00000000" w14:paraId="00000053">
      <w:pPr>
        <w:spacing w:line="276" w:lineRule="auto"/>
        <w:jc w:val="both"/>
        <w:rPr/>
      </w:pPr>
      <w:r w:rsidDel="00000000" w:rsidR="00000000" w:rsidRPr="00000000">
        <w:rPr>
          <w:rtl w:val="0"/>
        </w:rPr>
      </w:r>
    </w:p>
    <w:p w:rsidR="00000000" w:rsidDel="00000000" w:rsidP="00000000" w:rsidRDefault="00000000" w:rsidRPr="00000000" w14:paraId="00000054">
      <w:pPr>
        <w:spacing w:line="276"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yA1SUws72hrZHrCepfy5_tGgTUkLC5AyRbqh3bdLE4I/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