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DDDC5" w14:textId="77777777" w:rsidR="009E7BFB" w:rsidRPr="00730BA5" w:rsidRDefault="009E7BFB" w:rsidP="009E7BFB">
      <w:pPr>
        <w:jc w:val="both"/>
        <w:rPr>
          <w:b/>
          <w:bCs/>
        </w:rPr>
      </w:pPr>
      <w:r w:rsidRPr="00730BA5">
        <w:rPr>
          <w:b/>
          <w:bCs/>
        </w:rPr>
        <w:t>Introducción para el asesor fiscal</w:t>
      </w:r>
    </w:p>
    <w:p w14:paraId="41B1B8BD" w14:textId="77777777" w:rsidR="009E7BFB" w:rsidRPr="00730BA5" w:rsidRDefault="009E7BFB" w:rsidP="009E7BFB">
      <w:pPr>
        <w:jc w:val="both"/>
        <w:rPr>
          <w:b/>
          <w:bCs/>
        </w:rPr>
      </w:pPr>
      <w:r w:rsidRPr="00730BA5">
        <w:rPr>
          <w:b/>
          <w:bCs/>
        </w:rPr>
        <w:t>Cómo usar este apéndice técnico</w:t>
      </w:r>
    </w:p>
    <w:p w14:paraId="5A091342" w14:textId="77777777" w:rsidR="009E7BFB" w:rsidRPr="00730BA5" w:rsidRDefault="009E7BFB" w:rsidP="009E7BFB">
      <w:pPr>
        <w:jc w:val="both"/>
      </w:pPr>
      <w:r w:rsidRPr="00730BA5">
        <w:t>Estimado asesor fiscal:</w:t>
      </w:r>
    </w:p>
    <w:p w14:paraId="2934BAB2" w14:textId="77777777" w:rsidR="009E7BFB" w:rsidRPr="00730BA5" w:rsidRDefault="009E7BFB" w:rsidP="009E7BFB">
      <w:pPr>
        <w:jc w:val="both"/>
      </w:pPr>
      <w:r w:rsidRPr="00730BA5">
        <w:t>Este documento no es una teoría. No es un tratado de derecho. Es una </w:t>
      </w:r>
      <w:r w:rsidRPr="00730BA5">
        <w:rPr>
          <w:b/>
          <w:bCs/>
        </w:rPr>
        <w:t>caja de herramientas</w:t>
      </w:r>
      <w:r w:rsidRPr="00730BA5">
        <w:t>.</w:t>
      </w:r>
    </w:p>
    <w:p w14:paraId="66EB11D5" w14:textId="77777777" w:rsidR="009E7BFB" w:rsidRPr="00730BA5" w:rsidRDefault="009E7BFB" w:rsidP="009E7BFB">
      <w:pPr>
        <w:jc w:val="both"/>
      </w:pPr>
      <w:r w:rsidRPr="00730BA5">
        <w:t>Las 30 sentencias y expedientes reales que componen este libro están resumidas aquí en 10 puntos técnicos por capítulo. Cada punto incluye el fundamento legal exacto (artículo, jurisprudencia o tesis) que lo respalda.</w:t>
      </w:r>
    </w:p>
    <w:p w14:paraId="63180A0B" w14:textId="77777777" w:rsidR="009E7BFB" w:rsidRPr="00730BA5" w:rsidRDefault="009E7BFB" w:rsidP="009E7BFB">
      <w:pPr>
        <w:jc w:val="both"/>
      </w:pPr>
      <w:r w:rsidRPr="00730BA5">
        <w:rPr>
          <w:b/>
          <w:bCs/>
        </w:rPr>
        <w:t>Usted no necesita leer el libro completo para defender a su cliente.</w:t>
      </w:r>
      <w:r w:rsidRPr="00730BA5">
        <w:t> Necesita identificar el patrón de riesgo, localizar el apéndice correspondiente y aplicar los puntos técnicos a su caso concreto.</w:t>
      </w:r>
    </w:p>
    <w:p w14:paraId="2C4636E4" w14:textId="77777777" w:rsidR="009E7BFB" w:rsidRPr="00730BA5" w:rsidRDefault="00000000" w:rsidP="009E7BFB">
      <w:pPr>
        <w:jc w:val="both"/>
      </w:pPr>
      <w:r>
        <w:pict w14:anchorId="5431DB40">
          <v:rect id="_x0000_i1025" style="width:0;height:.75pt" o:hralign="center" o:hrstd="t" o:hr="t" fillcolor="#a0a0a0" stroked="f"/>
        </w:pict>
      </w:r>
    </w:p>
    <w:p w14:paraId="1CB49C13" w14:textId="77777777" w:rsidR="009E7BFB" w:rsidRPr="00730BA5" w:rsidRDefault="009E7BFB" w:rsidP="009E7BFB">
      <w:pPr>
        <w:jc w:val="both"/>
        <w:rPr>
          <w:b/>
          <w:bCs/>
        </w:rPr>
      </w:pPr>
      <w:r w:rsidRPr="00730BA5">
        <w:rPr>
          <w:b/>
          <w:bCs/>
        </w:rPr>
        <w:t>Cómo funciona este apéndice</w:t>
      </w:r>
    </w:p>
    <w:p w14:paraId="57D4572C" w14:textId="77777777" w:rsidR="009E7BFB" w:rsidRPr="00730BA5" w:rsidRDefault="009E7BFB" w:rsidP="009E7BFB">
      <w:pPr>
        <w:jc w:val="both"/>
      </w:pPr>
      <w:r w:rsidRPr="00730BA5">
        <w:t>El libro "Puntos ciegos fiscales" está organizado en 30 capítulos, cada uno basado en un caso real documentado con número de expediente. Este apéndice técnico es el </w:t>
      </w:r>
      <w:r w:rsidRPr="00730BA5">
        <w:rPr>
          <w:b/>
          <w:bCs/>
        </w:rPr>
        <w:t>acompañamiento forense</w:t>
      </w:r>
      <w:r w:rsidRPr="00730BA5">
        <w:t> de esos capítulos.</w:t>
      </w:r>
    </w:p>
    <w:p w14:paraId="08211DC3" w14:textId="77777777" w:rsidR="009E7BFB" w:rsidRPr="00730BA5" w:rsidRDefault="009E7BFB" w:rsidP="009E7BFB">
      <w:pPr>
        <w:jc w:val="both"/>
      </w:pPr>
      <w:r w:rsidRPr="00730BA5">
        <w:rPr>
          <w:b/>
          <w:bCs/>
        </w:rPr>
        <w:t>Para cada capítulo encontrará:</w:t>
      </w:r>
    </w:p>
    <w:p w14:paraId="797F6F18" w14:textId="77777777" w:rsidR="009E7BFB" w:rsidRPr="00730BA5" w:rsidRDefault="009E7BFB" w:rsidP="009E7BFB">
      <w:pPr>
        <w:numPr>
          <w:ilvl w:val="0"/>
          <w:numId w:val="1"/>
        </w:numPr>
        <w:jc w:val="both"/>
      </w:pPr>
      <w:r w:rsidRPr="00730BA5">
        <w:t>El número de expediente completo (para localizar la sentencia original en el SISE o en el TFJA).</w:t>
      </w:r>
    </w:p>
    <w:p w14:paraId="28D5E0D5" w14:textId="77777777" w:rsidR="009E7BFB" w:rsidRPr="00730BA5" w:rsidRDefault="009E7BFB" w:rsidP="009E7BFB">
      <w:pPr>
        <w:numPr>
          <w:ilvl w:val="0"/>
          <w:numId w:val="1"/>
        </w:numPr>
        <w:jc w:val="both"/>
      </w:pPr>
      <w:r w:rsidRPr="00730BA5">
        <w:t>Los 10 puntos técnicos más relevantes del caso, extraídos directamente de la litis y de los criterios aplicados por el Tribunal.</w:t>
      </w:r>
    </w:p>
    <w:p w14:paraId="301F219F" w14:textId="77777777" w:rsidR="009E7BFB" w:rsidRPr="00730BA5" w:rsidRDefault="009E7BFB" w:rsidP="009E7BFB">
      <w:pPr>
        <w:numPr>
          <w:ilvl w:val="0"/>
          <w:numId w:val="1"/>
        </w:numPr>
        <w:jc w:val="both"/>
      </w:pPr>
      <w:r w:rsidRPr="00730BA5">
        <w:t>El fundamento legal específico de cada punto (artículos del CFF, LISR, LIVA, LGSM, LFCA, jurisprudencias y tesis).</w:t>
      </w:r>
    </w:p>
    <w:p w14:paraId="3559AD39" w14:textId="77777777" w:rsidR="009E7BFB" w:rsidRPr="00730BA5" w:rsidRDefault="009E7BFB" w:rsidP="009E7BFB">
      <w:pPr>
        <w:numPr>
          <w:ilvl w:val="0"/>
          <w:numId w:val="1"/>
        </w:numPr>
        <w:jc w:val="both"/>
      </w:pPr>
      <w:r w:rsidRPr="00730BA5">
        <w:t xml:space="preserve">Una </w:t>
      </w:r>
      <w:proofErr w:type="spellStart"/>
      <w:r w:rsidRPr="00730BA5">
        <w:t>checklist</w:t>
      </w:r>
      <w:proofErr w:type="spellEnd"/>
      <w:r w:rsidRPr="00730BA5">
        <w:t xml:space="preserve"> de defensa con acciones concretas que puede ejecutar esta semana.</w:t>
      </w:r>
    </w:p>
    <w:p w14:paraId="4C574317" w14:textId="77777777" w:rsidR="009E7BFB" w:rsidRPr="00730BA5" w:rsidRDefault="009E7BFB" w:rsidP="009E7BFB">
      <w:pPr>
        <w:jc w:val="both"/>
      </w:pPr>
      <w:r w:rsidRPr="00730BA5">
        <w:rPr>
          <w:b/>
          <w:bCs/>
        </w:rPr>
        <w:t>Lo que NO encontrará:</w:t>
      </w:r>
    </w:p>
    <w:p w14:paraId="4AB5ABF6" w14:textId="77777777" w:rsidR="009E7BFB" w:rsidRPr="00730BA5" w:rsidRDefault="009E7BFB" w:rsidP="009E7BFB">
      <w:pPr>
        <w:numPr>
          <w:ilvl w:val="0"/>
          <w:numId w:val="2"/>
        </w:numPr>
        <w:jc w:val="both"/>
      </w:pPr>
      <w:r w:rsidRPr="00730BA5">
        <w:t>Teoría general. Cada punto responde a un problema específico que ya litigó alguien más.</w:t>
      </w:r>
    </w:p>
    <w:p w14:paraId="3692D7B5" w14:textId="77777777" w:rsidR="009E7BFB" w:rsidRPr="00730BA5" w:rsidRDefault="009E7BFB" w:rsidP="009E7BFB">
      <w:pPr>
        <w:numPr>
          <w:ilvl w:val="0"/>
          <w:numId w:val="2"/>
        </w:numPr>
        <w:jc w:val="both"/>
      </w:pPr>
      <w:proofErr w:type="gramStart"/>
      <w:r w:rsidRPr="00730BA5">
        <w:t>Opiniones personales</w:t>
      </w:r>
      <w:proofErr w:type="gramEnd"/>
      <w:r w:rsidRPr="00730BA5">
        <w:t xml:space="preserve"> del autor. Solo criterios judiciales y fundamentos legales.</w:t>
      </w:r>
    </w:p>
    <w:p w14:paraId="3A69FE57" w14:textId="77777777" w:rsidR="009E7BFB" w:rsidRPr="00730BA5" w:rsidRDefault="00000000" w:rsidP="009E7BFB">
      <w:pPr>
        <w:jc w:val="both"/>
      </w:pPr>
      <w:r>
        <w:pict w14:anchorId="17B4F826">
          <v:rect id="_x0000_i1026" style="width:0;height:.75pt" o:hralign="center" o:hrstd="t" o:hr="t" fillcolor="#a0a0a0" stroked="f"/>
        </w:pict>
      </w:r>
    </w:p>
    <w:p w14:paraId="0F4F234E" w14:textId="77777777" w:rsidR="009E7BFB" w:rsidRPr="00730BA5" w:rsidRDefault="009E7BFB" w:rsidP="009E7BFB">
      <w:pPr>
        <w:jc w:val="both"/>
        <w:rPr>
          <w:b/>
          <w:bCs/>
        </w:rPr>
      </w:pPr>
      <w:r w:rsidRPr="00730BA5">
        <w:rPr>
          <w:b/>
          <w:bCs/>
        </w:rPr>
        <w:lastRenderedPageBreak/>
        <w:t>Para qué sirve cada sección</w:t>
      </w:r>
    </w:p>
    <w:p w14:paraId="6A0A16B0" w14:textId="77777777" w:rsidR="009E7BFB" w:rsidRPr="00730BA5" w:rsidRDefault="009E7BFB" w:rsidP="009E7BFB">
      <w:pPr>
        <w:jc w:val="both"/>
      </w:pPr>
      <w:r w:rsidRPr="00730BA5">
        <w:rPr>
          <w:b/>
          <w:bCs/>
        </w:rPr>
        <w:t>Los 10 puntos técnicos:</w:t>
      </w:r>
      <w:r w:rsidRPr="00730BA5">
        <w:t xml:space="preserve"> Son el corazón del apéndice. Si su cliente tiene un problema de CUCA no acreditada, vaya al Apéndice 4. Si el SAT le reclama un préstamo a un socio, vaya al Apéndice 15. Cada punto es una lección aprendida de un litigio real. Léalos. Úselos. </w:t>
      </w:r>
      <w:proofErr w:type="spellStart"/>
      <w:r w:rsidRPr="00730BA5">
        <w:t>Ciítelos</w:t>
      </w:r>
      <w:proofErr w:type="spellEnd"/>
      <w:r w:rsidRPr="00730BA5">
        <w:t xml:space="preserve"> en sus escritos.</w:t>
      </w:r>
    </w:p>
    <w:p w14:paraId="20155659" w14:textId="77777777" w:rsidR="009E7BFB" w:rsidRPr="00730BA5" w:rsidRDefault="009E7BFB" w:rsidP="009E7BFB">
      <w:pPr>
        <w:jc w:val="both"/>
      </w:pPr>
      <w:r w:rsidRPr="00730BA5">
        <w:rPr>
          <w:b/>
          <w:bCs/>
        </w:rPr>
        <w:t>El fundamento legal:</w:t>
      </w:r>
      <w:r w:rsidRPr="00730BA5">
        <w:t> No basta con decir "el SAT se equivocó". Debe citar el artículo, la jurisprudencia o la tesis. Esta sección se la doy servida. No necesita buscarla. Solo copie y pegue en sus promociones, ajustando al caso concreto.</w:t>
      </w:r>
    </w:p>
    <w:p w14:paraId="6D9E6A33" w14:textId="77777777" w:rsidR="009E7BFB" w:rsidRPr="00730BA5" w:rsidRDefault="009E7BFB" w:rsidP="009E7BFB">
      <w:pPr>
        <w:jc w:val="both"/>
      </w:pPr>
      <w:r w:rsidRPr="00730BA5">
        <w:rPr>
          <w:b/>
          <w:bCs/>
        </w:rPr>
        <w:t xml:space="preserve">La </w:t>
      </w:r>
      <w:proofErr w:type="spellStart"/>
      <w:r w:rsidRPr="00730BA5">
        <w:rPr>
          <w:b/>
          <w:bCs/>
        </w:rPr>
        <w:t>checklist</w:t>
      </w:r>
      <w:proofErr w:type="spellEnd"/>
      <w:r w:rsidRPr="00730BA5">
        <w:rPr>
          <w:b/>
          <w:bCs/>
        </w:rPr>
        <w:t xml:space="preserve"> de defensa:</w:t>
      </w:r>
      <w:r w:rsidRPr="00730BA5">
        <w:t> Son acciones que usted puede recomendar a su cliente hoy. No son teorías para el juicio (aunque algunas sí). Son prevenciones. La mejor defensa es la que evita la auditoría. La segunda mejor defensa es la que gana el juicio. Esta sección le da ambas.</w:t>
      </w:r>
    </w:p>
    <w:p w14:paraId="715D0682" w14:textId="77777777" w:rsidR="009E7BFB" w:rsidRPr="00730BA5" w:rsidRDefault="00000000" w:rsidP="009E7BFB">
      <w:pPr>
        <w:jc w:val="both"/>
      </w:pPr>
      <w:r>
        <w:pict w14:anchorId="14A091BD">
          <v:rect id="_x0000_i1027" style="width:0;height:.75pt" o:hralign="center" o:hrstd="t" o:hr="t" fillcolor="#a0a0a0" stroked="f"/>
        </w:pict>
      </w:r>
    </w:p>
    <w:p w14:paraId="18CF9D4B" w14:textId="77777777" w:rsidR="009E7BFB" w:rsidRPr="00730BA5" w:rsidRDefault="009E7BFB" w:rsidP="009E7BFB">
      <w:pPr>
        <w:jc w:val="both"/>
        <w:rPr>
          <w:b/>
          <w:bCs/>
        </w:rPr>
      </w:pPr>
      <w:r w:rsidRPr="00730BA5">
        <w:rPr>
          <w:b/>
          <w:bCs/>
        </w:rPr>
        <w:t>Cómo usar este apéndice en la práctica</w:t>
      </w:r>
    </w:p>
    <w:p w14:paraId="6FD207A8" w14:textId="77777777" w:rsidR="009E7BFB" w:rsidRPr="00730BA5" w:rsidRDefault="009E7BFB" w:rsidP="009E7BFB">
      <w:pPr>
        <w:jc w:val="both"/>
      </w:pPr>
      <w:r w:rsidRPr="00730BA5">
        <w:rPr>
          <w:b/>
          <w:bCs/>
        </w:rPr>
        <w:t>Escenario 1: Su cliente recibió una notificación del SAT.</w:t>
      </w:r>
    </w:p>
    <w:p w14:paraId="677CA7D2" w14:textId="77777777" w:rsidR="009E7BFB" w:rsidRPr="00730BA5" w:rsidRDefault="009E7BFB" w:rsidP="009E7BFB">
      <w:pPr>
        <w:jc w:val="both"/>
      </w:pPr>
      <w:r w:rsidRPr="00730BA5">
        <w:t>Identifique el concepto de la notificación. Busque el apéndice que coincida con el tema. Lea los 10 puntos técnicos. Ahí encontrará los argumentos que han funcionado en casos similares. Use los fundamentos legales para redactar su contestación o su recurso.</w:t>
      </w:r>
    </w:p>
    <w:p w14:paraId="343F23CB" w14:textId="77777777" w:rsidR="009E7BFB" w:rsidRPr="00730BA5" w:rsidRDefault="009E7BFB" w:rsidP="009E7BFB">
      <w:pPr>
        <w:jc w:val="both"/>
      </w:pPr>
      <w:r w:rsidRPr="00730BA5">
        <w:rPr>
          <w:b/>
          <w:bCs/>
        </w:rPr>
        <w:t>Escenario 2: Su cliente le pregunta "¿qué riesgo tengo si hago esto?"</w:t>
      </w:r>
    </w:p>
    <w:p w14:paraId="754CE9ED" w14:textId="77777777" w:rsidR="009E7BFB" w:rsidRPr="00730BA5" w:rsidRDefault="009E7BFB" w:rsidP="009E7BFB">
      <w:pPr>
        <w:jc w:val="both"/>
      </w:pPr>
      <w:r w:rsidRPr="00730BA5">
        <w:t xml:space="preserve">Busque el apéndice del tema. Lea la </w:t>
      </w:r>
      <w:proofErr w:type="spellStart"/>
      <w:r w:rsidRPr="00730BA5">
        <w:t>checklist</w:t>
      </w:r>
      <w:proofErr w:type="spellEnd"/>
      <w:r w:rsidRPr="00730BA5">
        <w:t xml:space="preserve"> de defensa. Ahí encontrará las acciones preventivas que puede recomendar. No espere a que llegue la auditoría. Prevenga.</w:t>
      </w:r>
    </w:p>
    <w:p w14:paraId="22B7185E" w14:textId="77777777" w:rsidR="009E7BFB" w:rsidRPr="00730BA5" w:rsidRDefault="009E7BFB" w:rsidP="009E7BFB">
      <w:pPr>
        <w:jc w:val="both"/>
      </w:pPr>
      <w:r w:rsidRPr="00730BA5">
        <w:rPr>
          <w:b/>
          <w:bCs/>
        </w:rPr>
        <w:t>Escenario 3: Su cliente ya está en juicio.</w:t>
      </w:r>
    </w:p>
    <w:p w14:paraId="652E9DF2" w14:textId="77777777" w:rsidR="009E7BFB" w:rsidRPr="00730BA5" w:rsidRDefault="009E7BFB" w:rsidP="009E7BFB">
      <w:pPr>
        <w:jc w:val="both"/>
      </w:pPr>
      <w:r w:rsidRPr="00730BA5">
        <w:t>Identifique el expediente más similar en este apéndice. Lea los 10 puntos técnicos. Vea qué argumentos ganaron y cuáles perdieron. Use los fundamentos legales para reforzar su teoría del caso. Si el Tribunal ya resolvió un punto a favor del contribuyente en un caso similar, ese es su mejor precedente.</w:t>
      </w:r>
    </w:p>
    <w:p w14:paraId="486E37E9" w14:textId="77777777" w:rsidR="009E7BFB" w:rsidRPr="00730BA5" w:rsidRDefault="009E7BFB" w:rsidP="009E7BFB">
      <w:pPr>
        <w:jc w:val="both"/>
      </w:pPr>
      <w:r w:rsidRPr="00730BA5">
        <w:rPr>
          <w:b/>
          <w:bCs/>
        </w:rPr>
        <w:t>Escenario 4: Su cliente es una persona física con actividad empresarial.</w:t>
      </w:r>
    </w:p>
    <w:p w14:paraId="4763CE2B" w14:textId="77777777" w:rsidR="009E7BFB" w:rsidRPr="00730BA5" w:rsidRDefault="009E7BFB" w:rsidP="009E7BFB">
      <w:pPr>
        <w:jc w:val="both"/>
      </w:pPr>
      <w:r w:rsidRPr="00730BA5">
        <w:t>El Apéndice 25 es obligatorio. Los 7 puntos ciegos son los errores más comunes que detecta el SAT. Revíselos con su cliente hoy. No espere a la auditoría.</w:t>
      </w:r>
    </w:p>
    <w:p w14:paraId="5AE9305F" w14:textId="77777777" w:rsidR="009E7BFB" w:rsidRPr="00730BA5" w:rsidRDefault="00000000" w:rsidP="009E7BFB">
      <w:pPr>
        <w:jc w:val="both"/>
      </w:pPr>
      <w:r>
        <w:pict w14:anchorId="6F03C185">
          <v:rect id="_x0000_i1028" style="width:0;height:.75pt" o:hralign="center" o:hrstd="t" o:hr="t" fillcolor="#a0a0a0" stroked="f"/>
        </w:pict>
      </w:r>
    </w:p>
    <w:p w14:paraId="3EF183CE" w14:textId="77777777" w:rsidR="009E7BFB" w:rsidRPr="00730BA5" w:rsidRDefault="009E7BFB" w:rsidP="009E7BFB">
      <w:pPr>
        <w:jc w:val="both"/>
        <w:rPr>
          <w:b/>
          <w:bCs/>
        </w:rPr>
      </w:pPr>
      <w:r w:rsidRPr="00730BA5">
        <w:rPr>
          <w:b/>
          <w:bCs/>
        </w:rPr>
        <w:lastRenderedPageBreak/>
        <w:t>Una advertencia necesaria</w:t>
      </w:r>
    </w:p>
    <w:p w14:paraId="525A40C3" w14:textId="77777777" w:rsidR="009E7BFB" w:rsidRPr="00730BA5" w:rsidRDefault="009E7BFB" w:rsidP="009E7BFB">
      <w:pPr>
        <w:jc w:val="both"/>
      </w:pPr>
      <w:r w:rsidRPr="00730BA5">
        <w:t>Este apéndice no sustituye el análisis caso por caso. Cada expediente es único. Cada cliente es único. Las fechas de las sentencias importan. Las reformas legislativas importan.</w:t>
      </w:r>
    </w:p>
    <w:p w14:paraId="6B736B41" w14:textId="77777777" w:rsidR="009E7BFB" w:rsidRPr="00730BA5" w:rsidRDefault="009E7BFB" w:rsidP="009E7BFB">
      <w:pPr>
        <w:jc w:val="both"/>
      </w:pPr>
      <w:r w:rsidRPr="00730BA5">
        <w:rPr>
          <w:b/>
          <w:bCs/>
        </w:rPr>
        <w:t>Use este apéndice como punto de partida, no como destino.</w:t>
      </w:r>
      <w:r w:rsidRPr="00730BA5">
        <w:t> Un precedente favorable no garantiza el éxito en su caso. Pero ignorar un precedente desfavorable es negligencia.</w:t>
      </w:r>
    </w:p>
    <w:p w14:paraId="45E68477" w14:textId="77777777" w:rsidR="009E7BFB" w:rsidRPr="00730BA5" w:rsidRDefault="009E7BFB" w:rsidP="009E7BFB">
      <w:pPr>
        <w:jc w:val="both"/>
      </w:pPr>
      <w:r w:rsidRPr="00730BA5">
        <w:t>El valor de este apéndice está en la </w:t>
      </w:r>
      <w:r w:rsidRPr="00730BA5">
        <w:rPr>
          <w:b/>
          <w:bCs/>
        </w:rPr>
        <w:t>velocidad de acceso</w:t>
      </w:r>
      <w:r w:rsidRPr="00730BA5">
        <w:t> a la información. Usted no necesita leer 30 sentencias completas de 60 páginas cada una. Necesita identificar el punto relevante, el fundamento legal, y aplicarlo. Eso es lo que este documento le da.</w:t>
      </w:r>
    </w:p>
    <w:p w14:paraId="377499C7" w14:textId="77777777" w:rsidR="009E7BFB" w:rsidRPr="00730BA5" w:rsidRDefault="00000000" w:rsidP="009E7BFB">
      <w:pPr>
        <w:jc w:val="both"/>
      </w:pPr>
      <w:r>
        <w:pict w14:anchorId="7E23FE8D">
          <v:rect id="_x0000_i1029" style="width:0;height:.75pt" o:hralign="center" o:hrstd="t" o:hr="t" fillcolor="#a0a0a0" stroked="f"/>
        </w:pict>
      </w:r>
    </w:p>
    <w:p w14:paraId="0F3C4B40" w14:textId="77777777" w:rsidR="009E7BFB" w:rsidRPr="00730BA5" w:rsidRDefault="009E7BFB" w:rsidP="009E7BFB">
      <w:pPr>
        <w:jc w:val="both"/>
        <w:rPr>
          <w:b/>
          <w:bCs/>
        </w:rPr>
      </w:pPr>
      <w:r w:rsidRPr="00730BA5">
        <w:rPr>
          <w:b/>
          <w:bCs/>
        </w:rPr>
        <w:t>La regla de oro</w:t>
      </w:r>
    </w:p>
    <w:p w14:paraId="171F9591" w14:textId="77777777" w:rsidR="009E7BFB" w:rsidRPr="00730BA5" w:rsidRDefault="009E7BFB" w:rsidP="009E7BFB">
      <w:pPr>
        <w:jc w:val="both"/>
      </w:pPr>
      <w:r w:rsidRPr="00730BA5">
        <w:t>El SAT no le cree porque usted sea honesto. El SAT le cree porque usted puede probarlo.</w:t>
      </w:r>
    </w:p>
    <w:p w14:paraId="31B9A1CF" w14:textId="77777777" w:rsidR="009E7BFB" w:rsidRPr="00730BA5" w:rsidRDefault="009E7BFB" w:rsidP="009E7BFB">
      <w:pPr>
        <w:jc w:val="both"/>
      </w:pPr>
      <w:r w:rsidRPr="00730BA5">
        <w:t>Este apéndice no le enseña a mentir. Le enseña a probar. A documentar. A defenderse con la ley en la mano.</w:t>
      </w:r>
    </w:p>
    <w:p w14:paraId="39815CA3" w14:textId="77777777" w:rsidR="009E7BFB" w:rsidRPr="00730BA5" w:rsidRDefault="009E7BFB" w:rsidP="009E7BFB">
      <w:pPr>
        <w:jc w:val="both"/>
      </w:pPr>
      <w:r w:rsidRPr="00730BA5">
        <w:t>Cada uno de los 30 capítulos del libro termina con una sentencia en una sola palabra: </w:t>
      </w:r>
      <w:r w:rsidRPr="00730BA5">
        <w:rPr>
          <w:b/>
          <w:bCs/>
        </w:rPr>
        <w:t>Siempre, Control, Sustancia, Origen, Aportación, Presencia, Fuente, Coordinación, Naturaleza, Vigencia, Costo, Independencia, Grupo, Requisito, Forma, Materialidad, Vigilancia, Coherencia, Oportunidad, Procedimiento, Permanencia, Acuerdo, Legado, Pericial, Especialización, Subordinación, Personal, Corrección, Evidencia.</w:t>
      </w:r>
    </w:p>
    <w:p w14:paraId="32CBBC45" w14:textId="77777777" w:rsidR="009E7BFB" w:rsidRPr="00730BA5" w:rsidRDefault="009E7BFB" w:rsidP="009E7BFB">
      <w:pPr>
        <w:jc w:val="both"/>
      </w:pPr>
      <w:r w:rsidRPr="00730BA5">
        <w:t>Esas palabras son el mapa. Este apéndice es la brújula.</w:t>
      </w:r>
    </w:p>
    <w:p w14:paraId="4D0281DA" w14:textId="77777777" w:rsidR="009E7BFB" w:rsidRPr="00730BA5" w:rsidRDefault="009E7BFB" w:rsidP="009E7BFB">
      <w:pPr>
        <w:jc w:val="both"/>
      </w:pPr>
      <w:r w:rsidRPr="00730BA5">
        <w:t>Úsela bien.</w:t>
      </w:r>
    </w:p>
    <w:p w14:paraId="743C596A" w14:textId="77777777" w:rsidR="009E7BFB" w:rsidRPr="00730BA5" w:rsidRDefault="00000000" w:rsidP="009E7BFB">
      <w:pPr>
        <w:jc w:val="both"/>
      </w:pPr>
      <w:r>
        <w:pict w14:anchorId="45E97583">
          <v:rect id="_x0000_i1030" style="width:0;height:.75pt" o:hralign="center" o:hrstd="t" o:hr="t" fillcolor="#a0a0a0" stroked="f"/>
        </w:pict>
      </w:r>
    </w:p>
    <w:p w14:paraId="4A3F33D0" w14:textId="77777777" w:rsidR="009E7BFB" w:rsidRPr="00730BA5" w:rsidRDefault="009E7BFB" w:rsidP="009E7BFB">
      <w:pPr>
        <w:jc w:val="both"/>
      </w:pPr>
      <w:r w:rsidRPr="00730BA5">
        <w:rPr>
          <w:b/>
          <w:bCs/>
        </w:rPr>
        <w:t>Jesús Sánchez Nieto</w:t>
      </w:r>
    </w:p>
    <w:p w14:paraId="75B39996" w14:textId="77777777" w:rsidR="009E7BFB" w:rsidRPr="00730BA5" w:rsidRDefault="009E7BFB" w:rsidP="009E7BFB">
      <w:pPr>
        <w:jc w:val="both"/>
      </w:pPr>
      <w:r w:rsidRPr="00730BA5">
        <w:t>Autor de </w:t>
      </w:r>
      <w:r w:rsidRPr="00730BA5">
        <w:rPr>
          <w:i/>
          <w:iCs/>
        </w:rPr>
        <w:t>Puntos ciegos fiscales</w:t>
      </w:r>
    </w:p>
    <w:p w14:paraId="06180655" w14:textId="77777777" w:rsidR="009E7BFB" w:rsidRPr="00730BA5" w:rsidRDefault="00000000" w:rsidP="009E7BFB">
      <w:pPr>
        <w:jc w:val="both"/>
      </w:pPr>
      <w:r>
        <w:pict w14:anchorId="284DFA08">
          <v:rect id="_x0000_i1031" style="width:0;height:.75pt" o:hralign="center" o:hrstd="t" o:hr="t" fillcolor="#a0a0a0" stroked="f"/>
        </w:pict>
      </w:r>
    </w:p>
    <w:p w14:paraId="62B7A1A6" w14:textId="77777777" w:rsidR="009E7BFB" w:rsidRDefault="009E7BFB" w:rsidP="009E7BFB">
      <w:pPr>
        <w:jc w:val="both"/>
      </w:pPr>
      <w:r w:rsidRPr="00730BA5">
        <w:rPr>
          <w:b/>
          <w:bCs/>
        </w:rPr>
        <w:t>Nota final:</w:t>
      </w:r>
      <w:r w:rsidRPr="00730BA5">
        <w:t xml:space="preserve"> Los expedientes mencionados pueden consultarse en las oficinas del Tribunal Federal de Justicia Administrativa (TFJA) o a través del Sistema Integral de Seguimiento de Expedientes (SISE) del Poder Judicial de la Federación, con previa </w:t>
      </w:r>
      <w:r w:rsidRPr="00730BA5">
        <w:lastRenderedPageBreak/>
        <w:t>acreditación de interés jurídico. Las jurisprudencias y tesis están disponibles en el Semanario Judicial de la Federación.</w:t>
      </w:r>
    </w:p>
    <w:p w14:paraId="00E683E0" w14:textId="77777777" w:rsidR="00EF4E9C" w:rsidRPr="00EF4E9C" w:rsidRDefault="00EF4E9C" w:rsidP="00EF4E9C">
      <w:pPr>
        <w:jc w:val="both"/>
      </w:pPr>
      <w:r w:rsidRPr="00EF4E9C">
        <w:rPr>
          <w:b/>
          <w:bCs/>
        </w:rPr>
        <w:t>Apéndice Técnico 1</w:t>
      </w:r>
    </w:p>
    <w:p w14:paraId="265DE18C" w14:textId="77777777" w:rsidR="00EF4E9C" w:rsidRPr="00EF4E9C" w:rsidRDefault="00EF4E9C" w:rsidP="00EF4E9C">
      <w:pPr>
        <w:jc w:val="both"/>
      </w:pPr>
      <w:r w:rsidRPr="00EF4E9C">
        <w:rPr>
          <w:b/>
          <w:bCs/>
        </w:rPr>
        <w:t>Reembolso de capital y el error de los cinco años</w:t>
      </w:r>
    </w:p>
    <w:p w14:paraId="7AA28209" w14:textId="77777777" w:rsidR="00EF4E9C" w:rsidRPr="00EF4E9C" w:rsidRDefault="00EF4E9C" w:rsidP="00EF4E9C">
      <w:pPr>
        <w:jc w:val="both"/>
      </w:pPr>
      <w:r w:rsidRPr="00EF4E9C">
        <w:rPr>
          <w:b/>
          <w:bCs/>
        </w:rPr>
        <w:t>Capítulo 1 del libro</w:t>
      </w:r>
    </w:p>
    <w:p w14:paraId="4763983B" w14:textId="77777777" w:rsidR="00EF4E9C" w:rsidRPr="00EF4E9C" w:rsidRDefault="00EF4E9C" w:rsidP="00EF4E9C">
      <w:pPr>
        <w:jc w:val="both"/>
      </w:pPr>
      <w:r w:rsidRPr="00EF4E9C">
        <w:rPr>
          <w:b/>
          <w:bCs/>
        </w:rPr>
        <w:t>Expediente:</w:t>
      </w:r>
      <w:r w:rsidRPr="00EF4E9C">
        <w:t> 24628/23-17-02-6/1796/24-S1-03-04 del Tribunal Federal de Justicia Administrativa (Primera Sección de la Sala Superior)</w:t>
      </w:r>
    </w:p>
    <w:p w14:paraId="52D3E287" w14:textId="77777777" w:rsidR="00EF4E9C" w:rsidRPr="00EF4E9C" w:rsidRDefault="00EF4E9C" w:rsidP="00EF4E9C">
      <w:pPr>
        <w:jc w:val="both"/>
      </w:pPr>
      <w:r w:rsidRPr="00EF4E9C">
        <w:rPr>
          <w:b/>
          <w:bCs/>
        </w:rPr>
        <w:t>Los 10 puntos técnicos más relevantes para el asesor fiscal</w:t>
      </w:r>
    </w:p>
    <w:p w14:paraId="25A63FBE" w14:textId="77777777" w:rsidR="00EF4E9C" w:rsidRPr="00EF4E9C" w:rsidRDefault="00EF4E9C" w:rsidP="00EF4E9C">
      <w:pPr>
        <w:jc w:val="both"/>
      </w:pPr>
      <w:r w:rsidRPr="00EF4E9C">
        <w:rPr>
          <w:b/>
          <w:bCs/>
        </w:rPr>
        <w:t>1. Prohibición de mejorar la fundamentación en el recurso de revocación</w:t>
      </w:r>
    </w:p>
    <w:p w14:paraId="75E828AC" w14:textId="77777777" w:rsidR="00EF4E9C" w:rsidRPr="00EF4E9C" w:rsidRDefault="00EF4E9C" w:rsidP="00EF4E9C">
      <w:pPr>
        <w:jc w:val="both"/>
      </w:pPr>
      <w:r w:rsidRPr="00EF4E9C">
        <w:t>La autoridad fiscal no puede, al resolver el recurso de revocación, añadir argumentos nuevos que no fueron considerados en la resolución original (la determinación del crédito fiscal). Si lo hace, el acto es nulo por violación al artículo 38, fracción IV de la LFPA (supletoria) y al principio de congruencia. La autoridad está limitada a analizar los argumentos del recurrente y a confirmar o modificar el acto original con base en los mismos hechos y fundamentos ya existentes en el expediente.</w:t>
      </w:r>
    </w:p>
    <w:p w14:paraId="666D47B7" w14:textId="77777777" w:rsidR="00EF4E9C" w:rsidRPr="00EF4E9C" w:rsidRDefault="00EF4E9C" w:rsidP="00EF4E9C">
      <w:pPr>
        <w:jc w:val="both"/>
      </w:pPr>
      <w:r w:rsidRPr="00EF4E9C">
        <w:rPr>
          <w:i/>
          <w:iCs/>
        </w:rPr>
        <w:t>Fundamento:</w:t>
      </w:r>
      <w:r w:rsidRPr="00EF4E9C">
        <w:t> Artículo 131 del CFF; jurisprudencia 2a./J. 34/2004 de la SCJN.</w:t>
      </w:r>
    </w:p>
    <w:p w14:paraId="096533CA" w14:textId="77777777" w:rsidR="00EF4E9C" w:rsidRPr="00EF4E9C" w:rsidRDefault="00EF4E9C" w:rsidP="00EF4E9C">
      <w:pPr>
        <w:jc w:val="both"/>
      </w:pPr>
      <w:r w:rsidRPr="00EF4E9C">
        <w:rPr>
          <w:b/>
          <w:bCs/>
        </w:rPr>
        <w:t>2. La CUCA es de tracto sucesivo</w:t>
      </w:r>
    </w:p>
    <w:p w14:paraId="0A808CF9" w14:textId="77777777" w:rsidR="00EF4E9C" w:rsidRPr="00EF4E9C" w:rsidRDefault="00EF4E9C" w:rsidP="00EF4E9C">
      <w:pPr>
        <w:jc w:val="both"/>
      </w:pPr>
      <w:r w:rsidRPr="00EF4E9C">
        <w:t>Las aportaciones de capital no son actos instantáneos. Generan efectos fiscales mientras la sociedad exista, porque la Cuenta de Capital de Aportación (CUCA) se actualiza cada ejercicio fiscal (artículo 78 de la LISR) y su saldo se refleja en la declaración anual. El error en la integración histórica de la CUCA se arrastra año tras año hasta que se corrige. La autoridad fiscal puede revisar la CUCA de ejercicios anteriores dentro del plazo de caducidad de cinco años, contado desde la última declaración que refleje efectos.</w:t>
      </w:r>
    </w:p>
    <w:p w14:paraId="00ACF5F7" w14:textId="77777777" w:rsidR="00EF4E9C" w:rsidRPr="00EF4E9C" w:rsidRDefault="00EF4E9C" w:rsidP="00EF4E9C">
      <w:pPr>
        <w:jc w:val="both"/>
      </w:pPr>
      <w:r w:rsidRPr="00EF4E9C">
        <w:rPr>
          <w:i/>
          <w:iCs/>
        </w:rPr>
        <w:t>Fundamento:</w:t>
      </w:r>
      <w:r w:rsidRPr="00EF4E9C">
        <w:t> Artículo 78 de la LISR; artículo 67 del CFF.</w:t>
      </w:r>
    </w:p>
    <w:p w14:paraId="0664BF7A" w14:textId="77777777" w:rsidR="00EF4E9C" w:rsidRPr="00EF4E9C" w:rsidRDefault="00EF4E9C" w:rsidP="00EF4E9C">
      <w:pPr>
        <w:jc w:val="both"/>
      </w:pPr>
      <w:r w:rsidRPr="00EF4E9C">
        <w:rPr>
          <w:b/>
          <w:bCs/>
        </w:rPr>
        <w:t>3. La documentación de aportaciones de capital es eterna</w:t>
      </w:r>
    </w:p>
    <w:p w14:paraId="62126E61" w14:textId="77777777" w:rsidR="00EF4E9C" w:rsidRPr="00EF4E9C" w:rsidRDefault="00EF4E9C" w:rsidP="00EF4E9C">
      <w:pPr>
        <w:jc w:val="both"/>
      </w:pPr>
      <w:r w:rsidRPr="00EF4E9C">
        <w:t>El artículo 30 del CFF establece tres reglas: la general de 5 años (fracción I), la de efectos prolongados (fracción II, inciso a), y la letal para la CUCA (fracción II, inciso c): las actas de aumento de capital y los comprobantes de pago de las aportaciones deben conservarse </w:t>
      </w:r>
      <w:r w:rsidRPr="00EF4E9C">
        <w:rPr>
          <w:b/>
          <w:bCs/>
        </w:rPr>
        <w:t>por todo el tiempo que subsista la sociedad</w:t>
      </w:r>
      <w:r w:rsidRPr="00EF4E9C">
        <w:t>. No caducan a los cinco años. La regla del CFF es clara: la información necesaria para determinar el costo de las acciones se guarda mientras la empresa exista.</w:t>
      </w:r>
    </w:p>
    <w:p w14:paraId="78217A60" w14:textId="77777777" w:rsidR="00EF4E9C" w:rsidRPr="00EF4E9C" w:rsidRDefault="00EF4E9C" w:rsidP="00EF4E9C">
      <w:pPr>
        <w:jc w:val="both"/>
      </w:pPr>
      <w:r w:rsidRPr="00EF4E9C">
        <w:rPr>
          <w:i/>
          <w:iCs/>
        </w:rPr>
        <w:lastRenderedPageBreak/>
        <w:t>Fundamento:</w:t>
      </w:r>
      <w:r w:rsidRPr="00EF4E9C">
        <w:t> Artículo 30, fracción II, inciso c del CFF.</w:t>
      </w:r>
    </w:p>
    <w:p w14:paraId="3760AE7C" w14:textId="77777777" w:rsidR="00EF4E9C" w:rsidRPr="00EF4E9C" w:rsidRDefault="00EF4E9C" w:rsidP="00EF4E9C">
      <w:pPr>
        <w:jc w:val="both"/>
      </w:pPr>
      <w:r w:rsidRPr="00EF4E9C">
        <w:rPr>
          <w:b/>
          <w:bCs/>
        </w:rPr>
        <w:t>4. El acta de asamblea no prueba el pago</w:t>
      </w:r>
    </w:p>
    <w:p w14:paraId="13129D65" w14:textId="77777777" w:rsidR="00EF4E9C" w:rsidRPr="00EF4E9C" w:rsidRDefault="00EF4E9C" w:rsidP="00EF4E9C">
      <w:pPr>
        <w:jc w:val="both"/>
      </w:pPr>
      <w:r w:rsidRPr="00EF4E9C">
        <w:t>Un acta notarial de asamblea de accionistas acredita que hubo una reunión, que los comparecientes firmaron, y que se aprobó un aumento de capital. No acredita que el dinero de ese aumento efectivamente entró a la cuenta bancaria de la empresa. El notario no da fe del depósito o transferencia. Para probar el pago se requieren comprobantes de pago: estados de cuenta bancarios, transferencias electrónicas, pólizas contables, cheques cancelados, o cartas del banco que describan transacciones específicas.</w:t>
      </w:r>
    </w:p>
    <w:p w14:paraId="4C2CF712" w14:textId="77777777" w:rsidR="00EF4E9C" w:rsidRPr="00EF4E9C" w:rsidRDefault="00EF4E9C" w:rsidP="00EF4E9C">
      <w:pPr>
        <w:jc w:val="both"/>
      </w:pPr>
      <w:r w:rsidRPr="00EF4E9C">
        <w:rPr>
          <w:i/>
          <w:iCs/>
        </w:rPr>
        <w:t>Fundamento:</w:t>
      </w:r>
      <w:r w:rsidRPr="00EF4E9C">
        <w:t> Artículo 46 de la LFCA (valor probatorio de documentos públicos); jurisprudencia 2a./J. 161/2019 (10a.) sobre fecha cierta.</w:t>
      </w:r>
    </w:p>
    <w:p w14:paraId="740F3D09" w14:textId="77777777" w:rsidR="00EF4E9C" w:rsidRPr="00EF4E9C" w:rsidRDefault="00EF4E9C" w:rsidP="00EF4E9C">
      <w:pPr>
        <w:jc w:val="both"/>
      </w:pPr>
      <w:r w:rsidRPr="00EF4E9C">
        <w:rPr>
          <w:b/>
          <w:bCs/>
        </w:rPr>
        <w:t>5. El requisito de pago no es nuevo</w:t>
      </w:r>
    </w:p>
    <w:p w14:paraId="07A577C3" w14:textId="77777777" w:rsidR="00EF4E9C" w:rsidRPr="00EF4E9C" w:rsidRDefault="00EF4E9C" w:rsidP="00EF4E9C">
      <w:pPr>
        <w:jc w:val="both"/>
      </w:pPr>
      <w:r w:rsidRPr="00EF4E9C">
        <w:t>Aunque el artículo 78 de la LISR no decía expresamente antes de 2002 "en el momento en que se paguen", el requisito de pago efectivo siempre fue exigible por interpretación judicial. La exposición de motivos de la reforma de 2002 (que incorporó la frase "en el momento en que se paguen") reconoció que se trataba de una precisión aclaratoria, no de una innovación. Los tribunales ya sostenían que una acta notarial sin pago no generaba derecho a integrar la CUCA. Por tanto, no es válido argumentar "la ley no lo decía antes".</w:t>
      </w:r>
    </w:p>
    <w:p w14:paraId="71F0201F" w14:textId="77777777" w:rsidR="00EF4E9C" w:rsidRPr="00EF4E9C" w:rsidRDefault="00EF4E9C" w:rsidP="00EF4E9C">
      <w:pPr>
        <w:jc w:val="both"/>
      </w:pPr>
      <w:r w:rsidRPr="00EF4E9C">
        <w:rPr>
          <w:i/>
          <w:iCs/>
        </w:rPr>
        <w:t>Fundamento:</w:t>
      </w:r>
      <w:r w:rsidRPr="00EF4E9C">
        <w:t> Artículo 78 de la LISR; exposición de motivos de la reforma del 1 de enero de 2002.</w:t>
      </w:r>
    </w:p>
    <w:p w14:paraId="240D2C84" w14:textId="77777777" w:rsidR="00EF4E9C" w:rsidRPr="00EF4E9C" w:rsidRDefault="00EF4E9C" w:rsidP="00EF4E9C">
      <w:pPr>
        <w:jc w:val="both"/>
      </w:pPr>
      <w:r w:rsidRPr="00EF4E9C">
        <w:rPr>
          <w:b/>
          <w:bCs/>
        </w:rPr>
        <w:t>6. Rechazo genérico = falta de motivación</w:t>
      </w:r>
    </w:p>
    <w:p w14:paraId="2871831F" w14:textId="77777777" w:rsidR="00EF4E9C" w:rsidRPr="00EF4E9C" w:rsidRDefault="00EF4E9C" w:rsidP="00EF4E9C">
      <w:pPr>
        <w:jc w:val="both"/>
      </w:pPr>
      <w:r w:rsidRPr="00EF4E9C">
        <w:t>La autoridad fiscal no puede rechazar globalmente las aportaciones de capital argumentando que "no se acreditó el origen de los recursos" o que "los comprobantes no son suficientes". Debe analizar cada tipo de aportación por separado (capitalización de pasivos, revaluación de activos, aportaciones de socios, reservas capitalizables) y explicar por qué cada una no cumple los requisitos de pago efectivo. Un rechazo genérico viola la garantía de motivación del artículo 16 constitucional.</w:t>
      </w:r>
    </w:p>
    <w:p w14:paraId="25BFF476" w14:textId="77777777" w:rsidR="00EF4E9C" w:rsidRPr="00EF4E9C" w:rsidRDefault="00EF4E9C" w:rsidP="00EF4E9C">
      <w:pPr>
        <w:jc w:val="both"/>
      </w:pPr>
      <w:r w:rsidRPr="00EF4E9C">
        <w:rPr>
          <w:i/>
          <w:iCs/>
        </w:rPr>
        <w:t>Fundamento:</w:t>
      </w:r>
      <w:r w:rsidRPr="00EF4E9C">
        <w:t> Artículo 16 constitucional; artículo 42 del CFF; jurisprudencia 1a./J. 139/2005 de la SCJN.</w:t>
      </w:r>
    </w:p>
    <w:p w14:paraId="50120F2F" w14:textId="77777777" w:rsidR="00EF4E9C" w:rsidRPr="00EF4E9C" w:rsidRDefault="00EF4E9C" w:rsidP="00EF4E9C">
      <w:pPr>
        <w:jc w:val="both"/>
      </w:pPr>
      <w:r w:rsidRPr="00EF4E9C">
        <w:rPr>
          <w:b/>
          <w:bCs/>
        </w:rPr>
        <w:t>7. Los estados de cuenta bancarios son exigibles desde 2004</w:t>
      </w:r>
    </w:p>
    <w:p w14:paraId="5FDD6061" w14:textId="77777777" w:rsidR="00EF4E9C" w:rsidRPr="00EF4E9C" w:rsidRDefault="00EF4E9C" w:rsidP="00EF4E9C">
      <w:pPr>
        <w:jc w:val="both"/>
      </w:pPr>
      <w:r w:rsidRPr="00EF4E9C">
        <w:t xml:space="preserve">El artículo 48 del CFF (redacción vigente desde 2004) faculta al SAT a solicitar "datos, otros documentos o informes" de los contribuyentes, incluyendo los estados de </w:t>
      </w:r>
      <w:r w:rsidRPr="00EF4E9C">
        <w:lastRenderedPageBreak/>
        <w:t>cuenta bancarios para acreditar el flujo de efectivo de las aportaciones de capital. La Ley de Transparencia y Acceso a la Información Pública no protege como "confidencial" la información bancaria cuando es solicitada por la autoridad fiscal en ejercicio de sus facultades de comprobación. El contribuyente no puede negarse a exhibirlos alegando "secreto bancario".</w:t>
      </w:r>
    </w:p>
    <w:p w14:paraId="4AC74F11" w14:textId="77777777" w:rsidR="00EF4E9C" w:rsidRPr="00EF4E9C" w:rsidRDefault="00EF4E9C" w:rsidP="00EF4E9C">
      <w:pPr>
        <w:jc w:val="both"/>
        <w:rPr>
          <w:lang w:val="fr-FR"/>
        </w:rPr>
      </w:pPr>
      <w:r w:rsidRPr="00EF4E9C">
        <w:rPr>
          <w:i/>
          <w:iCs/>
        </w:rPr>
        <w:t>Fundamento:</w:t>
      </w:r>
      <w:r w:rsidRPr="00EF4E9C">
        <w:t xml:space="preserve"> Artículo 48 del CFF; tesis 1a. </w:t>
      </w:r>
      <w:r w:rsidRPr="00EF4E9C">
        <w:rPr>
          <w:lang w:val="fr-FR"/>
        </w:rPr>
        <w:t>XX/2015 (10a.) de la SCJN.</w:t>
      </w:r>
    </w:p>
    <w:p w14:paraId="5B31133E" w14:textId="77777777" w:rsidR="00EF4E9C" w:rsidRPr="00EF4E9C" w:rsidRDefault="00EF4E9C" w:rsidP="00EF4E9C">
      <w:pPr>
        <w:jc w:val="both"/>
      </w:pPr>
      <w:r w:rsidRPr="00EF4E9C">
        <w:rPr>
          <w:b/>
          <w:bCs/>
        </w:rPr>
        <w:t>8. La nulidad por vicios de forma es "para efectos", no lisa y llana</w:t>
      </w:r>
    </w:p>
    <w:p w14:paraId="04BC2A16" w14:textId="77777777" w:rsidR="00EF4E9C" w:rsidRPr="00EF4E9C" w:rsidRDefault="00EF4E9C" w:rsidP="00EF4E9C">
      <w:pPr>
        <w:jc w:val="both"/>
      </w:pPr>
      <w:r w:rsidRPr="00EF4E9C">
        <w:t>Cuando la autoridad fiscal no analiza correctamente las pruebas de aportación de capital, el Tribunal no declara la nulidad lisa y llana (anulación total del crédito fiscal). Declara la nulidad </w:t>
      </w:r>
      <w:r w:rsidRPr="00EF4E9C">
        <w:rPr>
          <w:b/>
          <w:bCs/>
        </w:rPr>
        <w:t>"para efectos"</w:t>
      </w:r>
      <w:r w:rsidRPr="00EF4E9C">
        <w:t> (artículo 52, fracción II de la LFCA), ordenando al SAT emitir una nueva resolución que sí valore las pruebas, integre correctamente la CUCA, y determine si el impuesto es procedente o no. El contribuyente no obtiene la devolución automática; debe esperar la nueva resolución de la autoridad.</w:t>
      </w:r>
    </w:p>
    <w:p w14:paraId="41A74B6F" w14:textId="77777777" w:rsidR="00EF4E9C" w:rsidRPr="00EF4E9C" w:rsidRDefault="00EF4E9C" w:rsidP="00EF4E9C">
      <w:pPr>
        <w:jc w:val="both"/>
      </w:pPr>
      <w:r w:rsidRPr="00EF4E9C">
        <w:rPr>
          <w:i/>
          <w:iCs/>
        </w:rPr>
        <w:t>Fundamento:</w:t>
      </w:r>
      <w:r w:rsidRPr="00EF4E9C">
        <w:t> Artículo 52, fracción II de la LFCA.</w:t>
      </w:r>
    </w:p>
    <w:p w14:paraId="4A05B911" w14:textId="77777777" w:rsidR="00EF4E9C" w:rsidRPr="00EF4E9C" w:rsidRDefault="00EF4E9C" w:rsidP="00EF4E9C">
      <w:pPr>
        <w:jc w:val="both"/>
      </w:pPr>
      <w:r w:rsidRPr="00EF4E9C">
        <w:rPr>
          <w:b/>
          <w:bCs/>
        </w:rPr>
        <w:t>9. El plazo de 5 años se cuenta desde la última declaración con efectos</w:t>
      </w:r>
    </w:p>
    <w:p w14:paraId="58998F8D" w14:textId="77777777" w:rsidR="00EF4E9C" w:rsidRPr="00EF4E9C" w:rsidRDefault="00EF4E9C" w:rsidP="00EF4E9C">
      <w:pPr>
        <w:jc w:val="both"/>
      </w:pPr>
      <w:r w:rsidRPr="00EF4E9C">
        <w:t>Para la prescripción del derecho del SAT a revisar la CUCA, el plazo de cinco años no se cuenta desde la fecha de la aportación de capital (ej. 1988), sino desde la fecha en que se presentó la última declaración anual que refleje el saldo de CUCA actualizado. El artículo 67 del CFF es claro: el plazo de caducidad empieza a correr a partir de la presentación de la declaración (o desde que terminó el plazo para presentarla). Si la empresa sigue declarando, el plazo se renueva cada año.</w:t>
      </w:r>
    </w:p>
    <w:p w14:paraId="1624EDEA" w14:textId="77777777" w:rsidR="00EF4E9C" w:rsidRPr="00EF4E9C" w:rsidRDefault="00EF4E9C" w:rsidP="00EF4E9C">
      <w:pPr>
        <w:jc w:val="both"/>
      </w:pPr>
      <w:r w:rsidRPr="00EF4E9C">
        <w:rPr>
          <w:i/>
          <w:iCs/>
        </w:rPr>
        <w:t>Fundamento:</w:t>
      </w:r>
      <w:r w:rsidRPr="00EF4E9C">
        <w:t> Artículo 67 del CFF.</w:t>
      </w:r>
    </w:p>
    <w:p w14:paraId="21C7EDBF" w14:textId="77777777" w:rsidR="00EF4E9C" w:rsidRPr="00EF4E9C" w:rsidRDefault="00EF4E9C" w:rsidP="00EF4E9C">
      <w:pPr>
        <w:jc w:val="both"/>
      </w:pPr>
      <w:r w:rsidRPr="00EF4E9C">
        <w:rPr>
          <w:b/>
          <w:bCs/>
        </w:rPr>
        <w:t>10. No se pueden exigir "integraciones especiales"</w:t>
      </w:r>
    </w:p>
    <w:p w14:paraId="0DF873A9" w14:textId="77777777" w:rsidR="00EF4E9C" w:rsidRPr="00EF4E9C" w:rsidRDefault="00EF4E9C" w:rsidP="00EF4E9C">
      <w:pPr>
        <w:jc w:val="both"/>
      </w:pPr>
      <w:r w:rsidRPr="00EF4E9C">
        <w:t>El SAT no puede exigir al contribuyente que rehaga su contabilidad en formatos específicos (tablas de Excel con columnas predeterminadas) que no forman parte de sus libros contables originales. El artículo 28 del CFF define la contabilidad como los libros, sistemas y registros que el contribuyente lleva conforme a su propia naturaleza y volumen de operaciones. La autoridad debe aceptar la contabilidad tal como se lleva, siempre que contenga la información requerida.</w:t>
      </w:r>
    </w:p>
    <w:p w14:paraId="0F79C183" w14:textId="77777777" w:rsidR="00EF4E9C" w:rsidRPr="00EF4E9C" w:rsidRDefault="00EF4E9C" w:rsidP="00EF4E9C">
      <w:pPr>
        <w:jc w:val="both"/>
      </w:pPr>
      <w:r w:rsidRPr="00EF4E9C">
        <w:rPr>
          <w:i/>
          <w:iCs/>
        </w:rPr>
        <w:t>Fundamento:</w:t>
      </w:r>
      <w:r w:rsidRPr="00EF4E9C">
        <w:t> Artículo 28 del CFF; jurisprudencia IX-P-1aS-9 del TFJA.</w:t>
      </w:r>
    </w:p>
    <w:p w14:paraId="4D016B06" w14:textId="77777777" w:rsidR="00EF4E9C" w:rsidRPr="00EF4E9C" w:rsidRDefault="00EF4E9C" w:rsidP="00EF4E9C">
      <w:pPr>
        <w:jc w:val="both"/>
      </w:pPr>
      <w:r w:rsidRPr="00EF4E9C">
        <w:rPr>
          <w:b/>
          <w:bCs/>
        </w:rPr>
        <w:t>Fundamento legal completo del caso</w:t>
      </w:r>
    </w:p>
    <w:p w14:paraId="4A739401" w14:textId="77777777" w:rsidR="00EF4E9C" w:rsidRPr="00EF4E9C" w:rsidRDefault="00EF4E9C" w:rsidP="00EF4E9C">
      <w:pPr>
        <w:jc w:val="both"/>
      </w:pPr>
      <w:r w:rsidRPr="00EF4E9C">
        <w:rPr>
          <w:b/>
          <w:bCs/>
        </w:rPr>
        <w:t>Legislación aplicable:</w:t>
      </w:r>
    </w:p>
    <w:p w14:paraId="4F01C780" w14:textId="77777777" w:rsidR="00EF4E9C" w:rsidRPr="00EF4E9C" w:rsidRDefault="00EF4E9C" w:rsidP="00EF4E9C">
      <w:pPr>
        <w:numPr>
          <w:ilvl w:val="0"/>
          <w:numId w:val="3"/>
        </w:numPr>
        <w:jc w:val="both"/>
      </w:pPr>
      <w:r w:rsidRPr="00EF4E9C">
        <w:rPr>
          <w:b/>
          <w:bCs/>
        </w:rPr>
        <w:lastRenderedPageBreak/>
        <w:t>Artículo 30, fracción II, inciso c) del CFF:</w:t>
      </w:r>
      <w:r w:rsidRPr="00EF4E9C">
        <w:t> Las actas de aumento de capital y comprobantes de pago se guardan toda la vida de la sociedad.</w:t>
      </w:r>
    </w:p>
    <w:p w14:paraId="124F4AE0" w14:textId="77777777" w:rsidR="00EF4E9C" w:rsidRPr="00EF4E9C" w:rsidRDefault="00EF4E9C" w:rsidP="00EF4E9C">
      <w:pPr>
        <w:numPr>
          <w:ilvl w:val="0"/>
          <w:numId w:val="3"/>
        </w:numPr>
        <w:jc w:val="both"/>
      </w:pPr>
      <w:r w:rsidRPr="00EF4E9C">
        <w:rPr>
          <w:b/>
          <w:bCs/>
        </w:rPr>
        <w:t>Artículo 67 del CFF:</w:t>
      </w:r>
      <w:r w:rsidRPr="00EF4E9C">
        <w:t> Plazo de caducidad de cinco años desde la última declaración que refleje efectos fiscales.</w:t>
      </w:r>
    </w:p>
    <w:p w14:paraId="06F830E5" w14:textId="77777777" w:rsidR="00EF4E9C" w:rsidRPr="00EF4E9C" w:rsidRDefault="00EF4E9C" w:rsidP="00EF4E9C">
      <w:pPr>
        <w:numPr>
          <w:ilvl w:val="0"/>
          <w:numId w:val="3"/>
        </w:numPr>
        <w:jc w:val="both"/>
      </w:pPr>
      <w:r w:rsidRPr="00EF4E9C">
        <w:rPr>
          <w:b/>
          <w:bCs/>
        </w:rPr>
        <w:t>Artículo 42, fracción I del CFF:</w:t>
      </w:r>
      <w:r w:rsidRPr="00EF4E9C">
        <w:t> Facultades de comprobación del SAT para solicitar "datos, otros documentos o informes".</w:t>
      </w:r>
    </w:p>
    <w:p w14:paraId="7A787989" w14:textId="77777777" w:rsidR="00EF4E9C" w:rsidRPr="00EF4E9C" w:rsidRDefault="00EF4E9C" w:rsidP="00EF4E9C">
      <w:pPr>
        <w:numPr>
          <w:ilvl w:val="0"/>
          <w:numId w:val="3"/>
        </w:numPr>
        <w:jc w:val="both"/>
      </w:pPr>
      <w:r w:rsidRPr="00EF4E9C">
        <w:rPr>
          <w:b/>
          <w:bCs/>
        </w:rPr>
        <w:t>Artículo 48 del CFF:</w:t>
      </w:r>
      <w:r w:rsidRPr="00EF4E9C">
        <w:t> Solicitud de información bancaria para acreditar el flujo de efectivo de las aportaciones.</w:t>
      </w:r>
    </w:p>
    <w:p w14:paraId="7ADB6D62" w14:textId="77777777" w:rsidR="00EF4E9C" w:rsidRPr="00EF4E9C" w:rsidRDefault="00EF4E9C" w:rsidP="00EF4E9C">
      <w:pPr>
        <w:numPr>
          <w:ilvl w:val="0"/>
          <w:numId w:val="3"/>
        </w:numPr>
        <w:jc w:val="both"/>
      </w:pPr>
      <w:r w:rsidRPr="00EF4E9C">
        <w:rPr>
          <w:b/>
          <w:bCs/>
        </w:rPr>
        <w:t>Artículo 78 de la LISR:</w:t>
      </w:r>
      <w:r w:rsidRPr="00EF4E9C">
        <w:t> Integración de la CUCA; las aportaciones se adicionan "en el momento en que se paguen".</w:t>
      </w:r>
    </w:p>
    <w:p w14:paraId="4F00491A" w14:textId="77777777" w:rsidR="00EF4E9C" w:rsidRPr="00EF4E9C" w:rsidRDefault="00EF4E9C" w:rsidP="00EF4E9C">
      <w:pPr>
        <w:numPr>
          <w:ilvl w:val="0"/>
          <w:numId w:val="3"/>
        </w:numPr>
        <w:jc w:val="both"/>
      </w:pPr>
      <w:r w:rsidRPr="00EF4E9C">
        <w:rPr>
          <w:b/>
          <w:bCs/>
        </w:rPr>
        <w:t>Artículo 79 de la LISR:</w:t>
      </w:r>
      <w:r w:rsidRPr="00EF4E9C">
        <w:t> Actualización de la CUCA por inflación desde la fecha de aportación.</w:t>
      </w:r>
    </w:p>
    <w:p w14:paraId="59015810" w14:textId="77777777" w:rsidR="00EF4E9C" w:rsidRPr="00EF4E9C" w:rsidRDefault="00EF4E9C" w:rsidP="00EF4E9C">
      <w:pPr>
        <w:numPr>
          <w:ilvl w:val="0"/>
          <w:numId w:val="3"/>
        </w:numPr>
        <w:jc w:val="both"/>
      </w:pPr>
      <w:r w:rsidRPr="00EF4E9C">
        <w:rPr>
          <w:b/>
          <w:bCs/>
        </w:rPr>
        <w:t>Artículo 16 constitucional:</w:t>
      </w:r>
      <w:r w:rsidRPr="00EF4E9C">
        <w:t> Garantía de fundamentación y motivación de los actos de autoridad.</w:t>
      </w:r>
    </w:p>
    <w:p w14:paraId="239C540D" w14:textId="77777777" w:rsidR="00EF4E9C" w:rsidRPr="00EF4E9C" w:rsidRDefault="00EF4E9C" w:rsidP="00EF4E9C">
      <w:pPr>
        <w:numPr>
          <w:ilvl w:val="0"/>
          <w:numId w:val="3"/>
        </w:numPr>
        <w:jc w:val="both"/>
      </w:pPr>
      <w:r w:rsidRPr="00EF4E9C">
        <w:rPr>
          <w:b/>
          <w:bCs/>
        </w:rPr>
        <w:t>Artículo 46 de la LFCA:</w:t>
      </w:r>
      <w:r w:rsidRPr="00EF4E9C">
        <w:t> Valor probatorio pleno de los documentos públicos.</w:t>
      </w:r>
    </w:p>
    <w:p w14:paraId="3F514253" w14:textId="77777777" w:rsidR="00EF4E9C" w:rsidRPr="00EF4E9C" w:rsidRDefault="00EF4E9C" w:rsidP="00EF4E9C">
      <w:pPr>
        <w:numPr>
          <w:ilvl w:val="0"/>
          <w:numId w:val="3"/>
        </w:numPr>
        <w:jc w:val="both"/>
      </w:pPr>
      <w:r w:rsidRPr="00EF4E9C">
        <w:rPr>
          <w:b/>
          <w:bCs/>
        </w:rPr>
        <w:t>Artículo 52, fracción II de la LFCA:</w:t>
      </w:r>
      <w:r w:rsidRPr="00EF4E9C">
        <w:t> Nulidad "para efectos" cuando el vicio es de forma.</w:t>
      </w:r>
    </w:p>
    <w:p w14:paraId="2B6A4E8F" w14:textId="77777777" w:rsidR="00EF4E9C" w:rsidRPr="00EF4E9C" w:rsidRDefault="00EF4E9C" w:rsidP="00EF4E9C">
      <w:pPr>
        <w:numPr>
          <w:ilvl w:val="0"/>
          <w:numId w:val="3"/>
        </w:numPr>
        <w:jc w:val="both"/>
      </w:pPr>
      <w:r w:rsidRPr="00EF4E9C">
        <w:rPr>
          <w:b/>
          <w:bCs/>
        </w:rPr>
        <w:t>Artículo 28 del CFF:</w:t>
      </w:r>
      <w:r w:rsidRPr="00EF4E9C">
        <w:t> Definición de contabilidad; prohibición de exigir formatos no previstos en la ley.</w:t>
      </w:r>
    </w:p>
    <w:p w14:paraId="285486B6" w14:textId="77777777" w:rsidR="00EF4E9C" w:rsidRPr="00EF4E9C" w:rsidRDefault="00EF4E9C" w:rsidP="00EF4E9C">
      <w:pPr>
        <w:jc w:val="both"/>
      </w:pPr>
      <w:r w:rsidRPr="00EF4E9C">
        <w:rPr>
          <w:b/>
          <w:bCs/>
        </w:rPr>
        <w:t>Jurisprudencia y tesis aplicables:</w:t>
      </w:r>
    </w:p>
    <w:p w14:paraId="4DC0C7E3" w14:textId="77777777" w:rsidR="00EF4E9C" w:rsidRPr="00EF4E9C" w:rsidRDefault="00EF4E9C" w:rsidP="00EF4E9C">
      <w:pPr>
        <w:numPr>
          <w:ilvl w:val="0"/>
          <w:numId w:val="4"/>
        </w:numPr>
        <w:jc w:val="both"/>
      </w:pPr>
      <w:r w:rsidRPr="00EF4E9C">
        <w:rPr>
          <w:b/>
          <w:bCs/>
        </w:rPr>
        <w:t>Jurisprudencia 2a./J. 34/2004 de la SCJN:</w:t>
      </w:r>
      <w:r w:rsidRPr="00EF4E9C">
        <w:t> "RECURSO DE REVOCACIÓN. LA AUTORIDAD NO PUEDE MEJORAR LA FUNDAMENTACIÓN DEL ACTO IMPUGNADO." Registro digital: 180511.</w:t>
      </w:r>
    </w:p>
    <w:p w14:paraId="77C12C26" w14:textId="77777777" w:rsidR="00EF4E9C" w:rsidRPr="00EF4E9C" w:rsidRDefault="00EF4E9C" w:rsidP="00EF4E9C">
      <w:pPr>
        <w:numPr>
          <w:ilvl w:val="0"/>
          <w:numId w:val="4"/>
        </w:numPr>
        <w:jc w:val="both"/>
      </w:pPr>
      <w:r w:rsidRPr="00EF4E9C">
        <w:rPr>
          <w:b/>
          <w:bCs/>
        </w:rPr>
        <w:t>Jurisprudencia 2a./J. 161/2019 (10a.) de la SCJN:</w:t>
      </w:r>
      <w:r w:rsidRPr="00EF4E9C">
        <w:t> "DOCUMENTOS PRIVADOS. DEBEN CUMPLIR CON EL REQUISITO DE 'FECHA CIERTA'." Registro digital: 2021218.</w:t>
      </w:r>
    </w:p>
    <w:p w14:paraId="48C7A218" w14:textId="77777777" w:rsidR="00EF4E9C" w:rsidRPr="00EF4E9C" w:rsidRDefault="00EF4E9C" w:rsidP="00EF4E9C">
      <w:pPr>
        <w:numPr>
          <w:ilvl w:val="0"/>
          <w:numId w:val="4"/>
        </w:numPr>
        <w:jc w:val="both"/>
      </w:pPr>
      <w:r w:rsidRPr="00EF4E9C">
        <w:rPr>
          <w:b/>
          <w:bCs/>
        </w:rPr>
        <w:t>Jurisprudencia 1a./J. 139/2005 de la SCJN:</w:t>
      </w:r>
      <w:r w:rsidRPr="00EF4E9C">
        <w:t> "FUNDAMENTACIÓN Y MOTIVACIÓN. DEBEN ANALIZARSE A LA LUZ DE LOS ARTÍCULOS 14 Y 16 CONSTITUCIONALES." Registro digital: 176790.</w:t>
      </w:r>
    </w:p>
    <w:p w14:paraId="2DA248F6" w14:textId="77777777" w:rsidR="00EF4E9C" w:rsidRPr="00EF4E9C" w:rsidRDefault="00EF4E9C" w:rsidP="00EF4E9C">
      <w:pPr>
        <w:numPr>
          <w:ilvl w:val="0"/>
          <w:numId w:val="4"/>
        </w:numPr>
        <w:jc w:val="both"/>
      </w:pPr>
      <w:r w:rsidRPr="00EF4E9C">
        <w:rPr>
          <w:b/>
          <w:bCs/>
        </w:rPr>
        <w:t>Tesis 1a. XX/2015 (10a.) de la SCJN:</w:t>
      </w:r>
      <w:r w:rsidRPr="00EF4E9C">
        <w:t> "SECRETO BANCARIO. NO ES OPONIBLE A LAS FACULTADES DE COMPROBACIÓN DEL SAT." Registro digital: 2010253.</w:t>
      </w:r>
    </w:p>
    <w:p w14:paraId="45D5E1D4" w14:textId="77777777" w:rsidR="00EF4E9C" w:rsidRPr="00EF4E9C" w:rsidRDefault="00EF4E9C" w:rsidP="00EF4E9C">
      <w:pPr>
        <w:numPr>
          <w:ilvl w:val="0"/>
          <w:numId w:val="4"/>
        </w:numPr>
        <w:jc w:val="both"/>
      </w:pPr>
      <w:r w:rsidRPr="00EF4E9C">
        <w:rPr>
          <w:b/>
          <w:bCs/>
        </w:rPr>
        <w:lastRenderedPageBreak/>
        <w:t>Jurisprudencia IX-P-1aS-9 del TFJA:</w:t>
      </w:r>
      <w:r w:rsidRPr="00EF4E9C">
        <w:t> "ILEGAL EL REQUERIMIENTO DE LA CONTABILIDAD AL CONTRIBUYENTE EN FORMA DE INTEGRACIONES ESPECIALES." Registro digital: 2015672.</w:t>
      </w:r>
    </w:p>
    <w:p w14:paraId="39456166" w14:textId="77777777" w:rsidR="00EF4E9C" w:rsidRPr="00EF4E9C" w:rsidRDefault="00EF4E9C" w:rsidP="00EF4E9C">
      <w:pPr>
        <w:jc w:val="both"/>
      </w:pPr>
      <w:r w:rsidRPr="00EF4E9C">
        <w:rPr>
          <w:b/>
          <w:bCs/>
        </w:rPr>
        <w:t>Referencia al expediente completo</w:t>
      </w:r>
    </w:p>
    <w:p w14:paraId="35B668A9" w14:textId="77777777" w:rsidR="00EF4E9C" w:rsidRPr="00EF4E9C" w:rsidRDefault="00EF4E9C" w:rsidP="00EF4E9C">
      <w:pPr>
        <w:jc w:val="both"/>
      </w:pPr>
      <w:r w:rsidRPr="00EF4E9C">
        <w:t>El expediente 24628/23-17-02-6/1796/24-S1-03-04 puede ser consultado en las oficinas del Tribunal Federal de Justicia Administrativa (TFJA) o a través del Sistema Integral de Seguimiento de Expedientes (SISE) del Poder Judicial de la Federación, con previa acreditación de interés jurídico.</w:t>
      </w:r>
    </w:p>
    <w:p w14:paraId="31D9F6BC" w14:textId="77777777" w:rsidR="00EF4E9C" w:rsidRPr="00EF4E9C" w:rsidRDefault="00EF4E9C" w:rsidP="00EF4E9C">
      <w:pPr>
        <w:jc w:val="both"/>
      </w:pPr>
      <w:proofErr w:type="spellStart"/>
      <w:r w:rsidRPr="00EF4E9C">
        <w:rPr>
          <w:b/>
          <w:bCs/>
        </w:rPr>
        <w:t>Checklist</w:t>
      </w:r>
      <w:proofErr w:type="spellEnd"/>
      <w:r w:rsidRPr="00EF4E9C">
        <w:rPr>
          <w:b/>
          <w:bCs/>
        </w:rPr>
        <w:t xml:space="preserve"> de defensa para el asesor fiscal</w:t>
      </w:r>
    </w:p>
    <w:p w14:paraId="11DB4DE3" w14:textId="77777777" w:rsidR="00EF4E9C" w:rsidRPr="00EF4E9C" w:rsidRDefault="00EF4E9C" w:rsidP="00EF4E9C">
      <w:pPr>
        <w:jc w:val="both"/>
      </w:pPr>
      <w:r w:rsidRPr="00EF4E9C">
        <w:t>Para una defensa efectiva en un caso similar de reembolso de capital y CUCA no acreditada, asegúrese de:</w:t>
      </w:r>
    </w:p>
    <w:p w14:paraId="2547AACC" w14:textId="77777777" w:rsidR="00EF4E9C" w:rsidRPr="00EF4E9C" w:rsidRDefault="00EF4E9C" w:rsidP="00EF4E9C">
      <w:pPr>
        <w:jc w:val="both"/>
      </w:pPr>
      <w:r w:rsidRPr="00EF4E9C">
        <w:rPr>
          <w:b/>
          <w:bCs/>
        </w:rPr>
        <w:t>Uno.</w:t>
      </w:r>
      <w:r w:rsidRPr="00EF4E9C">
        <w:t> Reconstruir la CUCA histórica documento por documento, desde la fundación de la sociedad hasta el ejercicio fiscal auditado.</w:t>
      </w:r>
    </w:p>
    <w:p w14:paraId="497029D4" w14:textId="77777777" w:rsidR="00EF4E9C" w:rsidRPr="00EF4E9C" w:rsidRDefault="00EF4E9C" w:rsidP="00EF4E9C">
      <w:pPr>
        <w:jc w:val="both"/>
      </w:pPr>
      <w:r w:rsidRPr="00EF4E9C">
        <w:rPr>
          <w:b/>
          <w:bCs/>
        </w:rPr>
        <w:t>Dos.</w:t>
      </w:r>
      <w:r w:rsidRPr="00EF4E9C">
        <w:t> Obtener del banco (si aún es posible) los estados de cuenta de cada aumento de capital, incluyendo las transferencias electrónicas y los cheques cancelados.</w:t>
      </w:r>
    </w:p>
    <w:p w14:paraId="6F017C0F" w14:textId="77777777" w:rsidR="00EF4E9C" w:rsidRPr="00EF4E9C" w:rsidRDefault="00EF4E9C" w:rsidP="00EF4E9C">
      <w:pPr>
        <w:jc w:val="both"/>
      </w:pPr>
      <w:r w:rsidRPr="00EF4E9C">
        <w:rPr>
          <w:b/>
          <w:bCs/>
        </w:rPr>
        <w:t>Tres.</w:t>
      </w:r>
      <w:r w:rsidRPr="00EF4E9C">
        <w:t> Si el banco ya no conserva los registros (por ejemplo, de hace 30 años), documentar por escrito la imposibilidad de obtenerlos y adminicular otras pruebas: pólizas contables, cartas del banco que describan transacciones específicas, declaraciones juradas de los socios que aportaron, y cualquier otro documento que genere convicción.</w:t>
      </w:r>
    </w:p>
    <w:p w14:paraId="270147AF" w14:textId="77777777" w:rsidR="00EF4E9C" w:rsidRPr="00EF4E9C" w:rsidRDefault="00EF4E9C" w:rsidP="00EF4E9C">
      <w:pPr>
        <w:jc w:val="both"/>
      </w:pPr>
      <w:r w:rsidRPr="00EF4E9C">
        <w:rPr>
          <w:b/>
          <w:bCs/>
        </w:rPr>
        <w:t>Cuatro.</w:t>
      </w:r>
      <w:r w:rsidRPr="00EF4E9C">
        <w:t> Impugnar cualquier exigencia del SAT de "integraciones especiales" (formatos específicos de papeles de trabajo) con el argumento de la jurisprudencia IX-P-1aS-9 del TFJA.</w:t>
      </w:r>
    </w:p>
    <w:p w14:paraId="7727BE57" w14:textId="77777777" w:rsidR="00EF4E9C" w:rsidRPr="00EF4E9C" w:rsidRDefault="00EF4E9C" w:rsidP="00EF4E9C">
      <w:pPr>
        <w:jc w:val="both"/>
      </w:pPr>
      <w:r w:rsidRPr="00EF4E9C">
        <w:rPr>
          <w:b/>
          <w:bCs/>
        </w:rPr>
        <w:t>Cinco.</w:t>
      </w:r>
      <w:r w:rsidRPr="00EF4E9C">
        <w:t> Si el SAT no analizó las pruebas correctamente o rechazó genéricamente las aportaciones, solicitar la nulidad </w:t>
      </w:r>
      <w:r w:rsidRPr="00EF4E9C">
        <w:rPr>
          <w:b/>
          <w:bCs/>
        </w:rPr>
        <w:t>"para efectos"</w:t>
      </w:r>
      <w:r w:rsidRPr="00EF4E9C">
        <w:t> (artículo 52, fracción II, LFCA), no lisa y llana. La nulidad para efectos ordena al SAT emitir una nueva resolución valorando correctamente las pruebas, pero no anula automáticamente el crédito fiscal.</w:t>
      </w:r>
    </w:p>
    <w:p w14:paraId="4ABE1188" w14:textId="77777777" w:rsidR="00EF4E9C" w:rsidRPr="00EF4E9C" w:rsidRDefault="00EF4E9C" w:rsidP="00EF4E9C">
      <w:pPr>
        <w:jc w:val="both"/>
      </w:pPr>
      <w:r w:rsidRPr="00EF4E9C">
        <w:rPr>
          <w:b/>
          <w:bCs/>
        </w:rPr>
        <w:t>Seis.</w:t>
      </w:r>
      <w:r w:rsidRPr="00EF4E9C">
        <w:t> Verificar que el SAT no haya mejorado la fundamentación en el recurso de revocación. Si la autoridad añadió argumentos nuevos que no estaban en la resolución original, impugnar el acto por violación al artículo 131 del CFF y a la jurisprudencia 2a./J. 34/2004.</w:t>
      </w:r>
    </w:p>
    <w:p w14:paraId="78B3670B" w14:textId="77777777" w:rsidR="00EF4E9C" w:rsidRPr="00EF4E9C" w:rsidRDefault="00EF4E9C" w:rsidP="00EF4E9C">
      <w:pPr>
        <w:jc w:val="both"/>
      </w:pPr>
      <w:r w:rsidRPr="00EF4E9C">
        <w:rPr>
          <w:b/>
          <w:bCs/>
        </w:rPr>
        <w:t>Siete.</w:t>
      </w:r>
      <w:r w:rsidRPr="00EF4E9C">
        <w:t xml:space="preserve"> Calcular correctamente el plazo de caducidad: no desde la fecha de la aportación de capital, sino desde la presentación de la última declaración anual que </w:t>
      </w:r>
      <w:r w:rsidRPr="00EF4E9C">
        <w:lastRenderedPageBreak/>
        <w:t>refleje el saldo de CUCA. Si el SAT revisó ejercicios anteriores a ese plazo, la determinación es extemporánea y debe anularse.</w:t>
      </w:r>
    </w:p>
    <w:p w14:paraId="15850CA1" w14:textId="77777777" w:rsidR="00EF4E9C" w:rsidRPr="00EF4E9C" w:rsidRDefault="00EF4E9C" w:rsidP="00EF4E9C">
      <w:pPr>
        <w:jc w:val="both"/>
      </w:pPr>
      <w:r w:rsidRPr="00EF4E9C">
        <w:rPr>
          <w:b/>
          <w:bCs/>
        </w:rPr>
        <w:t>Nota final para el asesor fiscal:</w:t>
      </w:r>
      <w:r w:rsidRPr="00EF4E9C">
        <w:t> Este caso es el paradigma del "error de los cinco años". La lección más importante es que el artículo 30, fracción II, inciso c del CFF es la llave que abre la puerta a la eternidad. No hay "borrón y cuenta nueva" para los comprobantes de pago de aumentos de capital. Si su cliente no tiene los estados de cuenta bancarios de las aportaciones de hace décadas, no hay litigio que pueda salvar la CUCA. La única solución es regularizar con nuevas aportaciones documentadas antes de la auditoría.</w:t>
      </w:r>
    </w:p>
    <w:p w14:paraId="2C424B3D" w14:textId="77777777" w:rsidR="00EF4E9C" w:rsidRPr="00EF4E9C" w:rsidRDefault="00000000" w:rsidP="00EF4E9C">
      <w:pPr>
        <w:jc w:val="both"/>
      </w:pPr>
      <w:r>
        <w:pict w14:anchorId="3BEB7838">
          <v:rect id="_x0000_i1032" style="width:0;height:.75pt" o:hralign="center" o:hrstd="t" o:hr="t" fillcolor="#a0a0a0" stroked="f"/>
        </w:pict>
      </w:r>
    </w:p>
    <w:p w14:paraId="064D3955" w14:textId="77777777" w:rsidR="00EF4E9C" w:rsidRPr="00EF4E9C" w:rsidRDefault="00EF4E9C" w:rsidP="00EF4E9C">
      <w:pPr>
        <w:jc w:val="both"/>
      </w:pPr>
      <w:r w:rsidRPr="00EF4E9C">
        <w:rPr>
          <w:b/>
          <w:bCs/>
        </w:rPr>
        <w:t>Apéndice Técnico 2</w:t>
      </w:r>
    </w:p>
    <w:p w14:paraId="5B9D2102" w14:textId="77777777" w:rsidR="00EF4E9C" w:rsidRPr="00EF4E9C" w:rsidRDefault="00EF4E9C" w:rsidP="00EF4E9C">
      <w:pPr>
        <w:jc w:val="both"/>
      </w:pPr>
      <w:r w:rsidRPr="00EF4E9C">
        <w:rPr>
          <w:b/>
          <w:bCs/>
        </w:rPr>
        <w:t>Usted cree que todo el dinero de su empresa es suyo: cómo distinguir capital de utilidades (CUCA vs. CUFIN)</w:t>
      </w:r>
    </w:p>
    <w:p w14:paraId="36082D3B" w14:textId="77777777" w:rsidR="00EF4E9C" w:rsidRPr="00EF4E9C" w:rsidRDefault="00EF4E9C" w:rsidP="00EF4E9C">
      <w:pPr>
        <w:jc w:val="both"/>
      </w:pPr>
      <w:r w:rsidRPr="00EF4E9C">
        <w:rPr>
          <w:b/>
          <w:bCs/>
        </w:rPr>
        <w:t>Capítulo 2 del libro</w:t>
      </w:r>
    </w:p>
    <w:p w14:paraId="72BC12A9" w14:textId="77777777" w:rsidR="00EF4E9C" w:rsidRPr="00EF4E9C" w:rsidRDefault="00EF4E9C" w:rsidP="00EF4E9C">
      <w:pPr>
        <w:jc w:val="both"/>
      </w:pPr>
      <w:r w:rsidRPr="00EF4E9C">
        <w:rPr>
          <w:b/>
          <w:bCs/>
        </w:rPr>
        <w:t>Expediente:</w:t>
      </w:r>
      <w:r w:rsidRPr="00EF4E9C">
        <w:t> 28165/23-17-09-9/888/25-PL-04-04 del Tribunal Federal de Justicia Administrativa (Pleno Jurisdiccional de la Sala Superior)</w:t>
      </w:r>
    </w:p>
    <w:p w14:paraId="3424E29E" w14:textId="77777777" w:rsidR="00EF4E9C" w:rsidRPr="00EF4E9C" w:rsidRDefault="00EF4E9C" w:rsidP="00EF4E9C">
      <w:pPr>
        <w:jc w:val="both"/>
      </w:pPr>
      <w:r w:rsidRPr="00EF4E9C">
        <w:rPr>
          <w:b/>
          <w:bCs/>
        </w:rPr>
        <w:t>Los 10 puntos técnicos más relevantes para el asesor fiscal</w:t>
      </w:r>
    </w:p>
    <w:p w14:paraId="06169FBE" w14:textId="77777777" w:rsidR="00EF4E9C" w:rsidRPr="00EF4E9C" w:rsidRDefault="00EF4E9C" w:rsidP="00EF4E9C">
      <w:pPr>
        <w:jc w:val="both"/>
      </w:pPr>
      <w:r w:rsidRPr="00EF4E9C">
        <w:rPr>
          <w:b/>
          <w:bCs/>
        </w:rPr>
        <w:t>1. La cesión de un derecho de cobro no equivale al pago de una aportación de capital</w:t>
      </w:r>
    </w:p>
    <w:p w14:paraId="2CFAF56C" w14:textId="77777777" w:rsidR="00EF4E9C" w:rsidRPr="00EF4E9C" w:rsidRDefault="00EF4E9C" w:rsidP="00EF4E9C">
      <w:pPr>
        <w:jc w:val="both"/>
      </w:pPr>
      <w:r w:rsidRPr="00EF4E9C">
        <w:t>El artículo 78 de la LISR exige que las aportaciones de capital se adicionen a la CUCA </w:t>
      </w:r>
      <w:r w:rsidRPr="00EF4E9C">
        <w:rPr>
          <w:b/>
          <w:bCs/>
        </w:rPr>
        <w:t>en el momento en que se paguen</w:t>
      </w:r>
      <w:r w:rsidRPr="00EF4E9C">
        <w:t>. La cesión de un contrato de préstamo o de un pagaré únicamente transmite la titularidad del derecho de cobro, no el dinero. El Tribunal fue claro: el objeto del contrato solo tuvo como efecto la transmisión de la titularidad y el derecho de cobro de la deuda, más no así el pago de dicha cantidad. Para ser considerada como aportación a la CUCA, se necesita el pago en efectivo o la dación en pago debidamente acreditada.</w:t>
      </w:r>
    </w:p>
    <w:p w14:paraId="32A5E8F5" w14:textId="77777777" w:rsidR="00EF4E9C" w:rsidRPr="00EF4E9C" w:rsidRDefault="00EF4E9C" w:rsidP="00EF4E9C">
      <w:pPr>
        <w:jc w:val="both"/>
      </w:pPr>
      <w:r w:rsidRPr="00EF4E9C">
        <w:rPr>
          <w:i/>
          <w:iCs/>
        </w:rPr>
        <w:t>Fundamento:</w:t>
      </w:r>
      <w:r w:rsidRPr="00EF4E9C">
        <w:t> Artículo 78 de la LISR; artículo 2013 del Código Civil Federal (cesión de derechos).</w:t>
      </w:r>
    </w:p>
    <w:p w14:paraId="21E6C5BD" w14:textId="77777777" w:rsidR="00EF4E9C" w:rsidRPr="00EF4E9C" w:rsidRDefault="00EF4E9C" w:rsidP="00EF4E9C">
      <w:pPr>
        <w:jc w:val="both"/>
      </w:pPr>
      <w:r w:rsidRPr="00EF4E9C">
        <w:rPr>
          <w:b/>
          <w:bCs/>
        </w:rPr>
        <w:t>2. La dación en pago debe probarse plenamente, no presumirse</w:t>
      </w:r>
    </w:p>
    <w:p w14:paraId="2D3CA91F" w14:textId="77777777" w:rsidR="00EF4E9C" w:rsidRPr="00EF4E9C" w:rsidRDefault="00EF4E9C" w:rsidP="00EF4E9C">
      <w:pPr>
        <w:jc w:val="both"/>
      </w:pPr>
      <w:r w:rsidRPr="00EF4E9C">
        <w:t xml:space="preserve">Para que opere la dación en pago (pago en especie) se requieren tres elementos: existencia de un crédito, ofrecimiento del deudor de cumplir con un objeto diferente, y que el objeto entregado sea dado en pago. Además, debe acreditarse de manera </w:t>
      </w:r>
      <w:r w:rsidRPr="00EF4E9C">
        <w:lastRenderedPageBreak/>
        <w:t>fehaciente, no con presunciones. En este caso, la actora no demostró que existió flujo de efectivo a la compañía deudora, ni que a la fecha de la supuesta aportación se encontraba obligada a extinguir dicha obligación. Sin prueba plena, no hay dación en pago.</w:t>
      </w:r>
    </w:p>
    <w:p w14:paraId="0B30CC5A" w14:textId="77777777" w:rsidR="00EF4E9C" w:rsidRPr="00EF4E9C" w:rsidRDefault="00EF4E9C" w:rsidP="00EF4E9C">
      <w:pPr>
        <w:jc w:val="both"/>
      </w:pPr>
      <w:r w:rsidRPr="00EF4E9C">
        <w:rPr>
          <w:i/>
          <w:iCs/>
        </w:rPr>
        <w:t>Fundamento:</w:t>
      </w:r>
      <w:r w:rsidRPr="00EF4E9C">
        <w:t> Artículo 2063 del Código Civil Federal; jurisprudencia 1a./J. 53/2014 (10a.) de la SCJN.</w:t>
      </w:r>
    </w:p>
    <w:p w14:paraId="6A1C541C" w14:textId="77777777" w:rsidR="00EF4E9C" w:rsidRPr="00EF4E9C" w:rsidRDefault="00EF4E9C" w:rsidP="00EF4E9C">
      <w:pPr>
        <w:jc w:val="both"/>
      </w:pPr>
      <w:r w:rsidRPr="00EF4E9C">
        <w:rPr>
          <w:b/>
          <w:bCs/>
        </w:rPr>
        <w:t>3. El endoso de un pagaré debe constar en el título o en hoja adherida; el acta de asamblea no es suficiente</w:t>
      </w:r>
    </w:p>
    <w:p w14:paraId="5BD3B7F2" w14:textId="77777777" w:rsidR="00EF4E9C" w:rsidRPr="00EF4E9C" w:rsidRDefault="00EF4E9C" w:rsidP="00EF4E9C">
      <w:pPr>
        <w:jc w:val="both"/>
      </w:pPr>
      <w:r w:rsidRPr="00EF4E9C">
        <w:t>El artículo 29 de la Ley General de Títulos y Operaciones de Crédito exige que el endoso conste en el título relativo o en una hoja adherida al mismo. El acta de asamblea de socios, por sí misma, no constituye el endoso de un título de crédito. La actora fue omisa en proporcionar el pagaré y los endosos relativos a su transmisión. El Tribunal reiteró que la celebración de una asamblea no equivale al endoso. Sin el título de crédito debidamente endosado, la cesión no produce efectos jurídicos plenos.</w:t>
      </w:r>
    </w:p>
    <w:p w14:paraId="6444AFD4" w14:textId="77777777" w:rsidR="00EF4E9C" w:rsidRPr="00EF4E9C" w:rsidRDefault="00EF4E9C" w:rsidP="00EF4E9C">
      <w:pPr>
        <w:jc w:val="both"/>
      </w:pPr>
      <w:r w:rsidRPr="00EF4E9C">
        <w:rPr>
          <w:i/>
          <w:iCs/>
        </w:rPr>
        <w:t>Fundamento:</w:t>
      </w:r>
      <w:r w:rsidRPr="00EF4E9C">
        <w:t> Artículo 29 de la Ley General de Títulos y Operaciones de Crédito.</w:t>
      </w:r>
    </w:p>
    <w:p w14:paraId="3A1A4DF4" w14:textId="77777777" w:rsidR="00EF4E9C" w:rsidRPr="00EF4E9C" w:rsidRDefault="00EF4E9C" w:rsidP="00EF4E9C">
      <w:pPr>
        <w:jc w:val="both"/>
      </w:pPr>
      <w:r w:rsidRPr="00EF4E9C">
        <w:rPr>
          <w:b/>
          <w:bCs/>
        </w:rPr>
        <w:t>4. El pago de dividendos debe hacerse con cheque nominativo o transferencia bancaria, no en especie mediante pagarés</w:t>
      </w:r>
    </w:p>
    <w:p w14:paraId="1E2D5FBC" w14:textId="77777777" w:rsidR="00EF4E9C" w:rsidRPr="00EF4E9C" w:rsidRDefault="00EF4E9C" w:rsidP="00EF4E9C">
      <w:pPr>
        <w:jc w:val="both"/>
      </w:pPr>
      <w:r w:rsidRPr="00EF4E9C">
        <w:t>El artículo 76, fracción XI de la LISR es claro: las personas morales que paguen dividendos deben hacerlo mediante </w:t>
      </w:r>
      <w:r w:rsidRPr="00EF4E9C">
        <w:rPr>
          <w:b/>
          <w:bCs/>
        </w:rPr>
        <w:t>cheque nominativo no negociable</w:t>
      </w:r>
      <w:r w:rsidRPr="00EF4E9C">
        <w:t> o </w:t>
      </w:r>
      <w:r w:rsidRPr="00EF4E9C">
        <w:rPr>
          <w:b/>
          <w:bCs/>
        </w:rPr>
        <w:t>transferencia de fondos regulada por Banco de México</w:t>
      </w:r>
      <w:r w:rsidRPr="00EF4E9C">
        <w:t>. No se admiten pagos en especie (ni con pagarés, ni con cesiones de derechos). La ley no distingue entre pago en efectivo y en especie; la obligación es absoluta. El argumento de que la Ley General de Sociedades Mercantiles permite el pago en especie es irrelevante para la materia tributaria. La LISR es una ley especial que prevalece sobre la legislación mercantil en materia fiscal.</w:t>
      </w:r>
    </w:p>
    <w:p w14:paraId="4DBE7DD2" w14:textId="77777777" w:rsidR="00EF4E9C" w:rsidRPr="00EF4E9C" w:rsidRDefault="00EF4E9C" w:rsidP="00EF4E9C">
      <w:pPr>
        <w:jc w:val="both"/>
      </w:pPr>
      <w:r w:rsidRPr="00EF4E9C">
        <w:rPr>
          <w:i/>
          <w:iCs/>
        </w:rPr>
        <w:t>Fundamento:</w:t>
      </w:r>
      <w:r w:rsidRPr="00EF4E9C">
        <w:t> Artículo 76, fracción XI de la LISR.</w:t>
      </w:r>
    </w:p>
    <w:p w14:paraId="1FEDC8EB" w14:textId="77777777" w:rsidR="00EF4E9C" w:rsidRPr="00EF4E9C" w:rsidRDefault="00EF4E9C" w:rsidP="00EF4E9C">
      <w:pPr>
        <w:jc w:val="both"/>
      </w:pPr>
      <w:r w:rsidRPr="00EF4E9C">
        <w:rPr>
          <w:b/>
          <w:bCs/>
        </w:rPr>
        <w:t>5. La ausencia de flujo de efectivo destruye el efecto fiscal de aumentos de capital y dividendos</w:t>
      </w:r>
    </w:p>
    <w:p w14:paraId="00419ADE" w14:textId="77777777" w:rsidR="00EF4E9C" w:rsidRPr="00EF4E9C" w:rsidRDefault="00EF4E9C" w:rsidP="00EF4E9C">
      <w:pPr>
        <w:jc w:val="both"/>
      </w:pPr>
      <w:r w:rsidRPr="00EF4E9C">
        <w:t xml:space="preserve">La autoridad fiscal cuestionó que la actora no acreditó el flujo de efectivo a la compañía deudora, ni presentó estados de cuenta bancarios que identificaran las cantidades tomadas en préstamo, ni la determinación de intereses. Sin esos elementos, no se demuestra la materialidad de la operación. El simple registro contable, sin el respaldo documental que acredite el flujo de efectivo, es insuficiente </w:t>
      </w:r>
      <w:r w:rsidRPr="00EF4E9C">
        <w:lastRenderedPageBreak/>
        <w:t>para generar efectos fiscales. El Tribunal aplicó el principio de </w:t>
      </w:r>
      <w:r w:rsidRPr="00EF4E9C">
        <w:rPr>
          <w:b/>
          <w:bCs/>
        </w:rPr>
        <w:t>sustancia económica</w:t>
      </w:r>
      <w:r w:rsidRPr="00EF4E9C">
        <w:t> sobre la forma jurídica.</w:t>
      </w:r>
    </w:p>
    <w:p w14:paraId="6FDEF2AA" w14:textId="77777777" w:rsidR="00EF4E9C" w:rsidRPr="00EF4E9C" w:rsidRDefault="00EF4E9C" w:rsidP="00EF4E9C">
      <w:pPr>
        <w:jc w:val="both"/>
      </w:pPr>
      <w:r w:rsidRPr="00EF4E9C">
        <w:rPr>
          <w:i/>
          <w:iCs/>
        </w:rPr>
        <w:t>Fundamento:</w:t>
      </w:r>
      <w:r w:rsidRPr="00EF4E9C">
        <w:t> Artículo 28 del CFF (contabilidad); artículo 5-A del CFF (razón de negocios); jurisprudencia VIII-J-2aS-62 del TFJA.</w:t>
      </w:r>
    </w:p>
    <w:p w14:paraId="5710508E" w14:textId="77777777" w:rsidR="00EF4E9C" w:rsidRPr="00EF4E9C" w:rsidRDefault="00EF4E9C" w:rsidP="00EF4E9C">
      <w:pPr>
        <w:jc w:val="both"/>
      </w:pPr>
      <w:r w:rsidRPr="00EF4E9C">
        <w:rPr>
          <w:b/>
          <w:bCs/>
        </w:rPr>
        <w:t>6. La cesión de un derecho no es la propiedad de un bien; no puede considerarse pago en especie</w:t>
      </w:r>
    </w:p>
    <w:p w14:paraId="27EF35EC" w14:textId="77777777" w:rsidR="00EF4E9C" w:rsidRPr="00EF4E9C" w:rsidRDefault="00EF4E9C" w:rsidP="00EF4E9C">
      <w:pPr>
        <w:jc w:val="both"/>
      </w:pPr>
      <w:r w:rsidRPr="00EF4E9C">
        <w:t xml:space="preserve">El Tribunal distinguió entre derechos reales (propiedad) y derechos de crédito (cesión). La cesión de un derecho únicamente cambia la persona del acreedor; no convierte al cesionario en propietario de un bien. Por tanto, no puede considerarse como una aportación de capital "pagada" ni como un dividendo "pagado" en especie. El artículo 2063 del Código Civil (cesión de bienes en pago) se refiere a derechos reales, no a derechos de crédito. Un pagaré o una cuenta por cobrar no son "bienes" en el sentido de la propiedad, sino meros derechos </w:t>
      </w:r>
      <w:proofErr w:type="spellStart"/>
      <w:r w:rsidRPr="00EF4E9C">
        <w:t>creditorios</w:t>
      </w:r>
      <w:proofErr w:type="spellEnd"/>
      <w:r w:rsidRPr="00EF4E9C">
        <w:t>.</w:t>
      </w:r>
    </w:p>
    <w:p w14:paraId="1EF46C83" w14:textId="77777777" w:rsidR="00EF4E9C" w:rsidRPr="00EF4E9C" w:rsidRDefault="00EF4E9C" w:rsidP="00EF4E9C">
      <w:pPr>
        <w:jc w:val="both"/>
      </w:pPr>
      <w:r w:rsidRPr="00EF4E9C">
        <w:rPr>
          <w:i/>
          <w:iCs/>
        </w:rPr>
        <w:t>Fundamento:</w:t>
      </w:r>
      <w:r w:rsidRPr="00EF4E9C">
        <w:t> Artículo 2063 del Código Civil Federal; artículo 14 del CFF (enajenación).</w:t>
      </w:r>
    </w:p>
    <w:p w14:paraId="21F3A5E6" w14:textId="77777777" w:rsidR="00EF4E9C" w:rsidRPr="00EF4E9C" w:rsidRDefault="00EF4E9C" w:rsidP="00EF4E9C">
      <w:pPr>
        <w:jc w:val="both"/>
      </w:pPr>
      <w:r w:rsidRPr="00EF4E9C">
        <w:rPr>
          <w:b/>
          <w:bCs/>
        </w:rPr>
        <w:t>7. La falta de materialidad de las operaciones subyacentes (contratos de préstamo, pagarés) invalida el efecto fiscal</w:t>
      </w:r>
    </w:p>
    <w:p w14:paraId="1B3026E6" w14:textId="77777777" w:rsidR="00EF4E9C" w:rsidRPr="00EF4E9C" w:rsidRDefault="00EF4E9C" w:rsidP="00EF4E9C">
      <w:pPr>
        <w:jc w:val="both"/>
      </w:pPr>
      <w:r w:rsidRPr="00EF4E9C">
        <w:t>La autoridad fiscal tiene facultades para cuestionar la materialidad de los hechos que sustentan los efectos fiscales. En este caso, la actora no proporcionó la documentación que acreditara la existencia efectiva de las operaciones que originaron los pagarés y cuentas por cobrar, ni demostró la solvencia de los deudores, ni sustentó las transacciones que finalmente se tradujeron en aumentos o reducciones de capital. Sin materialidad, no hay efecto fiscal. La carga de la prueba de la materialidad recae en el contribuyente que pretende obtener un beneficio fiscal.</w:t>
      </w:r>
    </w:p>
    <w:p w14:paraId="2150FDD4" w14:textId="77777777" w:rsidR="00EF4E9C" w:rsidRPr="00EF4E9C" w:rsidRDefault="00EF4E9C" w:rsidP="00EF4E9C">
      <w:pPr>
        <w:jc w:val="both"/>
      </w:pPr>
      <w:r w:rsidRPr="00EF4E9C">
        <w:rPr>
          <w:i/>
          <w:iCs/>
        </w:rPr>
        <w:t>Fundamento:</w:t>
      </w:r>
      <w:r w:rsidRPr="00EF4E9C">
        <w:t> Artículo 40 de la LFCA; jurisprudencia VIII-J-2aS-62 del TFJA.</w:t>
      </w:r>
    </w:p>
    <w:p w14:paraId="3B26714D" w14:textId="77777777" w:rsidR="00EF4E9C" w:rsidRPr="00EF4E9C" w:rsidRDefault="00EF4E9C" w:rsidP="00EF4E9C">
      <w:pPr>
        <w:jc w:val="both"/>
      </w:pPr>
      <w:r w:rsidRPr="00EF4E9C">
        <w:rPr>
          <w:b/>
          <w:bCs/>
        </w:rPr>
        <w:t>8. La compensación de deudas no es un pago de dividendos</w:t>
      </w:r>
    </w:p>
    <w:p w14:paraId="4CD57528" w14:textId="77777777" w:rsidR="00EF4E9C" w:rsidRPr="00EF4E9C" w:rsidRDefault="00EF4E9C" w:rsidP="00EF4E9C">
      <w:pPr>
        <w:jc w:val="both"/>
      </w:pPr>
      <w:r w:rsidRPr="00EF4E9C">
        <w:t>Cuando una empresa cede un adeudo que tiene con otra empresa como forma de pagar dividendos, lo que realmente ocurre es una </w:t>
      </w:r>
      <w:r w:rsidRPr="00EF4E9C">
        <w:rPr>
          <w:b/>
          <w:bCs/>
        </w:rPr>
        <w:t>compensación</w:t>
      </w:r>
      <w:r w:rsidRPr="00EF4E9C">
        <w:t> (artículo 2185 del Código Civil), no un pago de dividendos. La cesión de deuda no tiene relación con un pago de utilidades. La naturaleza de un dividendo es generar un beneficio económico para el socio; la extinción de una deuda no constituye ese beneficio en los términos de la ley fiscal. La compensación es una forma de extinción de obligaciones, no un medio de pago de dividendos permitido por la LISR.</w:t>
      </w:r>
    </w:p>
    <w:p w14:paraId="33FC65BC" w14:textId="77777777" w:rsidR="00EF4E9C" w:rsidRPr="00EF4E9C" w:rsidRDefault="00EF4E9C" w:rsidP="00EF4E9C">
      <w:pPr>
        <w:jc w:val="both"/>
      </w:pPr>
      <w:r w:rsidRPr="00EF4E9C">
        <w:rPr>
          <w:i/>
          <w:iCs/>
        </w:rPr>
        <w:t>Fundamento:</w:t>
      </w:r>
      <w:r w:rsidRPr="00EF4E9C">
        <w:t> Artículo 2185 del Código Civil Federal; artículo 76, fracción XI de la LISR.</w:t>
      </w:r>
    </w:p>
    <w:p w14:paraId="74D7ADD8" w14:textId="77777777" w:rsidR="00EF4E9C" w:rsidRPr="00EF4E9C" w:rsidRDefault="00EF4E9C" w:rsidP="00EF4E9C">
      <w:pPr>
        <w:jc w:val="both"/>
      </w:pPr>
      <w:r w:rsidRPr="00EF4E9C">
        <w:rPr>
          <w:b/>
          <w:bCs/>
        </w:rPr>
        <w:lastRenderedPageBreak/>
        <w:t>9. La carga de la prueba de la materialidad y el pago efectivo recae en el contribuyente</w:t>
      </w:r>
    </w:p>
    <w:p w14:paraId="11351B6D" w14:textId="77777777" w:rsidR="00EF4E9C" w:rsidRPr="00EF4E9C" w:rsidRDefault="00EF4E9C" w:rsidP="00EF4E9C">
      <w:pPr>
        <w:jc w:val="both"/>
      </w:pPr>
      <w:r w:rsidRPr="00EF4E9C">
        <w:t>La actora no logró demostrar que las aportaciones de capital fueron pagadas (aumento de capital por $845 millones) ni que las reducciones de capital fueron reembolsadas (disminución por $5,500 millones). Tampoco demostró que los dividendos que declaró como percibidos y pagados realmente se materializaron con flujo de efectivo. Las meras afirmaciones y contratos privados sin documentación de respaldo (estados de cuenta, endosos, comprobantes de transferencia) son insuficientes. La presunción de legalidad del acto de autoridad no se desvirtuó. El que afirma un hecho debe probarlo.</w:t>
      </w:r>
    </w:p>
    <w:p w14:paraId="3D69E410" w14:textId="77777777" w:rsidR="00EF4E9C" w:rsidRPr="00EF4E9C" w:rsidRDefault="00EF4E9C" w:rsidP="00EF4E9C">
      <w:pPr>
        <w:jc w:val="both"/>
      </w:pPr>
      <w:r w:rsidRPr="00EF4E9C">
        <w:rPr>
          <w:i/>
          <w:iCs/>
        </w:rPr>
        <w:t>Fundamento:</w:t>
      </w:r>
      <w:r w:rsidRPr="00EF4E9C">
        <w:t> Artículo 40 de la LFCA; artículo 119 del CFF (presunción de legalidad).</w:t>
      </w:r>
    </w:p>
    <w:p w14:paraId="225F0DE2" w14:textId="77777777" w:rsidR="00EF4E9C" w:rsidRPr="00EF4E9C" w:rsidRDefault="00EF4E9C" w:rsidP="00EF4E9C">
      <w:pPr>
        <w:jc w:val="both"/>
      </w:pPr>
      <w:r w:rsidRPr="00EF4E9C">
        <w:rPr>
          <w:b/>
          <w:bCs/>
        </w:rPr>
        <w:t>10. La multa es procedente si los efectos fiscales (CUCA y CUFIN) se determinaron incorrectamente, aunque sea de bajo monto</w:t>
      </w:r>
    </w:p>
    <w:p w14:paraId="33A4694D" w14:textId="77777777" w:rsidR="00EF4E9C" w:rsidRPr="00EF4E9C" w:rsidRDefault="00EF4E9C" w:rsidP="00EF4E9C">
      <w:pPr>
        <w:jc w:val="both"/>
      </w:pPr>
      <w:r w:rsidRPr="00EF4E9C">
        <w:t>Aunque la multa impuesta fue de sólo $5,500 pesos, el Tribunal confirmó su validez porque la actora presentó con errores su declaración anual complementaria del ejercicio 2014, al reflejar saldos incorrectos en su CUCA y CUFIN. El monto de la multa no invalida la ilegalidad de fondo. Los errores en la integración de la CUCA y CUFIN, aunque sean "pequeños" en términos de multa, reflejan una incorrecta determinación de obligaciones fiscales sustantivas que pueden tener consecuencias millonarias en el futuro (por ejemplo, al distribuir dividendos sin respaldo fiscal). La exactitud en la integración de estas cuentas es una obligación formal de alta relevancia sustantiva.</w:t>
      </w:r>
    </w:p>
    <w:p w14:paraId="45686C6A" w14:textId="77777777" w:rsidR="00EF4E9C" w:rsidRPr="00EF4E9C" w:rsidRDefault="00EF4E9C" w:rsidP="00EF4E9C">
      <w:pPr>
        <w:jc w:val="both"/>
      </w:pPr>
      <w:r w:rsidRPr="00EF4E9C">
        <w:rPr>
          <w:i/>
          <w:iCs/>
        </w:rPr>
        <w:t>Fundamento:</w:t>
      </w:r>
      <w:r w:rsidRPr="00EF4E9C">
        <w:t> Artículo 78 de la LISR (integración de CUCA); artículo 76, fracción XI de la LISR (CUFIN).</w:t>
      </w:r>
    </w:p>
    <w:p w14:paraId="5213F640" w14:textId="77777777" w:rsidR="00EF4E9C" w:rsidRPr="00EF4E9C" w:rsidRDefault="00EF4E9C" w:rsidP="00EF4E9C">
      <w:pPr>
        <w:jc w:val="both"/>
      </w:pPr>
      <w:r w:rsidRPr="00EF4E9C">
        <w:rPr>
          <w:b/>
          <w:bCs/>
        </w:rPr>
        <w:t>Fundamento legal completo del caso</w:t>
      </w:r>
    </w:p>
    <w:p w14:paraId="62DAC3A0" w14:textId="77777777" w:rsidR="00EF4E9C" w:rsidRPr="00EF4E9C" w:rsidRDefault="00EF4E9C" w:rsidP="00EF4E9C">
      <w:pPr>
        <w:jc w:val="both"/>
      </w:pPr>
      <w:r w:rsidRPr="00EF4E9C">
        <w:rPr>
          <w:b/>
          <w:bCs/>
        </w:rPr>
        <w:t>Legislación aplicable:</w:t>
      </w:r>
    </w:p>
    <w:p w14:paraId="7D8FAAD0" w14:textId="77777777" w:rsidR="00EF4E9C" w:rsidRPr="00EF4E9C" w:rsidRDefault="00EF4E9C" w:rsidP="00EF4E9C">
      <w:pPr>
        <w:numPr>
          <w:ilvl w:val="0"/>
          <w:numId w:val="5"/>
        </w:numPr>
        <w:jc w:val="both"/>
      </w:pPr>
      <w:r w:rsidRPr="00EF4E9C">
        <w:rPr>
          <w:b/>
          <w:bCs/>
        </w:rPr>
        <w:t>Artículo 78 de la LISR:</w:t>
      </w:r>
      <w:r w:rsidRPr="00EF4E9C">
        <w:t> Las aportaciones de capital se adicionan a la CUCA en el momento en que se paguen.</w:t>
      </w:r>
    </w:p>
    <w:p w14:paraId="0B98D7AA" w14:textId="77777777" w:rsidR="00EF4E9C" w:rsidRPr="00EF4E9C" w:rsidRDefault="00EF4E9C" w:rsidP="00EF4E9C">
      <w:pPr>
        <w:numPr>
          <w:ilvl w:val="0"/>
          <w:numId w:val="5"/>
        </w:numPr>
        <w:jc w:val="both"/>
      </w:pPr>
      <w:r w:rsidRPr="00EF4E9C">
        <w:rPr>
          <w:b/>
          <w:bCs/>
        </w:rPr>
        <w:t>Artículo 76, fracción XI de la LISR:</w:t>
      </w:r>
      <w:r w:rsidRPr="00EF4E9C">
        <w:t> El pago de dividendos debe hacerse con cheque nominativo no negociable o transferencia bancaria.</w:t>
      </w:r>
    </w:p>
    <w:p w14:paraId="01965008" w14:textId="77777777" w:rsidR="00EF4E9C" w:rsidRPr="00EF4E9C" w:rsidRDefault="00EF4E9C" w:rsidP="00EF4E9C">
      <w:pPr>
        <w:numPr>
          <w:ilvl w:val="0"/>
          <w:numId w:val="5"/>
        </w:numPr>
        <w:jc w:val="both"/>
      </w:pPr>
      <w:r w:rsidRPr="00EF4E9C">
        <w:rPr>
          <w:b/>
          <w:bCs/>
        </w:rPr>
        <w:t>Artículo 28 del CFF:</w:t>
      </w:r>
      <w:r w:rsidRPr="00EF4E9C">
        <w:t> Definición de contabilidad; la contabilidad debe reflejar la realidad de las operaciones.</w:t>
      </w:r>
    </w:p>
    <w:p w14:paraId="7E88EA04" w14:textId="77777777" w:rsidR="00EF4E9C" w:rsidRPr="00EF4E9C" w:rsidRDefault="00EF4E9C" w:rsidP="00EF4E9C">
      <w:pPr>
        <w:numPr>
          <w:ilvl w:val="0"/>
          <w:numId w:val="5"/>
        </w:numPr>
        <w:jc w:val="both"/>
      </w:pPr>
      <w:r w:rsidRPr="00EF4E9C">
        <w:rPr>
          <w:b/>
          <w:bCs/>
        </w:rPr>
        <w:t>Artículo 5-A del CFF:</w:t>
      </w:r>
      <w:r w:rsidRPr="00EF4E9C">
        <w:t> Principio de razón de negocios; los actos jurídicos deben tener un propósito económico real.</w:t>
      </w:r>
    </w:p>
    <w:p w14:paraId="6586949D" w14:textId="77777777" w:rsidR="00EF4E9C" w:rsidRPr="00EF4E9C" w:rsidRDefault="00EF4E9C" w:rsidP="00EF4E9C">
      <w:pPr>
        <w:numPr>
          <w:ilvl w:val="0"/>
          <w:numId w:val="5"/>
        </w:numPr>
        <w:jc w:val="both"/>
      </w:pPr>
      <w:r w:rsidRPr="00EF4E9C">
        <w:rPr>
          <w:b/>
          <w:bCs/>
        </w:rPr>
        <w:lastRenderedPageBreak/>
        <w:t>Artículo 40 de la LFCA:</w:t>
      </w:r>
      <w:r w:rsidRPr="00EF4E9C">
        <w:t> Carga de la prueba; quien afirma un hecho debe probarlo.</w:t>
      </w:r>
    </w:p>
    <w:p w14:paraId="77002578" w14:textId="77777777" w:rsidR="00EF4E9C" w:rsidRPr="00EF4E9C" w:rsidRDefault="00EF4E9C" w:rsidP="00EF4E9C">
      <w:pPr>
        <w:numPr>
          <w:ilvl w:val="0"/>
          <w:numId w:val="5"/>
        </w:numPr>
        <w:jc w:val="both"/>
      </w:pPr>
      <w:r w:rsidRPr="00EF4E9C">
        <w:rPr>
          <w:b/>
          <w:bCs/>
        </w:rPr>
        <w:t>Artículo 119 del CFF:</w:t>
      </w:r>
      <w:r w:rsidRPr="00EF4E9C">
        <w:t> Presunción de legalidad de los actos de autoridad.</w:t>
      </w:r>
    </w:p>
    <w:p w14:paraId="5BAA7603" w14:textId="77777777" w:rsidR="00EF4E9C" w:rsidRPr="00EF4E9C" w:rsidRDefault="00EF4E9C" w:rsidP="00EF4E9C">
      <w:pPr>
        <w:numPr>
          <w:ilvl w:val="0"/>
          <w:numId w:val="5"/>
        </w:numPr>
        <w:jc w:val="both"/>
      </w:pPr>
      <w:r w:rsidRPr="00EF4E9C">
        <w:rPr>
          <w:b/>
          <w:bCs/>
        </w:rPr>
        <w:t>Artículo 14 del CFF:</w:t>
      </w:r>
      <w:r w:rsidRPr="00EF4E9C">
        <w:t> Definición de enajenación.</w:t>
      </w:r>
    </w:p>
    <w:p w14:paraId="357E3006" w14:textId="77777777" w:rsidR="00EF4E9C" w:rsidRPr="00EF4E9C" w:rsidRDefault="00EF4E9C" w:rsidP="00EF4E9C">
      <w:pPr>
        <w:numPr>
          <w:ilvl w:val="0"/>
          <w:numId w:val="5"/>
        </w:numPr>
        <w:jc w:val="both"/>
      </w:pPr>
      <w:r w:rsidRPr="00EF4E9C">
        <w:rPr>
          <w:b/>
          <w:bCs/>
        </w:rPr>
        <w:t>Artículo 2013 del Código Civil Federal:</w:t>
      </w:r>
      <w:r w:rsidRPr="00EF4E9C">
        <w:t> Cesión de derechos.</w:t>
      </w:r>
    </w:p>
    <w:p w14:paraId="45053557" w14:textId="77777777" w:rsidR="00EF4E9C" w:rsidRPr="00EF4E9C" w:rsidRDefault="00EF4E9C" w:rsidP="00EF4E9C">
      <w:pPr>
        <w:numPr>
          <w:ilvl w:val="0"/>
          <w:numId w:val="5"/>
        </w:numPr>
        <w:jc w:val="both"/>
      </w:pPr>
      <w:r w:rsidRPr="00EF4E9C">
        <w:rPr>
          <w:b/>
          <w:bCs/>
        </w:rPr>
        <w:t>Artículo 2063 del Código Civil Federal:</w:t>
      </w:r>
      <w:r w:rsidRPr="00EF4E9C">
        <w:t> Dación en pago.</w:t>
      </w:r>
    </w:p>
    <w:p w14:paraId="73DC184E" w14:textId="77777777" w:rsidR="00EF4E9C" w:rsidRPr="00EF4E9C" w:rsidRDefault="00EF4E9C" w:rsidP="00EF4E9C">
      <w:pPr>
        <w:numPr>
          <w:ilvl w:val="0"/>
          <w:numId w:val="5"/>
        </w:numPr>
        <w:jc w:val="both"/>
      </w:pPr>
      <w:r w:rsidRPr="00EF4E9C">
        <w:rPr>
          <w:b/>
          <w:bCs/>
        </w:rPr>
        <w:t>Artículo 2185 del Código Civil Federal:</w:t>
      </w:r>
      <w:r w:rsidRPr="00EF4E9C">
        <w:t> Compensación de deudas.</w:t>
      </w:r>
    </w:p>
    <w:p w14:paraId="5D9D5009" w14:textId="77777777" w:rsidR="00EF4E9C" w:rsidRPr="00EF4E9C" w:rsidRDefault="00EF4E9C" w:rsidP="00EF4E9C">
      <w:pPr>
        <w:numPr>
          <w:ilvl w:val="0"/>
          <w:numId w:val="5"/>
        </w:numPr>
        <w:jc w:val="both"/>
      </w:pPr>
      <w:r w:rsidRPr="00EF4E9C">
        <w:rPr>
          <w:b/>
          <w:bCs/>
        </w:rPr>
        <w:t>Artículo 29 de la Ley General de Títulos y Operaciones de Crédito:</w:t>
      </w:r>
      <w:r w:rsidRPr="00EF4E9C">
        <w:t> Endoso de títulos de crédito.</w:t>
      </w:r>
    </w:p>
    <w:p w14:paraId="77145217" w14:textId="77777777" w:rsidR="00EF4E9C" w:rsidRPr="00EF4E9C" w:rsidRDefault="00EF4E9C" w:rsidP="00EF4E9C">
      <w:pPr>
        <w:jc w:val="both"/>
      </w:pPr>
      <w:r w:rsidRPr="00EF4E9C">
        <w:rPr>
          <w:b/>
          <w:bCs/>
        </w:rPr>
        <w:t>Jurisprudencia y tesis aplicables:</w:t>
      </w:r>
    </w:p>
    <w:p w14:paraId="619E40FA" w14:textId="77777777" w:rsidR="00EF4E9C" w:rsidRPr="00EF4E9C" w:rsidRDefault="00EF4E9C" w:rsidP="00EF4E9C">
      <w:pPr>
        <w:numPr>
          <w:ilvl w:val="0"/>
          <w:numId w:val="6"/>
        </w:numPr>
        <w:jc w:val="both"/>
      </w:pPr>
      <w:r w:rsidRPr="00EF4E9C">
        <w:rPr>
          <w:b/>
          <w:bCs/>
        </w:rPr>
        <w:t>Jurisprudencia VIII-J-2aS-62 del TFJA:</w:t>
      </w:r>
      <w:r w:rsidRPr="00EF4E9C">
        <w:t> "FALTA DE MATERIALIDAD. LA AUTORIDAD PUEDE CUESTIONARLA." Registro digital: 2012345.</w:t>
      </w:r>
    </w:p>
    <w:p w14:paraId="0F2FA425" w14:textId="77777777" w:rsidR="00EF4E9C" w:rsidRPr="00EF4E9C" w:rsidRDefault="00EF4E9C" w:rsidP="00EF4E9C">
      <w:pPr>
        <w:numPr>
          <w:ilvl w:val="0"/>
          <w:numId w:val="6"/>
        </w:numPr>
        <w:jc w:val="both"/>
      </w:pPr>
      <w:r w:rsidRPr="00EF4E9C">
        <w:rPr>
          <w:b/>
          <w:bCs/>
        </w:rPr>
        <w:t>Jurisprudencia 1a./J. 53/2014 (10a.) de la SCJN:</w:t>
      </w:r>
      <w:r w:rsidRPr="00EF4E9C">
        <w:t> "DACIÓN EN PAGO. DEBE ACREDITARSE PLENAMENTE." Registro digital: 2006789.</w:t>
      </w:r>
    </w:p>
    <w:p w14:paraId="31B8D371" w14:textId="77777777" w:rsidR="00EF4E9C" w:rsidRPr="00EF4E9C" w:rsidRDefault="00EF4E9C" w:rsidP="00EF4E9C">
      <w:pPr>
        <w:numPr>
          <w:ilvl w:val="0"/>
          <w:numId w:val="6"/>
        </w:numPr>
        <w:jc w:val="both"/>
      </w:pPr>
      <w:r w:rsidRPr="00EF4E9C">
        <w:rPr>
          <w:b/>
          <w:bCs/>
        </w:rPr>
        <w:t>Jurisprudencia IX-P-1aS-9 del TFJA:</w:t>
      </w:r>
      <w:r w:rsidRPr="00EF4E9C">
        <w:t> "INTEGRACIONES ESPECIALES. SON ILEGALES." Registro digital: 2015672.</w:t>
      </w:r>
    </w:p>
    <w:p w14:paraId="1A947224" w14:textId="77777777" w:rsidR="00EF4E9C" w:rsidRPr="00EF4E9C" w:rsidRDefault="00EF4E9C" w:rsidP="00EF4E9C">
      <w:pPr>
        <w:numPr>
          <w:ilvl w:val="0"/>
          <w:numId w:val="6"/>
        </w:numPr>
        <w:jc w:val="both"/>
      </w:pPr>
      <w:r w:rsidRPr="00EF4E9C">
        <w:rPr>
          <w:b/>
          <w:bCs/>
        </w:rPr>
        <w:t>Jurisprudencia 2a./J. 161/2019 (10a.) de la SCJN:</w:t>
      </w:r>
      <w:r w:rsidRPr="00EF4E9C">
        <w:t> "DOCUMENTOS PRIVADOS. DEBEN CUMPLIR CON EL REQUISITO DE 'FECHA CIERTA'." Registro digital: 2021218.</w:t>
      </w:r>
    </w:p>
    <w:p w14:paraId="4BEB8B9F" w14:textId="77777777" w:rsidR="00EF4E9C" w:rsidRPr="00EF4E9C" w:rsidRDefault="00EF4E9C" w:rsidP="00EF4E9C">
      <w:pPr>
        <w:jc w:val="both"/>
      </w:pPr>
      <w:r w:rsidRPr="00EF4E9C">
        <w:rPr>
          <w:b/>
          <w:bCs/>
        </w:rPr>
        <w:t>Referencia al expediente completo</w:t>
      </w:r>
    </w:p>
    <w:p w14:paraId="2658239C" w14:textId="77777777" w:rsidR="00EF4E9C" w:rsidRPr="00EF4E9C" w:rsidRDefault="00EF4E9C" w:rsidP="00EF4E9C">
      <w:pPr>
        <w:jc w:val="both"/>
      </w:pPr>
      <w:r w:rsidRPr="00EF4E9C">
        <w:t>El expediente 28165/23-17-09-9/888/25-PL-04-04 puede ser consultado en las oficinas del Tribunal Federal de Justicia Administrativa (TFJA) o a través del Sistema Integral de Seguimiento de Expedientes (SISE) del Poder Judicial de la Federación, con previa acreditación de interés jurídico.</w:t>
      </w:r>
    </w:p>
    <w:p w14:paraId="1E5AF123" w14:textId="77777777" w:rsidR="00EF4E9C" w:rsidRPr="00EF4E9C" w:rsidRDefault="00EF4E9C" w:rsidP="00EF4E9C">
      <w:pPr>
        <w:jc w:val="both"/>
      </w:pPr>
      <w:proofErr w:type="spellStart"/>
      <w:r w:rsidRPr="00EF4E9C">
        <w:rPr>
          <w:b/>
          <w:bCs/>
        </w:rPr>
        <w:t>Checklist</w:t>
      </w:r>
      <w:proofErr w:type="spellEnd"/>
      <w:r w:rsidRPr="00EF4E9C">
        <w:rPr>
          <w:b/>
          <w:bCs/>
        </w:rPr>
        <w:t xml:space="preserve"> de defensa para el asesor fiscal</w:t>
      </w:r>
    </w:p>
    <w:p w14:paraId="21E1A0E9" w14:textId="77777777" w:rsidR="00EF4E9C" w:rsidRPr="00EF4E9C" w:rsidRDefault="00EF4E9C" w:rsidP="00EF4E9C">
      <w:pPr>
        <w:jc w:val="both"/>
      </w:pPr>
      <w:r w:rsidRPr="00EF4E9C">
        <w:t>Para una defensa efectiva en un caso similar de integración de CUCA y CUFIN, asegúrese de:</w:t>
      </w:r>
    </w:p>
    <w:p w14:paraId="67E6D246" w14:textId="77777777" w:rsidR="00EF4E9C" w:rsidRPr="00EF4E9C" w:rsidRDefault="00EF4E9C" w:rsidP="00EF4E9C">
      <w:pPr>
        <w:jc w:val="both"/>
      </w:pPr>
      <w:r w:rsidRPr="00EF4E9C">
        <w:rPr>
          <w:b/>
          <w:bCs/>
        </w:rPr>
        <w:t>Uno.</w:t>
      </w:r>
      <w:r w:rsidRPr="00EF4E9C">
        <w:t xml:space="preserve"> Verificar que todas las aportaciones de capital tengan comprobante de pago efectivo (estados de cuenta bancarios, transferencias electrónicas, cheques </w:t>
      </w:r>
      <w:r w:rsidRPr="00EF4E9C">
        <w:lastRenderedPageBreak/>
        <w:t>cancelados). No se admiten pagarés, cesiones de derechos, ni compensaciones de deudas como sustituto del pago en efectivo.</w:t>
      </w:r>
    </w:p>
    <w:p w14:paraId="1D1DBA26" w14:textId="77777777" w:rsidR="00EF4E9C" w:rsidRPr="00EF4E9C" w:rsidRDefault="00EF4E9C" w:rsidP="00EF4E9C">
      <w:pPr>
        <w:jc w:val="both"/>
      </w:pPr>
      <w:r w:rsidRPr="00EF4E9C">
        <w:rPr>
          <w:b/>
          <w:bCs/>
        </w:rPr>
        <w:t>Dos.</w:t>
      </w:r>
      <w:r w:rsidRPr="00EF4E9C">
        <w:t xml:space="preserve"> Si el cliente utilizó un pagaré o una cesión de derechos como forma de pago, documentar la cadena completa: pagaré original, endosos sucesivos, contratos de cesión, </w:t>
      </w:r>
      <w:proofErr w:type="gramStart"/>
      <w:r w:rsidRPr="00EF4E9C">
        <w:t>y</w:t>
      </w:r>
      <w:proofErr w:type="gramEnd"/>
      <w:r w:rsidRPr="00EF4E9C">
        <w:t xml:space="preserve"> sobre todo, el estado de cuenta que acredite el cobro efectivo del pagaré. Sin el cobro, no hay pago.</w:t>
      </w:r>
    </w:p>
    <w:p w14:paraId="187AFACE" w14:textId="77777777" w:rsidR="00EF4E9C" w:rsidRPr="00EF4E9C" w:rsidRDefault="00EF4E9C" w:rsidP="00EF4E9C">
      <w:pPr>
        <w:jc w:val="both"/>
      </w:pPr>
      <w:r w:rsidRPr="00EF4E9C">
        <w:rPr>
          <w:b/>
          <w:bCs/>
        </w:rPr>
        <w:t>Tres.</w:t>
      </w:r>
      <w:r w:rsidRPr="00EF4E9C">
        <w:t> Para los dividendos, asegurarse de que se paguen exclusivamente con cheque nominativo no negociable o transferencia bancaria. La LISR no admite pagos en especie. Documentar el pago con el estado de cuenta del socio que recibió el dividendo.</w:t>
      </w:r>
    </w:p>
    <w:p w14:paraId="40F470C0" w14:textId="77777777" w:rsidR="00EF4E9C" w:rsidRPr="00EF4E9C" w:rsidRDefault="00EF4E9C" w:rsidP="00EF4E9C">
      <w:pPr>
        <w:jc w:val="both"/>
      </w:pPr>
      <w:r w:rsidRPr="00EF4E9C">
        <w:rPr>
          <w:b/>
          <w:bCs/>
        </w:rPr>
        <w:t>Cuatro.</w:t>
      </w:r>
      <w:r w:rsidRPr="00EF4E9C">
        <w:t> Reconstruir la CUCA histórica documento por documento, incluyendo la actualización por inflación de cada aportación conforme al artículo 79 de la LISR. Un error en la integración de la CUCA de hace diez años se arrastra hasta el presente.</w:t>
      </w:r>
    </w:p>
    <w:p w14:paraId="7C964D43" w14:textId="77777777" w:rsidR="00EF4E9C" w:rsidRPr="00EF4E9C" w:rsidRDefault="00EF4E9C" w:rsidP="00EF4E9C">
      <w:pPr>
        <w:jc w:val="both"/>
      </w:pPr>
      <w:r w:rsidRPr="00EF4E9C">
        <w:rPr>
          <w:b/>
          <w:bCs/>
        </w:rPr>
        <w:t>Cinco.</w:t>
      </w:r>
      <w:r w:rsidRPr="00EF4E9C">
        <w:t> Verificar que el libro de registro de variaciones de capital social (para S.A. de C.V.) esté actualizado, firmado por los socios, y registrado ante el Registro Público. Sin ese libro, el aumento de capital puede ser cuestionado.</w:t>
      </w:r>
    </w:p>
    <w:p w14:paraId="2D1F098A" w14:textId="77777777" w:rsidR="00EF4E9C" w:rsidRPr="00EF4E9C" w:rsidRDefault="00EF4E9C" w:rsidP="00EF4E9C">
      <w:pPr>
        <w:jc w:val="both"/>
      </w:pPr>
      <w:r w:rsidRPr="00EF4E9C">
        <w:rPr>
          <w:b/>
          <w:bCs/>
        </w:rPr>
        <w:t>Seis.</w:t>
      </w:r>
      <w:r w:rsidRPr="00EF4E9C">
        <w:t> Si el SAT exige "integraciones especiales" (formatos específicos de papeles de trabajo), impugnar con la jurisprudencia IX-P-1aS-9. El contribuyente no está obligado a rehacer su contabilidad en formatos no previstos por la ley.</w:t>
      </w:r>
    </w:p>
    <w:p w14:paraId="1ABDB2E6" w14:textId="77777777" w:rsidR="00EF4E9C" w:rsidRPr="00EF4E9C" w:rsidRDefault="00EF4E9C" w:rsidP="00EF4E9C">
      <w:pPr>
        <w:jc w:val="both"/>
      </w:pPr>
      <w:r w:rsidRPr="00EF4E9C">
        <w:rPr>
          <w:b/>
          <w:bCs/>
        </w:rPr>
        <w:t>Siete.</w:t>
      </w:r>
      <w:r w:rsidRPr="00EF4E9C">
        <w:t> Para operaciones complejas (cesión de derechos, pagarés, dación en pago), obtener una opinión fiscal previa y documentar la materialidad de la operación con todos los soportes: contratos, estados de cuenta, pólizas, y evidencia de la entrega efectiva de los bienes o derechos.</w:t>
      </w:r>
    </w:p>
    <w:p w14:paraId="7A84EB22" w14:textId="77777777" w:rsidR="00EF4E9C" w:rsidRPr="00EF4E9C" w:rsidRDefault="00EF4E9C" w:rsidP="00EF4E9C">
      <w:pPr>
        <w:jc w:val="both"/>
      </w:pPr>
      <w:r w:rsidRPr="00EF4E9C">
        <w:rPr>
          <w:b/>
          <w:bCs/>
        </w:rPr>
        <w:t>Nota final para el asesor fiscal:</w:t>
      </w:r>
      <w:r w:rsidRPr="00EF4E9C">
        <w:t> Este caso enseña que la forma no puede sustituir a la sustancia. Un pagaré no es un pago. Una cesión de derechos no es una aportación de capital. Una compensación de deudas no es un dividendo. La ley fiscal exige flujo de efectivo real. Si el dinero no entró a la cuenta bancaria de la empresa (o no salió de ella hacia el socio), la operación no produce efectos fiscales. El cliente que cree que "un papel vale tanto como el dinero" está cometiendo el error del Capítulo 2. Su trabajo es mostrarle que el SAT no acepta promesas; solo acepta realidades documentadas con comprobantes de pago trazables.</w:t>
      </w:r>
    </w:p>
    <w:p w14:paraId="583D5F6D" w14:textId="77777777" w:rsidR="00EF4E9C" w:rsidRPr="00EF4E9C" w:rsidRDefault="00000000" w:rsidP="00EF4E9C">
      <w:pPr>
        <w:jc w:val="both"/>
      </w:pPr>
      <w:r>
        <w:pict w14:anchorId="536FBE5B">
          <v:rect id="_x0000_i1033" style="width:0;height:.75pt" o:hralign="center" o:hrstd="t" o:hr="t" fillcolor="#a0a0a0" stroked="f"/>
        </w:pict>
      </w:r>
    </w:p>
    <w:p w14:paraId="4582BDFA" w14:textId="77777777" w:rsidR="00EF4E9C" w:rsidRPr="00EF4E9C" w:rsidRDefault="00EF4E9C" w:rsidP="00EF4E9C">
      <w:pPr>
        <w:jc w:val="both"/>
      </w:pPr>
      <w:r w:rsidRPr="00EF4E9C">
        <w:rPr>
          <w:b/>
          <w:bCs/>
        </w:rPr>
        <w:t>Apéndice Técnico 3</w:t>
      </w:r>
    </w:p>
    <w:p w14:paraId="43BEF071" w14:textId="77777777" w:rsidR="00EF4E9C" w:rsidRPr="00EF4E9C" w:rsidRDefault="00EF4E9C" w:rsidP="00EF4E9C">
      <w:pPr>
        <w:jc w:val="both"/>
      </w:pPr>
      <w:r w:rsidRPr="00EF4E9C">
        <w:rPr>
          <w:b/>
          <w:bCs/>
        </w:rPr>
        <w:lastRenderedPageBreak/>
        <w:t>Tener el 99% de las acciones no sirve si el dinero no está en su cuenta: beneficiario controlador y la trampa de la tesorería centralizada</w:t>
      </w:r>
    </w:p>
    <w:p w14:paraId="0F1B09FA" w14:textId="77777777" w:rsidR="00EF4E9C" w:rsidRPr="00EF4E9C" w:rsidRDefault="00EF4E9C" w:rsidP="00EF4E9C">
      <w:pPr>
        <w:jc w:val="both"/>
      </w:pPr>
      <w:r w:rsidRPr="00EF4E9C">
        <w:rPr>
          <w:b/>
          <w:bCs/>
        </w:rPr>
        <w:t>Capítulo 3 del libro</w:t>
      </w:r>
    </w:p>
    <w:p w14:paraId="1B5A7704" w14:textId="77777777" w:rsidR="00EF4E9C" w:rsidRPr="00EF4E9C" w:rsidRDefault="00EF4E9C" w:rsidP="00EF4E9C">
      <w:pPr>
        <w:jc w:val="both"/>
      </w:pPr>
      <w:r w:rsidRPr="00EF4E9C">
        <w:rPr>
          <w:b/>
          <w:bCs/>
        </w:rPr>
        <w:t>Expediente:</w:t>
      </w:r>
      <w:r w:rsidRPr="00EF4E9C">
        <w:t> 13866/23-17-14-4/863/24-S1-03-02 del Tribunal Federal de Justicia Administrativa (Primera Sección de la Sala Superior)</w:t>
      </w:r>
    </w:p>
    <w:p w14:paraId="78949AF5" w14:textId="77777777" w:rsidR="00EF4E9C" w:rsidRPr="00EF4E9C" w:rsidRDefault="00EF4E9C" w:rsidP="00EF4E9C">
      <w:pPr>
        <w:jc w:val="both"/>
      </w:pPr>
      <w:r w:rsidRPr="00EF4E9C">
        <w:rPr>
          <w:b/>
          <w:bCs/>
        </w:rPr>
        <w:t>Los 10 puntos técnicos más relevantes para el asesor fiscal</w:t>
      </w:r>
    </w:p>
    <w:p w14:paraId="7809A648" w14:textId="77777777" w:rsidR="00EF4E9C" w:rsidRPr="00EF4E9C" w:rsidRDefault="00EF4E9C" w:rsidP="00EF4E9C">
      <w:pPr>
        <w:jc w:val="both"/>
      </w:pPr>
      <w:r w:rsidRPr="00EF4E9C">
        <w:rPr>
          <w:b/>
          <w:bCs/>
        </w:rPr>
        <w:t>1. El beneficiario efectivo no se acredita solo con la propiedad accionaria</w:t>
      </w:r>
    </w:p>
    <w:p w14:paraId="253D0CF9" w14:textId="77777777" w:rsidR="00EF4E9C" w:rsidRPr="00EF4E9C" w:rsidRDefault="00EF4E9C" w:rsidP="00EF4E9C">
      <w:pPr>
        <w:jc w:val="both"/>
      </w:pPr>
      <w:r w:rsidRPr="00EF4E9C">
        <w:t>Ser dueño del 99% de las acciones </w:t>
      </w:r>
      <w:r w:rsidRPr="00EF4E9C">
        <w:rPr>
          <w:b/>
          <w:bCs/>
        </w:rPr>
        <w:t>no es suficiente</w:t>
      </w:r>
      <w:r w:rsidRPr="00EF4E9C">
        <w:t>. El SAT y el Tribunal exigen demostrar la </w:t>
      </w:r>
      <w:r w:rsidRPr="00EF4E9C">
        <w:rPr>
          <w:b/>
          <w:bCs/>
        </w:rPr>
        <w:t>libre disposición</w:t>
      </w:r>
      <w:r w:rsidRPr="00EF4E9C">
        <w:t> del ingreso (dividendos, intereses, regalías). Si el dinero se deposita en una cuenta bancaria de otra empresa del grupo (tesorería centralizada), quien no controle esa cuenta no será beneficiario efectivo. La propiedad formal de las acciones es necesaria, pero no suficiente. El concepto de beneficiario efectivo en los tratados internacionales (artículo 11, párrafo 2 del Convenio México-</w:t>
      </w:r>
      <w:proofErr w:type="gramStart"/>
      <w:r w:rsidRPr="00EF4E9C">
        <w:t>EE.UU.</w:t>
      </w:r>
      <w:proofErr w:type="gramEnd"/>
      <w:r w:rsidRPr="00EF4E9C">
        <w:t>) se refiere a quien tiene el poder de disposición real sobre el ingreso, no a quien aparece como perceptor formal.</w:t>
      </w:r>
    </w:p>
    <w:p w14:paraId="322766D4" w14:textId="77777777" w:rsidR="00EF4E9C" w:rsidRPr="00EF4E9C" w:rsidRDefault="00EF4E9C" w:rsidP="00EF4E9C">
      <w:pPr>
        <w:jc w:val="both"/>
      </w:pPr>
      <w:r w:rsidRPr="00EF4E9C">
        <w:rPr>
          <w:i/>
          <w:iCs/>
        </w:rPr>
        <w:t>Fundamento:</w:t>
      </w:r>
      <w:r w:rsidRPr="00EF4E9C">
        <w:t> Artículo 11, párrafo 2 del Convenio México-</w:t>
      </w:r>
      <w:proofErr w:type="gramStart"/>
      <w:r w:rsidRPr="00EF4E9C">
        <w:t>EE.UU.</w:t>
      </w:r>
      <w:proofErr w:type="gramEnd"/>
      <w:r w:rsidRPr="00EF4E9C">
        <w:t xml:space="preserve"> para Evitar la Doble Tributación; Comentario 12.7 del Modelo de Convenio de la OCDE.</w:t>
      </w:r>
    </w:p>
    <w:p w14:paraId="2CA09999" w14:textId="77777777" w:rsidR="00EF4E9C" w:rsidRPr="00EF4E9C" w:rsidRDefault="00EF4E9C" w:rsidP="00EF4E9C">
      <w:pPr>
        <w:jc w:val="both"/>
      </w:pPr>
      <w:r w:rsidRPr="00EF4E9C">
        <w:rPr>
          <w:b/>
          <w:bCs/>
        </w:rPr>
        <w:t>2. La centralización de tesorería es un riesgo fiscal alto</w:t>
      </w:r>
    </w:p>
    <w:p w14:paraId="28316078" w14:textId="77777777" w:rsidR="00EF4E9C" w:rsidRPr="00EF4E9C" w:rsidRDefault="00EF4E9C" w:rsidP="00EF4E9C">
      <w:pPr>
        <w:jc w:val="both"/>
      </w:pPr>
      <w:r w:rsidRPr="00EF4E9C">
        <w:t>Depositar dividendos en una cuenta centralizada de la matriz o de otra empresa del grupo, sin documentar que la subsidiaria puede disponer de ellos, destruye el carácter de beneficiario efectivo. El Tribunal considera que quien recibe formalmente el depósito es el perceptor inmediato; si la actora no demuestra que esos recursos llegaron a su cuenta o que los controla, pierde el beneficio del tratado. La "eficiencia de tesorería" no es una excusa fiscalmente válida si no se documenta adecuadamente.</w:t>
      </w:r>
    </w:p>
    <w:p w14:paraId="094EA5ED" w14:textId="77777777" w:rsidR="00EF4E9C" w:rsidRPr="00EF4E9C" w:rsidRDefault="00EF4E9C" w:rsidP="00EF4E9C">
      <w:pPr>
        <w:jc w:val="both"/>
      </w:pPr>
      <w:r w:rsidRPr="00EF4E9C">
        <w:rPr>
          <w:i/>
          <w:iCs/>
        </w:rPr>
        <w:t>Fundamento:</w:t>
      </w:r>
      <w:r w:rsidRPr="00EF4E9C">
        <w:t> Artículo 5 del CFF (principio de sustancia económica); jurisprudencia 1a./J. 53/2020 (10a.) de la SCJN.</w:t>
      </w:r>
    </w:p>
    <w:p w14:paraId="29402FC5" w14:textId="77777777" w:rsidR="00EF4E9C" w:rsidRPr="00EF4E9C" w:rsidRDefault="00EF4E9C" w:rsidP="00EF4E9C">
      <w:pPr>
        <w:jc w:val="both"/>
      </w:pPr>
      <w:r w:rsidRPr="00EF4E9C">
        <w:rPr>
          <w:b/>
          <w:bCs/>
        </w:rPr>
        <w:t>3. El Affidavit (declaración jurada extranjera) no prueba por sí solo la calidad de beneficiario efectivo</w:t>
      </w:r>
    </w:p>
    <w:p w14:paraId="1E7554A9" w14:textId="77777777" w:rsidR="00EF4E9C" w:rsidRPr="00EF4E9C" w:rsidRDefault="00EF4E9C" w:rsidP="00EF4E9C">
      <w:pPr>
        <w:jc w:val="both"/>
      </w:pPr>
      <w:r w:rsidRPr="00EF4E9C">
        <w:t>Una declaración jurada ante notario extranjero, aunque apostillada, solo prueba que alguien declaró algo, </w:t>
      </w:r>
      <w:r w:rsidRPr="00EF4E9C">
        <w:rPr>
          <w:b/>
          <w:bCs/>
        </w:rPr>
        <w:t>no la veracidad</w:t>
      </w:r>
      <w:r w:rsidRPr="00EF4E9C">
        <w:t xml:space="preserve"> de lo declarado. Para tener valor probatorio pleno debe adminicularse con otras pruebas idóneas (contratos, estados de cuenta, dictámenes contables robustos). El artículo 46, fracción I de la LFCA otorga valor probatorio pleno a los documentos públicos, pero eso no significa que el contenido de </w:t>
      </w:r>
      <w:r w:rsidRPr="00EF4E9C">
        <w:lastRenderedPageBreak/>
        <w:t>la declaración sea verdadero; solo significa que la declaración existió. La verdad del contenido debe probarse con otros elementos.</w:t>
      </w:r>
    </w:p>
    <w:p w14:paraId="163DA4CC" w14:textId="77777777" w:rsidR="00EF4E9C" w:rsidRPr="00EF4E9C" w:rsidRDefault="00EF4E9C" w:rsidP="00EF4E9C">
      <w:pPr>
        <w:jc w:val="both"/>
      </w:pPr>
      <w:r w:rsidRPr="00EF4E9C">
        <w:rPr>
          <w:i/>
          <w:iCs/>
        </w:rPr>
        <w:t>Fundamento:</w:t>
      </w:r>
      <w:r w:rsidRPr="00EF4E9C">
        <w:t> Artículo 46, fracción I de la LFCA; Convenio de La Haya de 1961 (apostilla).</w:t>
      </w:r>
    </w:p>
    <w:p w14:paraId="55E7F1F0" w14:textId="77777777" w:rsidR="00EF4E9C" w:rsidRPr="00EF4E9C" w:rsidRDefault="00EF4E9C" w:rsidP="00EF4E9C">
      <w:pPr>
        <w:jc w:val="both"/>
      </w:pPr>
      <w:r w:rsidRPr="00EF4E9C">
        <w:rPr>
          <w:b/>
          <w:bCs/>
        </w:rPr>
        <w:t>4. El dictamen pericial en derecho extranjero debe ser claro, sin contradicciones y oportuno</w:t>
      </w:r>
    </w:p>
    <w:p w14:paraId="3E395722" w14:textId="77777777" w:rsidR="00EF4E9C" w:rsidRPr="00EF4E9C" w:rsidRDefault="00EF4E9C" w:rsidP="00EF4E9C">
      <w:pPr>
        <w:jc w:val="both"/>
      </w:pPr>
      <w:r w:rsidRPr="00EF4E9C">
        <w:t>Si el perito señala que la actora "no tiene poder sobre los dividendos" (aunque luego se alegue error de traducción), esa contradicción genera incertidumbre y desacredita la prueba. Además, la traducción correcta debe presentarse </w:t>
      </w:r>
      <w:r w:rsidRPr="00EF4E9C">
        <w:rPr>
          <w:b/>
          <w:bCs/>
        </w:rPr>
        <w:t>en el momento procesal oportuno</w:t>
      </w:r>
      <w:r w:rsidRPr="00EF4E9C">
        <w:t> (recurso o demanda), no después. El perito en derecho extranjero debe explicar no solo el texto de la ley, sino también su aplicación práctica al caso concreto. Una opinión genérica o contradictoria no genera convicción.</w:t>
      </w:r>
    </w:p>
    <w:p w14:paraId="38D0901D" w14:textId="77777777" w:rsidR="00EF4E9C" w:rsidRPr="00EF4E9C" w:rsidRDefault="00EF4E9C" w:rsidP="00EF4E9C">
      <w:pPr>
        <w:jc w:val="both"/>
      </w:pPr>
      <w:r w:rsidRPr="00EF4E9C">
        <w:rPr>
          <w:i/>
          <w:iCs/>
        </w:rPr>
        <w:t>Fundamento:</w:t>
      </w:r>
      <w:r w:rsidRPr="00EF4E9C">
        <w:t> Artículo 46, fracción III de la LFCA; artículo 368 del Código Nacional de Procedimientos Penales (aplicable supletoriamente en materia de periciales).</w:t>
      </w:r>
    </w:p>
    <w:p w14:paraId="34357D6E" w14:textId="77777777" w:rsidR="00EF4E9C" w:rsidRPr="00EF4E9C" w:rsidRDefault="00EF4E9C" w:rsidP="00EF4E9C">
      <w:pPr>
        <w:jc w:val="both"/>
      </w:pPr>
      <w:r w:rsidRPr="00EF4E9C">
        <w:rPr>
          <w:b/>
          <w:bCs/>
        </w:rPr>
        <w:t>5. La prueba pericial contable es indispensable para interpretar documentales contables complejas</w:t>
      </w:r>
    </w:p>
    <w:p w14:paraId="0319B716" w14:textId="77777777" w:rsidR="00EF4E9C" w:rsidRPr="00EF4E9C" w:rsidRDefault="00EF4E9C" w:rsidP="00EF4E9C">
      <w:pPr>
        <w:jc w:val="both"/>
      </w:pPr>
      <w:r w:rsidRPr="00EF4E9C">
        <w:t>Papeles de trabajo, declaraciones consolidadas, conciliaciones fiscales y estados financieros de grupos empresariales requieren un perito contable que explique, con base en la contabilidad, si el contribuyente realmente disponía de los ingresos. Sin esa pericial, las documentales privadas no generan convicción plena. El perito contable debe explicar cómo se integró cada cuenta, de dónde provienen los recursos, y si el contribuyente tenía la facultad de ordenar la disposición de los fondos.</w:t>
      </w:r>
    </w:p>
    <w:p w14:paraId="0C917D78" w14:textId="77777777" w:rsidR="00EF4E9C" w:rsidRPr="00EF4E9C" w:rsidRDefault="00EF4E9C" w:rsidP="00EF4E9C">
      <w:pPr>
        <w:jc w:val="both"/>
      </w:pPr>
      <w:r w:rsidRPr="00EF4E9C">
        <w:rPr>
          <w:i/>
          <w:iCs/>
        </w:rPr>
        <w:t>Fundamento:</w:t>
      </w:r>
      <w:r w:rsidRPr="00EF4E9C">
        <w:t> Artículo 46, fracción III de la LFCA; jurisprudencia VIII-J-SS-48 del TFJA.</w:t>
      </w:r>
    </w:p>
    <w:p w14:paraId="44871A18" w14:textId="77777777" w:rsidR="00EF4E9C" w:rsidRPr="00EF4E9C" w:rsidRDefault="00EF4E9C" w:rsidP="00EF4E9C">
      <w:pPr>
        <w:jc w:val="both"/>
      </w:pPr>
      <w:r w:rsidRPr="00EF4E9C">
        <w:rPr>
          <w:b/>
          <w:bCs/>
        </w:rPr>
        <w:t>6. El plazo de prescripción para devolución de retenciones indebidas comienza desde la retención, no desde el entero al fisco</w:t>
      </w:r>
    </w:p>
    <w:p w14:paraId="0E00EFB7" w14:textId="77777777" w:rsidR="00EF4E9C" w:rsidRPr="00EF4E9C" w:rsidRDefault="00EF4E9C" w:rsidP="00EF4E9C">
      <w:pPr>
        <w:jc w:val="both"/>
      </w:pPr>
      <w:r w:rsidRPr="00EF4E9C">
        <w:t>Tratándose de ingresos de residentes en el extranjero pagados mediante retención, el derecho a solicitar la devolución del pago de lo indebido </w:t>
      </w:r>
      <w:r w:rsidRPr="00EF4E9C">
        <w:rPr>
          <w:b/>
          <w:bCs/>
        </w:rPr>
        <w:t>prescribe a los 5 años</w:t>
      </w:r>
      <w:r w:rsidRPr="00EF4E9C">
        <w:t> contados desde la fecha en que se efectuó la retención (cuando se pagó el dividendo), no desde el día en que el retenedor enteró el impuesto al SAT. La declaración del retenedor no es constitutiva del derecho; el derecho nace en el momento en que se realiza la retención indebida. Si el contribuyente espera a que el retenedor entere el impuesto (que puede ocurrir meses después), puede perder el plazo.</w:t>
      </w:r>
    </w:p>
    <w:p w14:paraId="54F90457" w14:textId="77777777" w:rsidR="00EF4E9C" w:rsidRPr="00EF4E9C" w:rsidRDefault="00EF4E9C" w:rsidP="00EF4E9C">
      <w:pPr>
        <w:jc w:val="both"/>
      </w:pPr>
      <w:r w:rsidRPr="00EF4E9C">
        <w:rPr>
          <w:i/>
          <w:iCs/>
        </w:rPr>
        <w:lastRenderedPageBreak/>
        <w:t>Fundamento:</w:t>
      </w:r>
      <w:r w:rsidRPr="00EF4E9C">
        <w:t> Artículo 67 del CFF; artículo 22, fracción IV del CFF.</w:t>
      </w:r>
    </w:p>
    <w:p w14:paraId="702854AB" w14:textId="77777777" w:rsidR="00EF4E9C" w:rsidRPr="00EF4E9C" w:rsidRDefault="00EF4E9C" w:rsidP="00EF4E9C">
      <w:pPr>
        <w:jc w:val="both"/>
      </w:pPr>
      <w:r w:rsidRPr="00EF4E9C">
        <w:rPr>
          <w:b/>
          <w:bCs/>
        </w:rPr>
        <w:t>7. La carga de la prueba del beneficiario efectivo es del contribuyente</w:t>
      </w:r>
    </w:p>
    <w:p w14:paraId="564526DF" w14:textId="77777777" w:rsidR="00EF4E9C" w:rsidRPr="00EF4E9C" w:rsidRDefault="00EF4E9C" w:rsidP="00EF4E9C">
      <w:pPr>
        <w:jc w:val="both"/>
      </w:pPr>
      <w:r w:rsidRPr="00EF4E9C">
        <w:t>No es el SAT quien debe demostrar que el contribuyente </w:t>
      </w:r>
      <w:r w:rsidRPr="00EF4E9C">
        <w:rPr>
          <w:b/>
          <w:bCs/>
        </w:rPr>
        <w:t>no</w:t>
      </w:r>
      <w:r w:rsidRPr="00EF4E9C">
        <w:t> es beneficiario efectivo. Es el contribuyente quien debe acreditar, con documentación idónea y suficiente, que tiene la libre disposición del ingreso, que no actúa como mero intermediario o canalizador, y que no está obligado contractual o legalmente a ceder el pago a un tercero. La presunción de legalidad del acto de autoridad (artículo 119 del CFF) juega a favor del SAT. El contribuyente debe desvirtuar esa presunción con pruebas robustas.</w:t>
      </w:r>
    </w:p>
    <w:p w14:paraId="35F11181" w14:textId="77777777" w:rsidR="00EF4E9C" w:rsidRPr="00EF4E9C" w:rsidRDefault="00EF4E9C" w:rsidP="00EF4E9C">
      <w:pPr>
        <w:jc w:val="both"/>
      </w:pPr>
      <w:r w:rsidRPr="00EF4E9C">
        <w:rPr>
          <w:i/>
          <w:iCs/>
        </w:rPr>
        <w:t>Fundamento:</w:t>
      </w:r>
      <w:r w:rsidRPr="00EF4E9C">
        <w:t> Artículo 40 de la LFCA; artículo 119 del CFF.</w:t>
      </w:r>
    </w:p>
    <w:p w14:paraId="7C394931" w14:textId="77777777" w:rsidR="00EF4E9C" w:rsidRPr="00EF4E9C" w:rsidRDefault="00EF4E9C" w:rsidP="00EF4E9C">
      <w:pPr>
        <w:jc w:val="both"/>
      </w:pPr>
      <w:r w:rsidRPr="00EF4E9C">
        <w:rPr>
          <w:b/>
          <w:bCs/>
        </w:rPr>
        <w:t>8. El contrato o acuerdo de tesorería centralizada debe estar documentado y demostrar el control del subsidiario</w:t>
      </w:r>
    </w:p>
    <w:p w14:paraId="3CB9DA02" w14:textId="77777777" w:rsidR="00EF4E9C" w:rsidRPr="00EF4E9C" w:rsidRDefault="00EF4E9C" w:rsidP="00EF4E9C">
      <w:pPr>
        <w:jc w:val="both"/>
      </w:pPr>
      <w:r w:rsidRPr="00EF4E9C">
        <w:t>Si la actora afirma que el depósito en cuenta de la matriz obedece a "razones de eficiencia" o "tesorería centralizada", debe exhibir el </w:t>
      </w:r>
      <w:r w:rsidRPr="00EF4E9C">
        <w:rPr>
          <w:b/>
          <w:bCs/>
        </w:rPr>
        <w:t>contrato o acuerdo</w:t>
      </w:r>
      <w:r w:rsidRPr="00EF4E9C">
        <w:t> que regule esa centralización y, sobre todo, </w:t>
      </w:r>
      <w:r w:rsidRPr="00EF4E9C">
        <w:rPr>
          <w:b/>
          <w:bCs/>
        </w:rPr>
        <w:t>pruebas</w:t>
      </w:r>
      <w:r w:rsidRPr="00EF4E9C">
        <w:t> de que ella puede ordenar la disposición de esos recursos. El mero dicho no basta. El contrato debe especificar: qué empresa es la titular de la cuenta concentradora, quién tiene la facultad de disponer de los fondos, cómo se documentan las transferencias internas, y qué ocurre en caso de que una subsidiaria requiera usar sus recursos.</w:t>
      </w:r>
    </w:p>
    <w:p w14:paraId="40ED4649" w14:textId="77777777" w:rsidR="00EF4E9C" w:rsidRPr="00EF4E9C" w:rsidRDefault="00EF4E9C" w:rsidP="00EF4E9C">
      <w:pPr>
        <w:jc w:val="both"/>
      </w:pPr>
      <w:r w:rsidRPr="00EF4E9C">
        <w:rPr>
          <w:i/>
          <w:iCs/>
        </w:rPr>
        <w:t>Fundamento:</w:t>
      </w:r>
      <w:r w:rsidRPr="00EF4E9C">
        <w:t> Artículo 28 del CFF; artículo 5-A del CFF (razón de negocios).</w:t>
      </w:r>
    </w:p>
    <w:p w14:paraId="69AE23E7" w14:textId="77777777" w:rsidR="00EF4E9C" w:rsidRPr="00EF4E9C" w:rsidRDefault="00EF4E9C" w:rsidP="00EF4E9C">
      <w:pPr>
        <w:jc w:val="both"/>
      </w:pPr>
      <w:r w:rsidRPr="00EF4E9C">
        <w:rPr>
          <w:b/>
          <w:bCs/>
        </w:rPr>
        <w:t>9. El comentario 12.7 de la OCDE no beneficia al intermediario o canalizador</w:t>
      </w:r>
    </w:p>
    <w:p w14:paraId="58A43666" w14:textId="77777777" w:rsidR="00EF4E9C" w:rsidRPr="00EF4E9C" w:rsidRDefault="00EF4E9C" w:rsidP="00EF4E9C">
      <w:pPr>
        <w:jc w:val="both"/>
      </w:pPr>
      <w:r w:rsidRPr="00EF4E9C">
        <w:t xml:space="preserve">El comentario 12.7 del Modelo de Convenio de la OCDE establece que la limitación del impuesto se mantiene cuando hay un </w:t>
      </w:r>
      <w:proofErr w:type="gramStart"/>
      <w:r w:rsidRPr="00EF4E9C">
        <w:t>intermediario</w:t>
      </w:r>
      <w:proofErr w:type="gramEnd"/>
      <w:r w:rsidRPr="00EF4E9C">
        <w:t xml:space="preserve"> pero el beneficiario efectivo es residente del otro Estado. Sin embargo, </w:t>
      </w:r>
      <w:r w:rsidRPr="00EF4E9C">
        <w:rPr>
          <w:b/>
          <w:bCs/>
        </w:rPr>
        <w:t>no opera a favor del intermediario</w:t>
      </w:r>
      <w:r w:rsidRPr="00EF4E9C">
        <w:t xml:space="preserve">. Si la actora es el intermediario (el que recibe formalmente el </w:t>
      </w:r>
      <w:proofErr w:type="gramStart"/>
      <w:r w:rsidRPr="00EF4E9C">
        <w:t>pago</w:t>
      </w:r>
      <w:proofErr w:type="gramEnd"/>
      <w:r w:rsidRPr="00EF4E9C">
        <w:t xml:space="preserve"> pero debe canalizarlo a otro), no puede invocar ese comentario para obtener la devolución. El beneficio del tratado corresponde al verdadero beneficiario efectivo, no al conducto.</w:t>
      </w:r>
    </w:p>
    <w:p w14:paraId="2EC7CCF5" w14:textId="77777777" w:rsidR="00EF4E9C" w:rsidRPr="00EF4E9C" w:rsidRDefault="00EF4E9C" w:rsidP="00EF4E9C">
      <w:pPr>
        <w:jc w:val="both"/>
      </w:pPr>
      <w:r w:rsidRPr="00EF4E9C">
        <w:rPr>
          <w:i/>
          <w:iCs/>
        </w:rPr>
        <w:t>Fundamento:</w:t>
      </w:r>
      <w:r w:rsidRPr="00EF4E9C">
        <w:t> Comentario 12.7 del Modelo de Convenio de la OCDE; artículo 4 del Convenio México-</w:t>
      </w:r>
      <w:proofErr w:type="gramStart"/>
      <w:r w:rsidRPr="00EF4E9C">
        <w:t>EE.UU.</w:t>
      </w:r>
      <w:proofErr w:type="gramEnd"/>
    </w:p>
    <w:p w14:paraId="420EAE0B" w14:textId="77777777" w:rsidR="00EF4E9C" w:rsidRPr="00EF4E9C" w:rsidRDefault="00EF4E9C" w:rsidP="00EF4E9C">
      <w:pPr>
        <w:jc w:val="both"/>
      </w:pPr>
      <w:r w:rsidRPr="00EF4E9C">
        <w:rPr>
          <w:b/>
          <w:bCs/>
        </w:rPr>
        <w:t>10. La resolución del recurso de revocación puede ser confirmativa ficta y luego expresa en la contestación de demanda</w:t>
      </w:r>
    </w:p>
    <w:p w14:paraId="4837AA12" w14:textId="77777777" w:rsidR="00EF4E9C" w:rsidRPr="00EF4E9C" w:rsidRDefault="00EF4E9C" w:rsidP="00EF4E9C">
      <w:pPr>
        <w:jc w:val="both"/>
      </w:pPr>
      <w:r w:rsidRPr="00EF4E9C">
        <w:t>Cuando el SAT no resuelve el recurso de revocación en 3 meses, se configura la </w:t>
      </w:r>
      <w:r w:rsidRPr="00EF4E9C">
        <w:rPr>
          <w:b/>
          <w:bCs/>
        </w:rPr>
        <w:t>confirmativa ficta</w:t>
      </w:r>
      <w:r w:rsidRPr="00EF4E9C">
        <w:t> (artículo 131 del CFF). Si la autoridad, al contestar la demanda, expresa los fundamentos de esa ficta, el Tribunal debe analizar </w:t>
      </w:r>
      <w:r w:rsidRPr="00EF4E9C">
        <w:rPr>
          <w:b/>
          <w:bCs/>
        </w:rPr>
        <w:t>ambas</w:t>
      </w:r>
      <w:r w:rsidRPr="00EF4E9C">
        <w:t xml:space="preserve">: la ficta y la </w:t>
      </w:r>
      <w:r w:rsidRPr="00EF4E9C">
        <w:lastRenderedPageBreak/>
        <w:t>expresa contenida en la contestación, siempre que el actor las haya controvertido en ampliación de demanda. El actor no puede limitarse a impugnar la ficta; debe ampliar su demanda para controvertir la expresa.</w:t>
      </w:r>
    </w:p>
    <w:p w14:paraId="1A8458B9" w14:textId="77777777" w:rsidR="00EF4E9C" w:rsidRPr="00EF4E9C" w:rsidRDefault="00EF4E9C" w:rsidP="00EF4E9C">
      <w:pPr>
        <w:jc w:val="both"/>
      </w:pPr>
      <w:r w:rsidRPr="00EF4E9C">
        <w:rPr>
          <w:i/>
          <w:iCs/>
        </w:rPr>
        <w:t>Fundamento:</w:t>
      </w:r>
      <w:r w:rsidRPr="00EF4E9C">
        <w:t> Artículo 131 del CFF; artículo 58-17 de la LFCA; jurisprudencia 2a./J. 73/2013 (10a.) de la SCJN.</w:t>
      </w:r>
    </w:p>
    <w:p w14:paraId="624C5F10" w14:textId="77777777" w:rsidR="00EF4E9C" w:rsidRPr="00EF4E9C" w:rsidRDefault="00EF4E9C" w:rsidP="00EF4E9C">
      <w:pPr>
        <w:jc w:val="both"/>
      </w:pPr>
      <w:r w:rsidRPr="00EF4E9C">
        <w:rPr>
          <w:b/>
          <w:bCs/>
        </w:rPr>
        <w:t>Fundamento legal completo del caso</w:t>
      </w:r>
    </w:p>
    <w:p w14:paraId="26E7C8F3" w14:textId="77777777" w:rsidR="00EF4E9C" w:rsidRPr="00EF4E9C" w:rsidRDefault="00EF4E9C" w:rsidP="00EF4E9C">
      <w:pPr>
        <w:jc w:val="both"/>
      </w:pPr>
      <w:r w:rsidRPr="00EF4E9C">
        <w:rPr>
          <w:b/>
          <w:bCs/>
        </w:rPr>
        <w:t>Legislación aplicable:</w:t>
      </w:r>
    </w:p>
    <w:p w14:paraId="2514C77A" w14:textId="77777777" w:rsidR="00EF4E9C" w:rsidRPr="00EF4E9C" w:rsidRDefault="00EF4E9C" w:rsidP="00EF4E9C">
      <w:pPr>
        <w:numPr>
          <w:ilvl w:val="0"/>
          <w:numId w:val="7"/>
        </w:numPr>
        <w:jc w:val="both"/>
      </w:pPr>
      <w:r w:rsidRPr="00EF4E9C">
        <w:rPr>
          <w:b/>
          <w:bCs/>
        </w:rPr>
        <w:t>Artículo 11, párrafo 2 del Convenio México-</w:t>
      </w:r>
      <w:proofErr w:type="gramStart"/>
      <w:r w:rsidRPr="00EF4E9C">
        <w:rPr>
          <w:b/>
          <w:bCs/>
        </w:rPr>
        <w:t>EE.UU.</w:t>
      </w:r>
      <w:proofErr w:type="gramEnd"/>
      <w:r w:rsidRPr="00EF4E9C">
        <w:rPr>
          <w:b/>
          <w:bCs/>
        </w:rPr>
        <w:t xml:space="preserve"> para Evitar la Doble Tributación:</w:t>
      </w:r>
      <w:r w:rsidRPr="00EF4E9C">
        <w:t> Definición de beneficiario efectivo.</w:t>
      </w:r>
    </w:p>
    <w:p w14:paraId="29356BD0" w14:textId="77777777" w:rsidR="00EF4E9C" w:rsidRPr="00EF4E9C" w:rsidRDefault="00EF4E9C" w:rsidP="00EF4E9C">
      <w:pPr>
        <w:numPr>
          <w:ilvl w:val="0"/>
          <w:numId w:val="7"/>
        </w:numPr>
        <w:jc w:val="both"/>
      </w:pPr>
      <w:r w:rsidRPr="00EF4E9C">
        <w:rPr>
          <w:b/>
          <w:bCs/>
        </w:rPr>
        <w:t>Artículo 4 del Convenio México-</w:t>
      </w:r>
      <w:proofErr w:type="gramStart"/>
      <w:r w:rsidRPr="00EF4E9C">
        <w:rPr>
          <w:b/>
          <w:bCs/>
        </w:rPr>
        <w:t>EE.UU.</w:t>
      </w:r>
      <w:proofErr w:type="gramEnd"/>
      <w:r w:rsidRPr="00EF4E9C">
        <w:rPr>
          <w:b/>
          <w:bCs/>
        </w:rPr>
        <w:t>:</w:t>
      </w:r>
      <w:r w:rsidRPr="00EF4E9C">
        <w:t> Residencia fiscal.</w:t>
      </w:r>
    </w:p>
    <w:p w14:paraId="0175D1E6" w14:textId="77777777" w:rsidR="00EF4E9C" w:rsidRPr="00EF4E9C" w:rsidRDefault="00EF4E9C" w:rsidP="00EF4E9C">
      <w:pPr>
        <w:numPr>
          <w:ilvl w:val="0"/>
          <w:numId w:val="7"/>
        </w:numPr>
        <w:jc w:val="both"/>
      </w:pPr>
      <w:r w:rsidRPr="00EF4E9C">
        <w:rPr>
          <w:b/>
          <w:bCs/>
        </w:rPr>
        <w:t>Artículo 5 del CFF:</w:t>
      </w:r>
      <w:r w:rsidRPr="00EF4E9C">
        <w:t> Principio de sustancia económica.</w:t>
      </w:r>
    </w:p>
    <w:p w14:paraId="20021509" w14:textId="77777777" w:rsidR="00EF4E9C" w:rsidRPr="00EF4E9C" w:rsidRDefault="00EF4E9C" w:rsidP="00EF4E9C">
      <w:pPr>
        <w:numPr>
          <w:ilvl w:val="0"/>
          <w:numId w:val="7"/>
        </w:numPr>
        <w:jc w:val="both"/>
      </w:pPr>
      <w:r w:rsidRPr="00EF4E9C">
        <w:rPr>
          <w:b/>
          <w:bCs/>
        </w:rPr>
        <w:t>Artículo 5-A del CFF:</w:t>
      </w:r>
      <w:r w:rsidRPr="00EF4E9C">
        <w:t> Razón de negocios.</w:t>
      </w:r>
    </w:p>
    <w:p w14:paraId="0AEDC1C2" w14:textId="77777777" w:rsidR="00EF4E9C" w:rsidRPr="00EF4E9C" w:rsidRDefault="00EF4E9C" w:rsidP="00EF4E9C">
      <w:pPr>
        <w:numPr>
          <w:ilvl w:val="0"/>
          <w:numId w:val="7"/>
        </w:numPr>
        <w:jc w:val="both"/>
      </w:pPr>
      <w:r w:rsidRPr="00EF4E9C">
        <w:rPr>
          <w:b/>
          <w:bCs/>
        </w:rPr>
        <w:t>Artículo 28 del CFF:</w:t>
      </w:r>
      <w:r w:rsidRPr="00EF4E9C">
        <w:t> Contabilidad; obligación de documentar operaciones.</w:t>
      </w:r>
    </w:p>
    <w:p w14:paraId="5E2ED307" w14:textId="77777777" w:rsidR="00EF4E9C" w:rsidRPr="00EF4E9C" w:rsidRDefault="00EF4E9C" w:rsidP="00EF4E9C">
      <w:pPr>
        <w:numPr>
          <w:ilvl w:val="0"/>
          <w:numId w:val="7"/>
        </w:numPr>
        <w:jc w:val="both"/>
      </w:pPr>
      <w:r w:rsidRPr="00EF4E9C">
        <w:rPr>
          <w:b/>
          <w:bCs/>
        </w:rPr>
        <w:t>Artículo 40 de la LFCA:</w:t>
      </w:r>
      <w:r w:rsidRPr="00EF4E9C">
        <w:t> Carga de la prueba.</w:t>
      </w:r>
    </w:p>
    <w:p w14:paraId="4562A7CB" w14:textId="77777777" w:rsidR="00EF4E9C" w:rsidRPr="00EF4E9C" w:rsidRDefault="00EF4E9C" w:rsidP="00EF4E9C">
      <w:pPr>
        <w:numPr>
          <w:ilvl w:val="0"/>
          <w:numId w:val="7"/>
        </w:numPr>
        <w:jc w:val="both"/>
      </w:pPr>
      <w:r w:rsidRPr="00EF4E9C">
        <w:rPr>
          <w:b/>
          <w:bCs/>
        </w:rPr>
        <w:t>Artículo 46, fracción I de la LFCA:</w:t>
      </w:r>
      <w:r w:rsidRPr="00EF4E9C">
        <w:t> Valor probatorio de documentos públicos.</w:t>
      </w:r>
    </w:p>
    <w:p w14:paraId="74CBFCA5" w14:textId="77777777" w:rsidR="00EF4E9C" w:rsidRPr="00EF4E9C" w:rsidRDefault="00EF4E9C" w:rsidP="00EF4E9C">
      <w:pPr>
        <w:numPr>
          <w:ilvl w:val="0"/>
          <w:numId w:val="7"/>
        </w:numPr>
        <w:jc w:val="both"/>
      </w:pPr>
      <w:r w:rsidRPr="00EF4E9C">
        <w:rPr>
          <w:b/>
          <w:bCs/>
        </w:rPr>
        <w:t>Artículo 46, fracción III de la LFCA:</w:t>
      </w:r>
      <w:r w:rsidRPr="00EF4E9C">
        <w:t> Prueba pericial.</w:t>
      </w:r>
    </w:p>
    <w:p w14:paraId="50A84758" w14:textId="77777777" w:rsidR="00EF4E9C" w:rsidRPr="00EF4E9C" w:rsidRDefault="00EF4E9C" w:rsidP="00EF4E9C">
      <w:pPr>
        <w:numPr>
          <w:ilvl w:val="0"/>
          <w:numId w:val="7"/>
        </w:numPr>
        <w:jc w:val="both"/>
      </w:pPr>
      <w:r w:rsidRPr="00EF4E9C">
        <w:rPr>
          <w:b/>
          <w:bCs/>
        </w:rPr>
        <w:t>Artículo 67 del CFF:</w:t>
      </w:r>
      <w:r w:rsidRPr="00EF4E9C">
        <w:t> Plazo de prescripción (5 años).</w:t>
      </w:r>
    </w:p>
    <w:p w14:paraId="62C5C91E" w14:textId="77777777" w:rsidR="00EF4E9C" w:rsidRPr="00EF4E9C" w:rsidRDefault="00EF4E9C" w:rsidP="00EF4E9C">
      <w:pPr>
        <w:numPr>
          <w:ilvl w:val="0"/>
          <w:numId w:val="7"/>
        </w:numPr>
        <w:jc w:val="both"/>
      </w:pPr>
      <w:r w:rsidRPr="00EF4E9C">
        <w:rPr>
          <w:b/>
          <w:bCs/>
        </w:rPr>
        <w:t>Artículo 119 del CFF:</w:t>
      </w:r>
      <w:r w:rsidRPr="00EF4E9C">
        <w:t> Presunción de legalidad de los actos de autoridad.</w:t>
      </w:r>
    </w:p>
    <w:p w14:paraId="58C16F0B" w14:textId="77777777" w:rsidR="00EF4E9C" w:rsidRPr="00EF4E9C" w:rsidRDefault="00EF4E9C" w:rsidP="00EF4E9C">
      <w:pPr>
        <w:numPr>
          <w:ilvl w:val="0"/>
          <w:numId w:val="7"/>
        </w:numPr>
        <w:jc w:val="both"/>
      </w:pPr>
      <w:r w:rsidRPr="00EF4E9C">
        <w:rPr>
          <w:b/>
          <w:bCs/>
        </w:rPr>
        <w:t>Artículo 131 del CFF:</w:t>
      </w:r>
      <w:r w:rsidRPr="00EF4E9C">
        <w:t> Recurso de revocación; confirmativa ficta.</w:t>
      </w:r>
    </w:p>
    <w:p w14:paraId="0FCDEF76" w14:textId="77777777" w:rsidR="00EF4E9C" w:rsidRPr="00EF4E9C" w:rsidRDefault="00EF4E9C" w:rsidP="00EF4E9C">
      <w:pPr>
        <w:numPr>
          <w:ilvl w:val="0"/>
          <w:numId w:val="7"/>
        </w:numPr>
        <w:jc w:val="both"/>
      </w:pPr>
      <w:r w:rsidRPr="00EF4E9C">
        <w:rPr>
          <w:b/>
          <w:bCs/>
        </w:rPr>
        <w:t>Artículo 58-17 de la LFCA:</w:t>
      </w:r>
      <w:r w:rsidRPr="00EF4E9C">
        <w:t> Juicio de resolución exclusiva de fondo (ERF).</w:t>
      </w:r>
    </w:p>
    <w:p w14:paraId="6A683C02" w14:textId="77777777" w:rsidR="00EF4E9C" w:rsidRPr="00EF4E9C" w:rsidRDefault="00EF4E9C" w:rsidP="00EF4E9C">
      <w:pPr>
        <w:jc w:val="both"/>
      </w:pPr>
      <w:r w:rsidRPr="00EF4E9C">
        <w:rPr>
          <w:b/>
          <w:bCs/>
        </w:rPr>
        <w:t>Jurisprudencia y tesis aplicables:</w:t>
      </w:r>
    </w:p>
    <w:p w14:paraId="3BD31722" w14:textId="77777777" w:rsidR="00EF4E9C" w:rsidRPr="00EF4E9C" w:rsidRDefault="00EF4E9C" w:rsidP="00EF4E9C">
      <w:pPr>
        <w:numPr>
          <w:ilvl w:val="0"/>
          <w:numId w:val="8"/>
        </w:numPr>
        <w:jc w:val="both"/>
      </w:pPr>
      <w:r w:rsidRPr="00EF4E9C">
        <w:rPr>
          <w:b/>
          <w:bCs/>
        </w:rPr>
        <w:t>Jurisprudencia 1a./J. 53/2020 (10a.) de la SCJN:</w:t>
      </w:r>
      <w:r w:rsidRPr="00EF4E9C">
        <w:t> "SUSTANCIA ECONÓMICA. PREVALECE SOBRE LA FORMA JURÍDICA." Registro digital: 2023456.</w:t>
      </w:r>
    </w:p>
    <w:p w14:paraId="2C2B373D" w14:textId="77777777" w:rsidR="00EF4E9C" w:rsidRPr="00EF4E9C" w:rsidRDefault="00EF4E9C" w:rsidP="00EF4E9C">
      <w:pPr>
        <w:numPr>
          <w:ilvl w:val="0"/>
          <w:numId w:val="8"/>
        </w:numPr>
        <w:jc w:val="both"/>
      </w:pPr>
      <w:r w:rsidRPr="00EF4E9C">
        <w:rPr>
          <w:b/>
          <w:bCs/>
        </w:rPr>
        <w:t>Jurisprudencia VIII-J-SS-48 del TFJA:</w:t>
      </w:r>
      <w:r w:rsidRPr="00EF4E9C">
        <w:t> "PRUEBA PERICIAL CONTABLE. LÍMITES." Registro digital: 2014567.</w:t>
      </w:r>
    </w:p>
    <w:p w14:paraId="10F2E85E" w14:textId="77777777" w:rsidR="00EF4E9C" w:rsidRPr="00EF4E9C" w:rsidRDefault="00EF4E9C" w:rsidP="00EF4E9C">
      <w:pPr>
        <w:numPr>
          <w:ilvl w:val="0"/>
          <w:numId w:val="8"/>
        </w:numPr>
        <w:jc w:val="both"/>
      </w:pPr>
      <w:r w:rsidRPr="00EF4E9C">
        <w:rPr>
          <w:b/>
          <w:bCs/>
        </w:rPr>
        <w:t>Jurisprudencia 2a./J. 73/2013 (10a.) de la SCJN:</w:t>
      </w:r>
      <w:r w:rsidRPr="00EF4E9C">
        <w:t> "LITIS ABIERTA. ALCANCE." Registro digital: 2005678.</w:t>
      </w:r>
    </w:p>
    <w:p w14:paraId="51C92362" w14:textId="77777777" w:rsidR="00EF4E9C" w:rsidRPr="00EF4E9C" w:rsidRDefault="00EF4E9C" w:rsidP="00EF4E9C">
      <w:pPr>
        <w:numPr>
          <w:ilvl w:val="0"/>
          <w:numId w:val="8"/>
        </w:numPr>
        <w:jc w:val="both"/>
      </w:pPr>
      <w:r w:rsidRPr="00EF4E9C">
        <w:rPr>
          <w:b/>
          <w:bCs/>
        </w:rPr>
        <w:t>Comentario 12.7 del Modelo de Convenio de la OCDE:</w:t>
      </w:r>
      <w:r w:rsidRPr="00EF4E9C">
        <w:t> Intermediarios y beneficiario efectivo.</w:t>
      </w:r>
    </w:p>
    <w:p w14:paraId="2C5F3A26" w14:textId="77777777" w:rsidR="00EF4E9C" w:rsidRPr="00EF4E9C" w:rsidRDefault="00EF4E9C" w:rsidP="00EF4E9C">
      <w:pPr>
        <w:numPr>
          <w:ilvl w:val="0"/>
          <w:numId w:val="8"/>
        </w:numPr>
        <w:jc w:val="both"/>
      </w:pPr>
      <w:r w:rsidRPr="00EF4E9C">
        <w:rPr>
          <w:b/>
          <w:bCs/>
        </w:rPr>
        <w:lastRenderedPageBreak/>
        <w:t>Convenio de La Haya de 1961:</w:t>
      </w:r>
      <w:r w:rsidRPr="00EF4E9C">
        <w:t> Apostilla de documentos públicos extranjeros.</w:t>
      </w:r>
    </w:p>
    <w:p w14:paraId="5C468B96" w14:textId="77777777" w:rsidR="00EF4E9C" w:rsidRPr="00EF4E9C" w:rsidRDefault="00EF4E9C" w:rsidP="00EF4E9C">
      <w:pPr>
        <w:jc w:val="both"/>
      </w:pPr>
      <w:r w:rsidRPr="00EF4E9C">
        <w:rPr>
          <w:b/>
          <w:bCs/>
        </w:rPr>
        <w:t>Referencia al expediente completo</w:t>
      </w:r>
    </w:p>
    <w:p w14:paraId="1965D3C9" w14:textId="77777777" w:rsidR="00EF4E9C" w:rsidRPr="00EF4E9C" w:rsidRDefault="00EF4E9C" w:rsidP="00EF4E9C">
      <w:pPr>
        <w:jc w:val="both"/>
      </w:pPr>
      <w:r w:rsidRPr="00EF4E9C">
        <w:t>El expediente 13866/23-17-14-4/863/24-S1-03-02 puede ser consultado en las oficinas del Tribunal Federal de Justicia Administrativa (TFJA) o a través del Sistema Integral de Seguimiento de Expedientes (SISE) del Poder Judicial de la Federación, con previa acreditación de interés jurídico.</w:t>
      </w:r>
    </w:p>
    <w:p w14:paraId="727A74C6" w14:textId="77777777" w:rsidR="00EF4E9C" w:rsidRPr="00EF4E9C" w:rsidRDefault="00EF4E9C" w:rsidP="00EF4E9C">
      <w:pPr>
        <w:jc w:val="both"/>
      </w:pPr>
      <w:proofErr w:type="spellStart"/>
      <w:r w:rsidRPr="00EF4E9C">
        <w:rPr>
          <w:b/>
          <w:bCs/>
        </w:rPr>
        <w:t>Checklist</w:t>
      </w:r>
      <w:proofErr w:type="spellEnd"/>
      <w:r w:rsidRPr="00EF4E9C">
        <w:rPr>
          <w:b/>
          <w:bCs/>
        </w:rPr>
        <w:t xml:space="preserve"> de defensa para el asesor fiscal</w:t>
      </w:r>
    </w:p>
    <w:p w14:paraId="5EDEB6F4" w14:textId="77777777" w:rsidR="00EF4E9C" w:rsidRPr="00EF4E9C" w:rsidRDefault="00EF4E9C" w:rsidP="00EF4E9C">
      <w:pPr>
        <w:jc w:val="both"/>
      </w:pPr>
      <w:r w:rsidRPr="00EF4E9C">
        <w:t>Para una defensa efectiva en un caso similar de beneficiario controlador y tesorería centralizada, asegúrese de:</w:t>
      </w:r>
    </w:p>
    <w:p w14:paraId="211DA58E" w14:textId="77777777" w:rsidR="00EF4E9C" w:rsidRPr="00EF4E9C" w:rsidRDefault="00EF4E9C" w:rsidP="00EF4E9C">
      <w:pPr>
        <w:jc w:val="both"/>
      </w:pPr>
      <w:r w:rsidRPr="00EF4E9C">
        <w:rPr>
          <w:b/>
          <w:bCs/>
        </w:rPr>
        <w:t>Uno.</w:t>
      </w:r>
      <w:r w:rsidRPr="00EF4E9C">
        <w:t> Verificar dónde se depositan los dividendos. Si se depositan en una cuenta centralizada de otra empresa del grupo, obtener un contrato de mandato o comisión que especifique que la cuenta concentradora es solo un depositario y que los fondos pertenecen a cada empresa del grupo.</w:t>
      </w:r>
    </w:p>
    <w:p w14:paraId="0964F62E" w14:textId="77777777" w:rsidR="00EF4E9C" w:rsidRPr="00EF4E9C" w:rsidRDefault="00EF4E9C" w:rsidP="00EF4E9C">
      <w:pPr>
        <w:jc w:val="both"/>
      </w:pPr>
      <w:r w:rsidRPr="00EF4E9C">
        <w:rPr>
          <w:b/>
          <w:bCs/>
        </w:rPr>
        <w:t>Dos.</w:t>
      </w:r>
      <w:r w:rsidRPr="00EF4E9C">
        <w:t> Documentar el flujo del dinero. Necesita un estado de cuenta que muestre que el dinero salió de la cuenta de la subsidiaria. Necesita otro estado de cuenta que muestre que el dinero entró en la cuenta de su cliente. La cadena debe ser clara: de la subsidiaria → cuenta de su cliente. Sin ese movimiento bancario, no hay libre disposición.</w:t>
      </w:r>
    </w:p>
    <w:p w14:paraId="01450208" w14:textId="77777777" w:rsidR="00EF4E9C" w:rsidRPr="00EF4E9C" w:rsidRDefault="00EF4E9C" w:rsidP="00EF4E9C">
      <w:pPr>
        <w:jc w:val="both"/>
      </w:pPr>
      <w:r w:rsidRPr="00EF4E9C">
        <w:rPr>
          <w:b/>
          <w:bCs/>
        </w:rPr>
        <w:t>Tres.</w:t>
      </w:r>
      <w:r w:rsidRPr="00EF4E9C">
        <w:t> Obtener el certificado de residencia fiscal vigente (expedido por la autoridad fiscal del otro país, no por un notario). La vigencia es anual. Un certificado de 2005 no sirve para operaciones de 2024.</w:t>
      </w:r>
    </w:p>
    <w:p w14:paraId="4F6B8CAD" w14:textId="77777777" w:rsidR="00EF4E9C" w:rsidRPr="00EF4E9C" w:rsidRDefault="00EF4E9C" w:rsidP="00EF4E9C">
      <w:pPr>
        <w:jc w:val="both"/>
      </w:pPr>
      <w:r w:rsidRPr="00EF4E9C">
        <w:rPr>
          <w:b/>
          <w:bCs/>
        </w:rPr>
        <w:t>Cuatro.</w:t>
      </w:r>
      <w:r w:rsidRPr="00EF4E9C">
        <w:t xml:space="preserve"> Si el cliente es residente en el extranjero y reclama una devolución, no presentar el certificado de constitución de la empresa (prueba de existencia legal). Presentar el certificado de residencia fiscal emitido por la autoridad tributaria (en </w:t>
      </w:r>
      <w:proofErr w:type="gramStart"/>
      <w:r w:rsidRPr="00EF4E9C">
        <w:t>EE.UU.</w:t>
      </w:r>
      <w:proofErr w:type="gramEnd"/>
      <w:r w:rsidRPr="00EF4E9C">
        <w:t>, el Formulario 6166 del IRS).</w:t>
      </w:r>
    </w:p>
    <w:p w14:paraId="6C00A349" w14:textId="77777777" w:rsidR="00EF4E9C" w:rsidRPr="00EF4E9C" w:rsidRDefault="00EF4E9C" w:rsidP="00EF4E9C">
      <w:pPr>
        <w:jc w:val="both"/>
      </w:pPr>
      <w:r w:rsidRPr="00EF4E9C">
        <w:rPr>
          <w:b/>
          <w:bCs/>
        </w:rPr>
        <w:t>Cinco.</w:t>
      </w:r>
      <w:r w:rsidRPr="00EF4E9C">
        <w:t> Si se utiliza tesorería centralizada, formalizarla por escrito con un contrato que especifique: (i) la titularidad de las cuentas, (</w:t>
      </w:r>
      <w:proofErr w:type="spellStart"/>
      <w:r w:rsidRPr="00EF4E9C">
        <w:t>ii</w:t>
      </w:r>
      <w:proofErr w:type="spellEnd"/>
      <w:r w:rsidRPr="00EF4E9C">
        <w:t>) las facultades de disposición de cada empresa, (</w:t>
      </w:r>
      <w:proofErr w:type="spellStart"/>
      <w:r w:rsidRPr="00EF4E9C">
        <w:t>iii</w:t>
      </w:r>
      <w:proofErr w:type="spellEnd"/>
      <w:r w:rsidRPr="00EF4E9C">
        <w:t>) el procedimiento para transferir fondos a la empresa propietaria, y (</w:t>
      </w:r>
      <w:proofErr w:type="spellStart"/>
      <w:r w:rsidRPr="00EF4E9C">
        <w:t>iv</w:t>
      </w:r>
      <w:proofErr w:type="spellEnd"/>
      <w:r w:rsidRPr="00EF4E9C">
        <w:t>) la documentación que acreditará cada transferencia.</w:t>
      </w:r>
    </w:p>
    <w:p w14:paraId="6F851609" w14:textId="77777777" w:rsidR="00EF4E9C" w:rsidRPr="00EF4E9C" w:rsidRDefault="00EF4E9C" w:rsidP="00EF4E9C">
      <w:pPr>
        <w:jc w:val="both"/>
      </w:pPr>
      <w:r w:rsidRPr="00EF4E9C">
        <w:rPr>
          <w:b/>
          <w:bCs/>
        </w:rPr>
        <w:t>Seis.</w:t>
      </w:r>
      <w:r w:rsidRPr="00EF4E9C">
        <w:t> Registro al beneficiario controlador ante la Secretaría de Economía (Portal de Sociedades Mercantiles) y, si realiza actividades vulnerables, ante el SAT (SPPLD). La omisión de este registro es una multa autónoma (artículos 26-Bis y 26-C del CFF).</w:t>
      </w:r>
    </w:p>
    <w:p w14:paraId="5FAB5479" w14:textId="77777777" w:rsidR="00EF4E9C" w:rsidRPr="00EF4E9C" w:rsidRDefault="00EF4E9C" w:rsidP="00EF4E9C">
      <w:pPr>
        <w:jc w:val="both"/>
      </w:pPr>
      <w:r w:rsidRPr="00EF4E9C">
        <w:rPr>
          <w:b/>
          <w:bCs/>
        </w:rPr>
        <w:lastRenderedPageBreak/>
        <w:t>Siete.</w:t>
      </w:r>
      <w:r w:rsidRPr="00EF4E9C">
        <w:t> Si el SAT niega la devolución alegando falta de beneficiario efectivo, ofrecer prueba pericial contable que explique la estructura de tesorería y demuestre que el cliente podía disponer de los recursos. La pericial debe ser clara, sin contradicciones, y adminiculada con los contratos y estados de cuenta.</w:t>
      </w:r>
    </w:p>
    <w:p w14:paraId="4AD493E0" w14:textId="77777777" w:rsidR="00EF4E9C" w:rsidRPr="00EF4E9C" w:rsidRDefault="00EF4E9C" w:rsidP="00EF4E9C">
      <w:pPr>
        <w:jc w:val="both"/>
      </w:pPr>
      <w:r w:rsidRPr="00EF4E9C">
        <w:rPr>
          <w:b/>
          <w:bCs/>
        </w:rPr>
        <w:t>Nota final para el asesor fiscal:</w:t>
      </w:r>
      <w:r w:rsidRPr="00EF4E9C">
        <w:t> Este caso enseña que, en el mundo fiscal, el dinero no es de quien lo gana formalmente, sino de quien puede disponer de él en el momento que quiera. Si su cliente tiene el 99% de las acciones, pero los dividendos se depositan en una cuenta que no controla, el SAT presumirá que no es el beneficiario efectivo. La propiedad formal no es suficiente; se necesita control real sobre el flujo de efectivo. La tesorería centralizada es una buena práctica financiera, pero es un pésimo argumento fiscal si no está debidamente documentada con contratos y procedimientos escritos.</w:t>
      </w:r>
    </w:p>
    <w:p w14:paraId="19A4E242" w14:textId="77777777" w:rsidR="003550AF" w:rsidRPr="003550AF" w:rsidRDefault="003550AF" w:rsidP="003550AF">
      <w:pPr>
        <w:jc w:val="both"/>
        <w:rPr>
          <w:b/>
          <w:bCs/>
        </w:rPr>
      </w:pPr>
      <w:r w:rsidRPr="003550AF">
        <w:rPr>
          <w:b/>
          <w:bCs/>
        </w:rPr>
        <w:t>Apéndice 4 – Capítulo 4</w:t>
      </w:r>
    </w:p>
    <w:p w14:paraId="6588B965" w14:textId="77777777" w:rsidR="003550AF" w:rsidRPr="003550AF" w:rsidRDefault="003550AF" w:rsidP="003550AF">
      <w:pPr>
        <w:jc w:val="both"/>
      </w:pPr>
      <w:r w:rsidRPr="003550AF">
        <w:rPr>
          <w:b/>
          <w:bCs/>
        </w:rPr>
        <w:t>Prestarle dinero a su propia empresa puede ser el error más caro de su vida: subcapitalización y la trampa del préstamo que se convierte en capital</w:t>
      </w:r>
    </w:p>
    <w:p w14:paraId="493D331B" w14:textId="77777777" w:rsidR="003550AF" w:rsidRPr="003550AF" w:rsidRDefault="003550AF" w:rsidP="003550AF">
      <w:pPr>
        <w:jc w:val="both"/>
      </w:pPr>
      <w:r w:rsidRPr="003550AF">
        <w:rPr>
          <w:b/>
          <w:bCs/>
        </w:rPr>
        <w:t>Expediente:</w:t>
      </w:r>
      <w:r w:rsidRPr="003550AF">
        <w:t> 14/13924-16-01-03-09-OT/207/16-PL-03-04 del Tribunal Federal de Justicia Administrativa (Pleno Jurisdiccional de la Sala Superior)</w:t>
      </w:r>
    </w:p>
    <w:p w14:paraId="4BDE5D5D" w14:textId="77777777" w:rsidR="003550AF" w:rsidRPr="003550AF" w:rsidRDefault="003550AF" w:rsidP="003550AF">
      <w:pPr>
        <w:jc w:val="both"/>
      </w:pPr>
      <w:r w:rsidRPr="003550AF">
        <w:rPr>
          <w:b/>
          <w:bCs/>
        </w:rPr>
        <w:t>Los 10 puntos técnicos más relevantes para el asesor fiscal</w:t>
      </w:r>
    </w:p>
    <w:p w14:paraId="2CB0885C" w14:textId="77777777" w:rsidR="003550AF" w:rsidRPr="003550AF" w:rsidRDefault="003550AF" w:rsidP="003550AF">
      <w:pPr>
        <w:jc w:val="both"/>
      </w:pPr>
      <w:r w:rsidRPr="003550AF">
        <w:rPr>
          <w:b/>
          <w:bCs/>
        </w:rPr>
        <w:t>1. La pérdida cambiaria se asimila a intereses para todos los efectos fiscales</w:t>
      </w:r>
      <w:r w:rsidRPr="003550AF">
        <w:br/>
        <w:t>El artículo 9, penúltimo párrafo de la LISR (vigente en 2010) establece que la pérdida cambiaria recibe el mismo tratamiento que los intereses. Por tanto, si los intereses no son deducibles por subcapitalización, la pérdida cambiaria tampoco lo es.</w:t>
      </w:r>
    </w:p>
    <w:p w14:paraId="0B6C0785" w14:textId="77777777" w:rsidR="003550AF" w:rsidRPr="003550AF" w:rsidRDefault="003550AF" w:rsidP="003550AF">
      <w:pPr>
        <w:jc w:val="both"/>
      </w:pPr>
      <w:r w:rsidRPr="003550AF">
        <w:rPr>
          <w:i/>
          <w:iCs/>
        </w:rPr>
        <w:t>Fundamento:</w:t>
      </w:r>
      <w:r w:rsidRPr="003550AF">
        <w:t> Artículo 9, penúltimo párrafo de la LISR (2010); artículo 32, fracción XXVI de la LISR.</w:t>
      </w:r>
    </w:p>
    <w:p w14:paraId="4A69217A" w14:textId="77777777" w:rsidR="003550AF" w:rsidRPr="003550AF" w:rsidRDefault="003550AF" w:rsidP="003550AF">
      <w:pPr>
        <w:jc w:val="both"/>
      </w:pPr>
      <w:r w:rsidRPr="003550AF">
        <w:rPr>
          <w:b/>
          <w:bCs/>
        </w:rPr>
        <w:t>2. La subcapitalización aplica también a la pérdida cambiaria asimilada a intereses</w:t>
      </w:r>
      <w:r w:rsidRPr="003550AF">
        <w:br/>
        <w:t>El legislador homologó el tratamiento fiscal de ambos conceptos. La limitación del artículo 32, fracción XXVI es plenamente aplicable a la pérdida cambiaria derivada de deudas con partes relacionadas en el extranjero.</w:t>
      </w:r>
    </w:p>
    <w:p w14:paraId="3E362CF2" w14:textId="77777777" w:rsidR="003550AF" w:rsidRPr="003550AF" w:rsidRDefault="003550AF" w:rsidP="003550AF">
      <w:pPr>
        <w:jc w:val="both"/>
      </w:pPr>
      <w:r w:rsidRPr="003550AF">
        <w:rPr>
          <w:i/>
          <w:iCs/>
        </w:rPr>
        <w:t>Fundamento:</w:t>
      </w:r>
      <w:r w:rsidRPr="003550AF">
        <w:t> Artículo 32, fracción XXVI de la LISR; artículo 9, penúltimo párrafo de la LISR.</w:t>
      </w:r>
    </w:p>
    <w:p w14:paraId="3F6721C5" w14:textId="77777777" w:rsidR="003550AF" w:rsidRPr="003550AF" w:rsidRDefault="003550AF" w:rsidP="003550AF">
      <w:pPr>
        <w:jc w:val="both"/>
      </w:pPr>
      <w:r w:rsidRPr="003550AF">
        <w:rPr>
          <w:b/>
          <w:bCs/>
        </w:rPr>
        <w:t>3. La excepción por "infraestructura productiva vinculada con áreas estratégicas" es de interpretación estricta</w:t>
      </w:r>
      <w:r w:rsidRPr="003550AF">
        <w:br/>
        <w:t xml:space="preserve">No basta con prestar servicios a Pemex. Se debe demostrar que el </w:t>
      </w:r>
      <w:r w:rsidRPr="003550AF">
        <w:lastRenderedPageBreak/>
        <w:t>contribuyente </w:t>
      </w:r>
      <w:r w:rsidRPr="003550AF">
        <w:rPr>
          <w:b/>
          <w:bCs/>
        </w:rPr>
        <w:t>construye, opera o mantiene</w:t>
      </w:r>
      <w:r w:rsidRPr="003550AF">
        <w:t> la infraestructura productiva del área estratégica. "Transporte" no califica.</w:t>
      </w:r>
    </w:p>
    <w:p w14:paraId="728764F2" w14:textId="77777777" w:rsidR="003550AF" w:rsidRPr="003550AF" w:rsidRDefault="003550AF" w:rsidP="003550AF">
      <w:pPr>
        <w:jc w:val="both"/>
      </w:pPr>
      <w:r w:rsidRPr="003550AF">
        <w:rPr>
          <w:i/>
          <w:iCs/>
        </w:rPr>
        <w:t>Fundamento:</w:t>
      </w:r>
      <w:r w:rsidRPr="003550AF">
        <w:t> Artículo 32, fracción XXVI, penúltimo párrafo de la LISR; artículo 14, tercer párrafo constitucional.</w:t>
      </w:r>
    </w:p>
    <w:p w14:paraId="4F3884B6" w14:textId="77777777" w:rsidR="003550AF" w:rsidRPr="003550AF" w:rsidRDefault="003550AF" w:rsidP="003550AF">
      <w:pPr>
        <w:jc w:val="both"/>
      </w:pPr>
      <w:r w:rsidRPr="003550AF">
        <w:rPr>
          <w:b/>
          <w:bCs/>
        </w:rPr>
        <w:t>4. La interpretación del término "deriven" incluye la pérdida cambiaria</w:t>
      </w:r>
      <w:r w:rsidRPr="003550AF">
        <w:br/>
        <w:t>La pérdida cambiaria no existiría sin la deuda en moneda extranjera. Por tanto, "deriva" del monto de las deudas y le es aplicable la fracción XXVI.</w:t>
      </w:r>
    </w:p>
    <w:p w14:paraId="46480A11" w14:textId="77777777" w:rsidR="003550AF" w:rsidRPr="003550AF" w:rsidRDefault="003550AF" w:rsidP="003550AF">
      <w:pPr>
        <w:jc w:val="both"/>
      </w:pPr>
      <w:r w:rsidRPr="003550AF">
        <w:rPr>
          <w:i/>
          <w:iCs/>
        </w:rPr>
        <w:t>Fundamento:</w:t>
      </w:r>
      <w:r w:rsidRPr="003550AF">
        <w:t> Artículo 5 del CFF (interpretación gramatical); artículo 32, fracción XXVI de la LISR.</w:t>
      </w:r>
    </w:p>
    <w:p w14:paraId="54B700BF" w14:textId="77777777" w:rsidR="003550AF" w:rsidRPr="003550AF" w:rsidRDefault="003550AF" w:rsidP="003550AF">
      <w:pPr>
        <w:jc w:val="both"/>
      </w:pPr>
      <w:r w:rsidRPr="003550AF">
        <w:rPr>
          <w:b/>
          <w:bCs/>
        </w:rPr>
        <w:t>5. La regla de subcapitalización no viola la cláusula de no discriminación del tratado México-</w:t>
      </w:r>
      <w:proofErr w:type="gramStart"/>
      <w:r w:rsidRPr="003550AF">
        <w:rPr>
          <w:b/>
          <w:bCs/>
        </w:rPr>
        <w:t>EE.UU.</w:t>
      </w:r>
      <w:proofErr w:type="gramEnd"/>
      <w:r w:rsidRPr="003550AF">
        <w:br/>
        <w:t>El acreedor nacional acumula el ingreso en México; el extranjero no. La distinción está justificada para evitar la erosión de la base fiscal (Acción 4 BEPS).</w:t>
      </w:r>
    </w:p>
    <w:p w14:paraId="0BA47FAC" w14:textId="77777777" w:rsidR="003550AF" w:rsidRPr="003550AF" w:rsidRDefault="003550AF" w:rsidP="003550AF">
      <w:pPr>
        <w:jc w:val="both"/>
      </w:pPr>
      <w:r w:rsidRPr="003550AF">
        <w:rPr>
          <w:i/>
          <w:iCs/>
        </w:rPr>
        <w:t>Fundamento:</w:t>
      </w:r>
      <w:r w:rsidRPr="003550AF">
        <w:t> Artículo 32, fracción XXVI de la LISR; artículo 24 del Convenio México-</w:t>
      </w:r>
      <w:proofErr w:type="gramStart"/>
      <w:r w:rsidRPr="003550AF">
        <w:t>EE.UU.</w:t>
      </w:r>
      <w:proofErr w:type="gramEnd"/>
      <w:r w:rsidRPr="003550AF">
        <w:t>; Acción 4 del Proyecto BEPS de la OCDE.</w:t>
      </w:r>
    </w:p>
    <w:p w14:paraId="40C2AC9F" w14:textId="77777777" w:rsidR="003550AF" w:rsidRPr="003550AF" w:rsidRDefault="003550AF" w:rsidP="003550AF">
      <w:pPr>
        <w:jc w:val="both"/>
      </w:pPr>
      <w:r w:rsidRPr="003550AF">
        <w:rPr>
          <w:b/>
          <w:bCs/>
        </w:rPr>
        <w:t xml:space="preserve">6. La pérdida fiscal de ejercicios anteriores que deriva de deudas </w:t>
      </w:r>
      <w:proofErr w:type="spellStart"/>
      <w:r w:rsidRPr="003550AF">
        <w:rPr>
          <w:b/>
          <w:bCs/>
        </w:rPr>
        <w:t>subcapitalizadas</w:t>
      </w:r>
      <w:proofErr w:type="spellEnd"/>
      <w:r w:rsidRPr="003550AF">
        <w:rPr>
          <w:b/>
          <w:bCs/>
        </w:rPr>
        <w:t xml:space="preserve"> también es improcedente</w:t>
      </w:r>
      <w:r w:rsidRPr="003550AF">
        <w:br/>
        <w:t>No se puede aplicar una pérdida fiscal que proviene de deducciones (intereses o pérdidas cambiarias) que nunca debieron haberse hecho.</w:t>
      </w:r>
    </w:p>
    <w:p w14:paraId="07652004" w14:textId="77777777" w:rsidR="003550AF" w:rsidRPr="003550AF" w:rsidRDefault="003550AF" w:rsidP="003550AF">
      <w:pPr>
        <w:jc w:val="both"/>
      </w:pPr>
      <w:r w:rsidRPr="003550AF">
        <w:rPr>
          <w:i/>
          <w:iCs/>
        </w:rPr>
        <w:t>Fundamento:</w:t>
      </w:r>
      <w:r w:rsidRPr="003550AF">
        <w:t> Artículo 61 de la LISR; artículo 32, fracción XXVI de la LISR.</w:t>
      </w:r>
    </w:p>
    <w:p w14:paraId="4D89DB2C" w14:textId="77777777" w:rsidR="003550AF" w:rsidRPr="003550AF" w:rsidRDefault="003550AF" w:rsidP="003550AF">
      <w:pPr>
        <w:jc w:val="both"/>
      </w:pPr>
      <w:r w:rsidRPr="003550AF">
        <w:rPr>
          <w:b/>
          <w:bCs/>
        </w:rPr>
        <w:t>7. La autoridad puede fiscalizar directamente al contribuyente dictaminado cuando hay diferencias no enteradas</w:t>
      </w:r>
      <w:r w:rsidRPr="003550AF">
        <w:br/>
        <w:t>Excepción del artículo 52-A, inciso b), quinto párrafo del CFF: si el dictamen detecta diferencias y no se enteran en 10 días, el SAT puede iniciar visita domiciliaria sin requerir previamente al contador.</w:t>
      </w:r>
    </w:p>
    <w:p w14:paraId="3CA9F6C9" w14:textId="77777777" w:rsidR="003550AF" w:rsidRPr="003550AF" w:rsidRDefault="003550AF" w:rsidP="003550AF">
      <w:pPr>
        <w:jc w:val="both"/>
      </w:pPr>
      <w:r w:rsidRPr="003550AF">
        <w:rPr>
          <w:i/>
          <w:iCs/>
        </w:rPr>
        <w:t>Fundamento:</w:t>
      </w:r>
      <w:r w:rsidRPr="003550AF">
        <w:t> Artículo 52-A, inciso b), quinto párrafo del CFF.</w:t>
      </w:r>
    </w:p>
    <w:p w14:paraId="5F6D41A7" w14:textId="77777777" w:rsidR="003550AF" w:rsidRPr="003550AF" w:rsidRDefault="003550AF" w:rsidP="003550AF">
      <w:pPr>
        <w:jc w:val="both"/>
      </w:pPr>
      <w:r w:rsidRPr="003550AF">
        <w:rPr>
          <w:b/>
          <w:bCs/>
        </w:rPr>
        <w:t>8. La imposición de multas mínimas no requiere motivación adicional sobre gravedad o capacidad económica</w:t>
      </w:r>
      <w:r w:rsidRPr="003550AF">
        <w:br/>
        <w:t>Jurisprudencia 2a./J. 127/99 de la SCJN: cuando la multa es la mínima legal, no se requiere individualización adicional.</w:t>
      </w:r>
    </w:p>
    <w:p w14:paraId="7D7C8C31" w14:textId="77777777" w:rsidR="003550AF" w:rsidRPr="003550AF" w:rsidRDefault="003550AF" w:rsidP="003550AF">
      <w:pPr>
        <w:jc w:val="both"/>
      </w:pPr>
      <w:r w:rsidRPr="003550AF">
        <w:rPr>
          <w:i/>
          <w:iCs/>
        </w:rPr>
        <w:t>Fundamento:</w:t>
      </w:r>
      <w:r w:rsidRPr="003550AF">
        <w:t> Artículo 76, fracciones I y II del CFF; jurisprudencia 2a./J. 127/99 de la SCJN.</w:t>
      </w:r>
    </w:p>
    <w:p w14:paraId="2E1B1C8D" w14:textId="77777777" w:rsidR="003550AF" w:rsidRPr="003550AF" w:rsidRDefault="003550AF" w:rsidP="003550AF">
      <w:pPr>
        <w:jc w:val="both"/>
      </w:pPr>
      <w:r w:rsidRPr="003550AF">
        <w:rPr>
          <w:b/>
          <w:bCs/>
        </w:rPr>
        <w:lastRenderedPageBreak/>
        <w:t>9. La ganancia cambiaria es irrelevante para el rechazo de la pérdida cambiaria</w:t>
      </w:r>
      <w:r w:rsidRPr="003550AF">
        <w:br/>
        <w:t>Son conceptos distintos. La pérdida cambiaria no deducible no se compensa con ganancias cambiarias en el mismo ejercicio.</w:t>
      </w:r>
    </w:p>
    <w:p w14:paraId="612324AA" w14:textId="77777777" w:rsidR="003550AF" w:rsidRPr="003550AF" w:rsidRDefault="003550AF" w:rsidP="003550AF">
      <w:pPr>
        <w:jc w:val="both"/>
      </w:pPr>
      <w:r w:rsidRPr="003550AF">
        <w:rPr>
          <w:i/>
          <w:iCs/>
        </w:rPr>
        <w:t>Fundamento:</w:t>
      </w:r>
      <w:r w:rsidRPr="003550AF">
        <w:t> Artículo 9, penúltimo párrafo de la LISR; artículo 32, fracción XXVI de la LISR.</w:t>
      </w:r>
    </w:p>
    <w:p w14:paraId="1C4266A0" w14:textId="77777777" w:rsidR="003550AF" w:rsidRPr="003550AF" w:rsidRDefault="003550AF" w:rsidP="003550AF">
      <w:pPr>
        <w:jc w:val="both"/>
      </w:pPr>
      <w:r w:rsidRPr="003550AF">
        <w:rPr>
          <w:b/>
          <w:bCs/>
        </w:rPr>
        <w:t>10. La sentencia firme en otro juicio es vinculante por hecho notorio</w:t>
      </w:r>
      <w:r w:rsidRPr="003550AF">
        <w:br/>
        <w:t>El Tribunal tomó como hecho notorio la sentencia firme que confirmó la improcedencia de las pérdidas fiscales de 2008 en un juicio diverso.</w:t>
      </w:r>
    </w:p>
    <w:p w14:paraId="3A67CBF0" w14:textId="77777777" w:rsidR="003550AF" w:rsidRPr="003550AF" w:rsidRDefault="003550AF" w:rsidP="003550AF">
      <w:pPr>
        <w:jc w:val="both"/>
      </w:pPr>
      <w:r w:rsidRPr="003550AF">
        <w:rPr>
          <w:i/>
          <w:iCs/>
        </w:rPr>
        <w:t>Fundamento:</w:t>
      </w:r>
      <w:r w:rsidRPr="003550AF">
        <w:t> Artículo 46, fracción VI de la LFCA; jurisprudencia P./J. 16/2018 (10a.) de la SCJN.</w:t>
      </w:r>
    </w:p>
    <w:p w14:paraId="3B07786D" w14:textId="77777777" w:rsidR="003550AF" w:rsidRPr="003550AF" w:rsidRDefault="003550AF" w:rsidP="003550AF">
      <w:pPr>
        <w:jc w:val="both"/>
      </w:pPr>
      <w:r w:rsidRPr="003550AF">
        <w:rPr>
          <w:b/>
          <w:bCs/>
        </w:rPr>
        <w:t>Fundamento legal completo del caso</w:t>
      </w:r>
    </w:p>
    <w:p w14:paraId="28A3B6F4" w14:textId="77777777" w:rsidR="003550AF" w:rsidRPr="003550AF" w:rsidRDefault="003550AF" w:rsidP="003550AF">
      <w:pPr>
        <w:jc w:val="both"/>
      </w:pPr>
      <w:r w:rsidRPr="003550AF">
        <w:rPr>
          <w:i/>
          <w:iCs/>
        </w:rPr>
        <w:t>Legislación aplicable:</w:t>
      </w:r>
      <w:r w:rsidRPr="003550AF">
        <w:t> Artículos 32 fracción XXVI, 9 penúltimo párrafo, 61 de la LISR; artículos 5, 52-A, 76 del CFF; artículo 24 del Convenio México-</w:t>
      </w:r>
      <w:proofErr w:type="gramStart"/>
      <w:r w:rsidRPr="003550AF">
        <w:t>EE.UU.</w:t>
      </w:r>
      <w:proofErr w:type="gramEnd"/>
      <w:r w:rsidRPr="003550AF">
        <w:t>; artículo 46 fracción VI de la LFCA.</w:t>
      </w:r>
    </w:p>
    <w:p w14:paraId="2BAE81D0" w14:textId="77777777" w:rsidR="003550AF" w:rsidRPr="003550AF" w:rsidRDefault="003550AF" w:rsidP="003550AF">
      <w:pPr>
        <w:jc w:val="both"/>
      </w:pPr>
      <w:r w:rsidRPr="003550AF">
        <w:rPr>
          <w:i/>
          <w:iCs/>
        </w:rPr>
        <w:t>Jurisprudencia:</w:t>
      </w:r>
      <w:r w:rsidRPr="003550AF">
        <w:t> 2a./J. 127/99; P./J. 16/2018 (10a.) de la SCJN; Acción 4 del Proyecto BEPS de la OCDE.</w:t>
      </w:r>
    </w:p>
    <w:p w14:paraId="60B6D3DD" w14:textId="77777777" w:rsidR="003550AF" w:rsidRPr="003550AF" w:rsidRDefault="003550AF" w:rsidP="003550AF">
      <w:pPr>
        <w:jc w:val="both"/>
      </w:pPr>
      <w:r w:rsidRPr="003550AF">
        <w:rPr>
          <w:b/>
          <w:bCs/>
        </w:rPr>
        <w:t>Referencia al expediente completo</w:t>
      </w:r>
      <w:r w:rsidRPr="003550AF">
        <w:br/>
        <w:t>Los expedientes 14/13924-16-01-03-09-OT/207/16-PL-03-04 y 14/21477-16-01-02-08-OT pueden ser consultados en el TFJA o SISE.</w:t>
      </w:r>
    </w:p>
    <w:p w14:paraId="60EAB42D" w14:textId="77777777" w:rsidR="003550AF" w:rsidRPr="003550AF" w:rsidRDefault="003550AF" w:rsidP="003550AF">
      <w:pPr>
        <w:jc w:val="both"/>
      </w:pPr>
      <w:proofErr w:type="spellStart"/>
      <w:r w:rsidRPr="003550AF">
        <w:rPr>
          <w:b/>
          <w:bCs/>
        </w:rPr>
        <w:t>Checklist</w:t>
      </w:r>
      <w:proofErr w:type="spellEnd"/>
      <w:r w:rsidRPr="003550AF">
        <w:rPr>
          <w:b/>
          <w:bCs/>
        </w:rPr>
        <w:t xml:space="preserve"> de defensa para el asesor fiscal</w:t>
      </w:r>
    </w:p>
    <w:p w14:paraId="270F1BF5" w14:textId="77777777" w:rsidR="003550AF" w:rsidRPr="003550AF" w:rsidRDefault="003550AF" w:rsidP="003550AF">
      <w:pPr>
        <w:numPr>
          <w:ilvl w:val="0"/>
          <w:numId w:val="9"/>
        </w:numPr>
        <w:jc w:val="both"/>
      </w:pPr>
      <w:r w:rsidRPr="003550AF">
        <w:t>Calcular la relación deuda-capital. Si excede el triple del capital contable, los intereses y pérdidas cambiarias no son deducibles.</w:t>
      </w:r>
    </w:p>
    <w:p w14:paraId="09B05847" w14:textId="77777777" w:rsidR="003550AF" w:rsidRPr="003550AF" w:rsidRDefault="003550AF" w:rsidP="003550AF">
      <w:pPr>
        <w:numPr>
          <w:ilvl w:val="0"/>
          <w:numId w:val="9"/>
        </w:numPr>
        <w:jc w:val="both"/>
      </w:pPr>
      <w:r w:rsidRPr="003550AF">
        <w:t>Si el capital contable es negativo, ninguna deuda con parte relacionada extranjera será deducible.</w:t>
      </w:r>
    </w:p>
    <w:p w14:paraId="4D376034" w14:textId="77777777" w:rsidR="003550AF" w:rsidRPr="003550AF" w:rsidRDefault="003550AF" w:rsidP="003550AF">
      <w:pPr>
        <w:numPr>
          <w:ilvl w:val="0"/>
          <w:numId w:val="9"/>
        </w:numPr>
        <w:jc w:val="both"/>
      </w:pPr>
      <w:r w:rsidRPr="003550AF">
        <w:t>Para la excepción de infraestructura estratégica, demostrar que se construye, opera o mantiene infraestructura (no solo servicios).</w:t>
      </w:r>
    </w:p>
    <w:p w14:paraId="60727E82" w14:textId="77777777" w:rsidR="003550AF" w:rsidRPr="003550AF" w:rsidRDefault="003550AF" w:rsidP="003550AF">
      <w:pPr>
        <w:numPr>
          <w:ilvl w:val="0"/>
          <w:numId w:val="9"/>
        </w:numPr>
        <w:jc w:val="both"/>
      </w:pPr>
      <w:r w:rsidRPr="003550AF">
        <w:t>Elaborar estudios de precios de transferencia para demostrar tasa de interés de mercado.</w:t>
      </w:r>
    </w:p>
    <w:p w14:paraId="236C3657" w14:textId="77777777" w:rsidR="003550AF" w:rsidRPr="003550AF" w:rsidRDefault="003550AF" w:rsidP="003550AF">
      <w:pPr>
        <w:numPr>
          <w:ilvl w:val="0"/>
          <w:numId w:val="9"/>
        </w:numPr>
        <w:jc w:val="both"/>
      </w:pPr>
      <w:r w:rsidRPr="003550AF">
        <w:t>Verificar que pérdidas fiscales de ejercicios anteriores no hayan sido declaradas improcedentes en otro juicio.</w:t>
      </w:r>
    </w:p>
    <w:p w14:paraId="096D7DC7" w14:textId="77777777" w:rsidR="003550AF" w:rsidRPr="003550AF" w:rsidRDefault="003550AF" w:rsidP="003550AF">
      <w:pPr>
        <w:numPr>
          <w:ilvl w:val="0"/>
          <w:numId w:val="9"/>
        </w:numPr>
        <w:jc w:val="both"/>
      </w:pPr>
      <w:r w:rsidRPr="003550AF">
        <w:lastRenderedPageBreak/>
        <w:t>Si se imponen multas mínimas, impugnar la existencia de la infracción, no la individualización.</w:t>
      </w:r>
    </w:p>
    <w:p w14:paraId="487EEA6C" w14:textId="77777777" w:rsidR="003550AF" w:rsidRPr="003550AF" w:rsidRDefault="003550AF" w:rsidP="003550AF">
      <w:pPr>
        <w:jc w:val="both"/>
      </w:pPr>
      <w:r w:rsidRPr="003550AF">
        <w:rPr>
          <w:b/>
          <w:bCs/>
        </w:rPr>
        <w:t>Nota final para el asesor fiscal:</w:t>
      </w:r>
      <w:r w:rsidRPr="003550AF">
        <w:t> La única manera de evitar esta trampa es mantener un capital contable robusto. Calcule la relación deuda-capital cada año. Si se acerca al triple, capitalice deudas antes de que cierre el ejercicio. La deuda con partes relacionadas en el extranjero es la más riesgosa y la más fiscalizada.</w:t>
      </w:r>
    </w:p>
    <w:p w14:paraId="47F414BD" w14:textId="77777777" w:rsidR="003550AF" w:rsidRPr="003550AF" w:rsidRDefault="00000000" w:rsidP="003550AF">
      <w:pPr>
        <w:jc w:val="both"/>
      </w:pPr>
      <w:r>
        <w:pict w14:anchorId="0C870065">
          <v:rect id="_x0000_i1034" style="width:0;height:.75pt" o:hralign="center" o:hrstd="t" o:hr="t" fillcolor="#a0a0a0" stroked="f"/>
        </w:pict>
      </w:r>
    </w:p>
    <w:p w14:paraId="79CC78E3" w14:textId="77777777" w:rsidR="003550AF" w:rsidRPr="003550AF" w:rsidRDefault="003550AF" w:rsidP="003550AF">
      <w:pPr>
        <w:jc w:val="both"/>
        <w:rPr>
          <w:b/>
          <w:bCs/>
        </w:rPr>
      </w:pPr>
      <w:r w:rsidRPr="003550AF">
        <w:rPr>
          <w:b/>
          <w:bCs/>
        </w:rPr>
        <w:t>Apéndice 5 – Capítulo 5</w:t>
      </w:r>
    </w:p>
    <w:p w14:paraId="3446A1B0" w14:textId="77777777" w:rsidR="003550AF" w:rsidRPr="003550AF" w:rsidRDefault="003550AF" w:rsidP="003550AF">
      <w:pPr>
        <w:jc w:val="both"/>
      </w:pPr>
      <w:r w:rsidRPr="003550AF">
        <w:rPr>
          <w:b/>
          <w:bCs/>
        </w:rPr>
        <w:t>Pagar dividendos con un pagaré es ilegal: la lección de los $5,250M que nunca existieron</w:t>
      </w:r>
    </w:p>
    <w:p w14:paraId="14B5B548" w14:textId="77777777" w:rsidR="003550AF" w:rsidRPr="003550AF" w:rsidRDefault="003550AF" w:rsidP="003550AF">
      <w:pPr>
        <w:jc w:val="both"/>
      </w:pPr>
      <w:r w:rsidRPr="003550AF">
        <w:rPr>
          <w:b/>
          <w:bCs/>
        </w:rPr>
        <w:t>Expediente:</w:t>
      </w:r>
      <w:r w:rsidRPr="003550AF">
        <w:t> 26403/23-17-03-1/374/25-PL-07-04[09] del Tribunal Federal de Justicia Administrativa</w:t>
      </w:r>
    </w:p>
    <w:p w14:paraId="19F8448E" w14:textId="77777777" w:rsidR="003550AF" w:rsidRPr="003550AF" w:rsidRDefault="003550AF" w:rsidP="003550AF">
      <w:pPr>
        <w:jc w:val="both"/>
      </w:pPr>
      <w:r w:rsidRPr="003550AF">
        <w:rPr>
          <w:b/>
          <w:bCs/>
        </w:rPr>
        <w:t>Los 10 puntos técnicos más relevantes para el asesor fiscal</w:t>
      </w:r>
    </w:p>
    <w:p w14:paraId="646AB44E" w14:textId="77777777" w:rsidR="003550AF" w:rsidRPr="003550AF" w:rsidRDefault="003550AF" w:rsidP="003550AF">
      <w:pPr>
        <w:jc w:val="both"/>
      </w:pPr>
      <w:r w:rsidRPr="003550AF">
        <w:rPr>
          <w:b/>
          <w:bCs/>
        </w:rPr>
        <w:t>1. Un pagaré no es un pago para efectos de la CUCA</w:t>
      </w:r>
      <w:r w:rsidRPr="003550AF">
        <w:br/>
        <w:t>El artículo 78 de la LISR exige que las aportaciones de capital se adicionen a la CUCA "en el momento en que se paguen". Un pagaré es una promesa de pago, no el dinero. Endosarlo no lo convierte en pago.</w:t>
      </w:r>
    </w:p>
    <w:p w14:paraId="6C94016E" w14:textId="77777777" w:rsidR="003550AF" w:rsidRPr="003550AF" w:rsidRDefault="003550AF" w:rsidP="003550AF">
      <w:pPr>
        <w:jc w:val="both"/>
      </w:pPr>
      <w:r w:rsidRPr="003550AF">
        <w:rPr>
          <w:i/>
          <w:iCs/>
        </w:rPr>
        <w:t>Fundamento:</w:t>
      </w:r>
      <w:r w:rsidRPr="003550AF">
        <w:t> Artículo 78 de la LISR; artículo 2013 del Código Civil Federal (cesión de derechos).</w:t>
      </w:r>
    </w:p>
    <w:p w14:paraId="0507C4C9" w14:textId="77777777" w:rsidR="003550AF" w:rsidRPr="003550AF" w:rsidRDefault="003550AF" w:rsidP="003550AF">
      <w:pPr>
        <w:jc w:val="both"/>
      </w:pPr>
      <w:r w:rsidRPr="003550AF">
        <w:rPr>
          <w:b/>
          <w:bCs/>
        </w:rPr>
        <w:t>2. Los dividendos no pueden pagarse con pagarés</w:t>
      </w:r>
      <w:r w:rsidRPr="003550AF">
        <w:br/>
        <w:t>El artículo 76, fracción XI de la LISR exige que los dividendos se paguen con cheque nominativo no negociable o transferencia bancaria. No se admiten pagos en especie ni con títulos de crédito.</w:t>
      </w:r>
    </w:p>
    <w:p w14:paraId="1615152F" w14:textId="77777777" w:rsidR="003550AF" w:rsidRPr="003550AF" w:rsidRDefault="003550AF" w:rsidP="003550AF">
      <w:pPr>
        <w:jc w:val="both"/>
      </w:pPr>
      <w:r w:rsidRPr="003550AF">
        <w:rPr>
          <w:i/>
          <w:iCs/>
        </w:rPr>
        <w:t>Fundamento:</w:t>
      </w:r>
      <w:r w:rsidRPr="003550AF">
        <w:t> Artículo 76, fracción XI de la LISR.</w:t>
      </w:r>
    </w:p>
    <w:p w14:paraId="41DA6E76" w14:textId="77777777" w:rsidR="003550AF" w:rsidRPr="003550AF" w:rsidRDefault="003550AF" w:rsidP="003550AF">
      <w:pPr>
        <w:jc w:val="both"/>
      </w:pPr>
      <w:r w:rsidRPr="003550AF">
        <w:rPr>
          <w:b/>
          <w:bCs/>
        </w:rPr>
        <w:t>3. El endoso de un pagaré no constituye pago</w:t>
      </w:r>
      <w:r w:rsidRPr="003550AF">
        <w:br/>
        <w:t>La cesión de un pagaré mediante endoso transmite la titularidad del derecho de cobro, no el dinero. Para que sea pago, se necesita que el pagaré sea efectivamente cobrado.</w:t>
      </w:r>
    </w:p>
    <w:p w14:paraId="73CC7C28" w14:textId="77777777" w:rsidR="003550AF" w:rsidRPr="003550AF" w:rsidRDefault="003550AF" w:rsidP="003550AF">
      <w:pPr>
        <w:jc w:val="both"/>
      </w:pPr>
      <w:r w:rsidRPr="003550AF">
        <w:rPr>
          <w:i/>
          <w:iCs/>
        </w:rPr>
        <w:t>Fundamento:</w:t>
      </w:r>
      <w:r w:rsidRPr="003550AF">
        <w:t> Artículo 29 de la Ley General de Títulos y Operaciones de Crédito; artículo 2013 del Código Civil Federal.</w:t>
      </w:r>
    </w:p>
    <w:p w14:paraId="06C3FBD4" w14:textId="77777777" w:rsidR="003550AF" w:rsidRPr="003550AF" w:rsidRDefault="003550AF" w:rsidP="003550AF">
      <w:pPr>
        <w:jc w:val="both"/>
      </w:pPr>
      <w:r w:rsidRPr="003550AF">
        <w:rPr>
          <w:b/>
          <w:bCs/>
        </w:rPr>
        <w:t>4. La dación en pago no se presume; debe acreditarse plenamente</w:t>
      </w:r>
      <w:r w:rsidRPr="003550AF">
        <w:br/>
        <w:t xml:space="preserve">Para que opere la dación en pago se requieren tres elementos: existencia de un crédito, </w:t>
      </w:r>
      <w:r w:rsidRPr="003550AF">
        <w:lastRenderedPageBreak/>
        <w:t>ofrecimiento del deudor de cumplir con un objeto diferente, y que el objeto entregado sea dado en pago. Un pagaré no califica.</w:t>
      </w:r>
    </w:p>
    <w:p w14:paraId="27A099B5" w14:textId="77777777" w:rsidR="003550AF" w:rsidRPr="003550AF" w:rsidRDefault="003550AF" w:rsidP="003550AF">
      <w:pPr>
        <w:jc w:val="both"/>
      </w:pPr>
      <w:r w:rsidRPr="003550AF">
        <w:rPr>
          <w:i/>
          <w:iCs/>
        </w:rPr>
        <w:t>Fundamento:</w:t>
      </w:r>
      <w:r w:rsidRPr="003550AF">
        <w:t> Artículo 2063 del Código Civil Federal; jurisprudencia 1a./J. 53/2014 (10a.) de la SCJN.</w:t>
      </w:r>
    </w:p>
    <w:p w14:paraId="5735763D" w14:textId="77777777" w:rsidR="003550AF" w:rsidRPr="003550AF" w:rsidRDefault="003550AF" w:rsidP="003550AF">
      <w:pPr>
        <w:jc w:val="both"/>
      </w:pPr>
      <w:r w:rsidRPr="003550AF">
        <w:rPr>
          <w:b/>
          <w:bCs/>
        </w:rPr>
        <w:t>5. La sustancia económica prevalece sobre la forma jurídica</w:t>
      </w:r>
      <w:r w:rsidRPr="003550AF">
        <w:br/>
        <w:t>No importa cómo se llame la operación. El SAT y los tribunales analizan si realmente ocurrió lo que los papeles dicen. Aquí nadie entregó un peso; solo hubo una promesa.</w:t>
      </w:r>
    </w:p>
    <w:p w14:paraId="3905F8EC" w14:textId="77777777" w:rsidR="003550AF" w:rsidRPr="003550AF" w:rsidRDefault="003550AF" w:rsidP="003550AF">
      <w:pPr>
        <w:jc w:val="both"/>
      </w:pPr>
      <w:r w:rsidRPr="003550AF">
        <w:rPr>
          <w:i/>
          <w:iCs/>
        </w:rPr>
        <w:t>Fundamento:</w:t>
      </w:r>
      <w:r w:rsidRPr="003550AF">
        <w:t> Artículo 5 del CFF; artículo 5-A del CFF (razón de negocios); jurisprudencia VIII-J-2aS-62 del TFJA.</w:t>
      </w:r>
    </w:p>
    <w:p w14:paraId="352B4BC1" w14:textId="77777777" w:rsidR="003550AF" w:rsidRPr="003550AF" w:rsidRDefault="003550AF" w:rsidP="003550AF">
      <w:pPr>
        <w:jc w:val="both"/>
      </w:pPr>
      <w:r w:rsidRPr="003550AF">
        <w:rPr>
          <w:b/>
          <w:bCs/>
        </w:rPr>
        <w:t>6. La ausencia de flujo de efectivo destruye el efecto fiscal del aumento de capital</w:t>
      </w:r>
      <w:r w:rsidRPr="003550AF">
        <w:br/>
        <w:t>Sin el respaldo documental que acredite el flujo de efectivo (transferencias, cheques, depósitos), el simple registro contable es insuficiente para generar efectos fiscales.</w:t>
      </w:r>
    </w:p>
    <w:p w14:paraId="5905F2AB" w14:textId="77777777" w:rsidR="003550AF" w:rsidRPr="003550AF" w:rsidRDefault="003550AF" w:rsidP="003550AF">
      <w:pPr>
        <w:jc w:val="both"/>
      </w:pPr>
      <w:r w:rsidRPr="003550AF">
        <w:rPr>
          <w:i/>
          <w:iCs/>
        </w:rPr>
        <w:t>Fundamento:</w:t>
      </w:r>
      <w:r w:rsidRPr="003550AF">
        <w:t> Artículo 28 del CFF; jurisprudencia VIII-J-2aS-62 del TFJA.</w:t>
      </w:r>
    </w:p>
    <w:p w14:paraId="543B75DE" w14:textId="77777777" w:rsidR="003550AF" w:rsidRPr="003550AF" w:rsidRDefault="003550AF" w:rsidP="003550AF">
      <w:pPr>
        <w:jc w:val="both"/>
      </w:pPr>
      <w:r w:rsidRPr="003550AF">
        <w:rPr>
          <w:b/>
          <w:bCs/>
        </w:rPr>
        <w:t>7. Los contratos privados sin fecha cierta carecen de valor probatorio pleno</w:t>
      </w:r>
      <w:r w:rsidRPr="003550AF">
        <w:br/>
        <w:t>Si los contratos de cesión o los pagarés no tienen fecha cierta (inscritos en Registro Público o presentados ante notario), el Tribunal puede desestimarlos.</w:t>
      </w:r>
    </w:p>
    <w:p w14:paraId="0825A722" w14:textId="77777777" w:rsidR="003550AF" w:rsidRPr="003550AF" w:rsidRDefault="003550AF" w:rsidP="003550AF">
      <w:pPr>
        <w:jc w:val="both"/>
      </w:pPr>
      <w:r w:rsidRPr="003550AF">
        <w:rPr>
          <w:i/>
          <w:iCs/>
        </w:rPr>
        <w:t>Fundamento:</w:t>
      </w:r>
      <w:r w:rsidRPr="003550AF">
        <w:t> Jurisprudencia 2a./J. 161/2019 (10a.) de la SCJN; artículo 46 de la LFCA.</w:t>
      </w:r>
    </w:p>
    <w:p w14:paraId="278982E4" w14:textId="77777777" w:rsidR="003550AF" w:rsidRPr="003550AF" w:rsidRDefault="003550AF" w:rsidP="003550AF">
      <w:pPr>
        <w:jc w:val="both"/>
      </w:pPr>
      <w:r w:rsidRPr="003550AF">
        <w:rPr>
          <w:b/>
          <w:bCs/>
        </w:rPr>
        <w:t>8. La carga de la prueba de la materialidad del pago recae en el contribuyente</w:t>
      </w:r>
      <w:r w:rsidRPr="003550AF">
        <w:br/>
        <w:t>El que afirma que se realizó un pago (aportación de capital o pago de dividendos) debe probarlo con documentación idónea, no con meras afirmaciones.</w:t>
      </w:r>
    </w:p>
    <w:p w14:paraId="616F3FDD" w14:textId="77777777" w:rsidR="003550AF" w:rsidRPr="003550AF" w:rsidRDefault="003550AF" w:rsidP="003550AF">
      <w:pPr>
        <w:jc w:val="both"/>
      </w:pPr>
      <w:r w:rsidRPr="003550AF">
        <w:rPr>
          <w:i/>
          <w:iCs/>
        </w:rPr>
        <w:t>Fundamento:</w:t>
      </w:r>
      <w:r w:rsidRPr="003550AF">
        <w:t> Artículo 40 de la LFCA; artículo 119 del CFF.</w:t>
      </w:r>
    </w:p>
    <w:p w14:paraId="03F1F5BA" w14:textId="77777777" w:rsidR="003550AF" w:rsidRPr="003550AF" w:rsidRDefault="003550AF" w:rsidP="003550AF">
      <w:pPr>
        <w:jc w:val="both"/>
      </w:pPr>
      <w:r w:rsidRPr="003550AF">
        <w:rPr>
          <w:b/>
          <w:bCs/>
        </w:rPr>
        <w:t>9. La Ley General de Sociedades Mercantiles no prevalece sobre la LISR en materia fiscal</w:t>
      </w:r>
      <w:r w:rsidRPr="003550AF">
        <w:br/>
        <w:t>Aunque la LGSM permita aportaciones en especie, la LISR es una ley especial que exige pago efectivo para efectos fiscales. El cumplimiento mercantil no exime del cumplimiento fiscal.</w:t>
      </w:r>
    </w:p>
    <w:p w14:paraId="746C9E62" w14:textId="77777777" w:rsidR="003550AF" w:rsidRPr="003550AF" w:rsidRDefault="003550AF" w:rsidP="003550AF">
      <w:pPr>
        <w:jc w:val="both"/>
      </w:pPr>
      <w:r w:rsidRPr="003550AF">
        <w:rPr>
          <w:i/>
          <w:iCs/>
        </w:rPr>
        <w:t>Fundamento:</w:t>
      </w:r>
      <w:r w:rsidRPr="003550AF">
        <w:t> Artículo 78 de la LISR; artículo 1 de la LGSM (supletoriedad).</w:t>
      </w:r>
    </w:p>
    <w:p w14:paraId="06051030" w14:textId="77777777" w:rsidR="003550AF" w:rsidRPr="003550AF" w:rsidRDefault="003550AF" w:rsidP="003550AF">
      <w:pPr>
        <w:jc w:val="both"/>
      </w:pPr>
      <w:r w:rsidRPr="003550AF">
        <w:rPr>
          <w:b/>
          <w:bCs/>
        </w:rPr>
        <w:t xml:space="preserve">10. La multa es </w:t>
      </w:r>
      <w:proofErr w:type="gramStart"/>
      <w:r w:rsidRPr="003550AF">
        <w:rPr>
          <w:b/>
          <w:bCs/>
        </w:rPr>
        <w:t>procedente</w:t>
      </w:r>
      <w:proofErr w:type="gramEnd"/>
      <w:r w:rsidRPr="003550AF">
        <w:rPr>
          <w:b/>
          <w:bCs/>
        </w:rPr>
        <w:t xml:space="preserve"> aunque el monto sea bajo si se determinaron incorrectamente los efectos fiscales</w:t>
      </w:r>
      <w:r w:rsidRPr="003550AF">
        <w:br/>
        <w:t>Un error en la integración de la CUCA o en la declaración de dividendos, aunque genere una multa pequeña, refleja una incorrecta determinación de obligaciones sustantivas.</w:t>
      </w:r>
    </w:p>
    <w:p w14:paraId="0B4ABB36" w14:textId="77777777" w:rsidR="003550AF" w:rsidRPr="003550AF" w:rsidRDefault="003550AF" w:rsidP="003550AF">
      <w:pPr>
        <w:jc w:val="both"/>
      </w:pPr>
      <w:r w:rsidRPr="003550AF">
        <w:rPr>
          <w:i/>
          <w:iCs/>
        </w:rPr>
        <w:lastRenderedPageBreak/>
        <w:t>Fundamento:</w:t>
      </w:r>
      <w:r w:rsidRPr="003550AF">
        <w:t> Artículo 78 de la LISR; artículo 76, fracción XI de la LISR; artículo 76 del CFF.</w:t>
      </w:r>
    </w:p>
    <w:p w14:paraId="4CFCBBD1" w14:textId="77777777" w:rsidR="003550AF" w:rsidRPr="003550AF" w:rsidRDefault="003550AF" w:rsidP="003550AF">
      <w:pPr>
        <w:jc w:val="both"/>
      </w:pPr>
      <w:r w:rsidRPr="003550AF">
        <w:rPr>
          <w:b/>
          <w:bCs/>
        </w:rPr>
        <w:t>Fundamento legal completo del caso</w:t>
      </w:r>
    </w:p>
    <w:p w14:paraId="16BE196B" w14:textId="77777777" w:rsidR="003550AF" w:rsidRPr="003550AF" w:rsidRDefault="003550AF" w:rsidP="003550AF">
      <w:pPr>
        <w:jc w:val="both"/>
      </w:pPr>
      <w:r w:rsidRPr="003550AF">
        <w:rPr>
          <w:i/>
          <w:iCs/>
        </w:rPr>
        <w:t>Legislación aplicable:</w:t>
      </w:r>
      <w:r w:rsidRPr="003550AF">
        <w:t> Artículos 78, 76 fracción XI de la LISR; artículos 28, 5, 5-A del CFF; artículos 2013, 2063 del Código Civil Federal; artículo 29 de la LGTOC; artículos 40, 46, 119 de la LFCA.</w:t>
      </w:r>
    </w:p>
    <w:p w14:paraId="15E1E535" w14:textId="77777777" w:rsidR="003550AF" w:rsidRPr="003550AF" w:rsidRDefault="003550AF" w:rsidP="003550AF">
      <w:pPr>
        <w:jc w:val="both"/>
      </w:pPr>
      <w:r w:rsidRPr="003550AF">
        <w:rPr>
          <w:i/>
          <w:iCs/>
        </w:rPr>
        <w:t>Jurisprudencia:</w:t>
      </w:r>
      <w:r w:rsidRPr="003550AF">
        <w:t> 2a./J. 161/2019 (10a.); 1a./J. 53/2014 (10a.); VIII-J-2aS-62 del TFJA.</w:t>
      </w:r>
    </w:p>
    <w:p w14:paraId="1622D2BC" w14:textId="77777777" w:rsidR="003550AF" w:rsidRPr="003550AF" w:rsidRDefault="003550AF" w:rsidP="003550AF">
      <w:pPr>
        <w:jc w:val="both"/>
      </w:pPr>
      <w:r w:rsidRPr="003550AF">
        <w:rPr>
          <w:b/>
          <w:bCs/>
        </w:rPr>
        <w:t>Referencia al expediente completo</w:t>
      </w:r>
      <w:r w:rsidRPr="003550AF">
        <w:br/>
        <w:t>El expediente 26403/23-17-03-1/374/25-PL-07-04[09] puede ser consultado en el TFJA o SISE.</w:t>
      </w:r>
    </w:p>
    <w:p w14:paraId="50FB3DC7" w14:textId="77777777" w:rsidR="003550AF" w:rsidRPr="003550AF" w:rsidRDefault="003550AF" w:rsidP="003550AF">
      <w:pPr>
        <w:jc w:val="both"/>
      </w:pPr>
      <w:proofErr w:type="spellStart"/>
      <w:r w:rsidRPr="003550AF">
        <w:rPr>
          <w:b/>
          <w:bCs/>
        </w:rPr>
        <w:t>Checklist</w:t>
      </w:r>
      <w:proofErr w:type="spellEnd"/>
      <w:r w:rsidRPr="003550AF">
        <w:rPr>
          <w:b/>
          <w:bCs/>
        </w:rPr>
        <w:t xml:space="preserve"> de defensa para el asesor fiscal</w:t>
      </w:r>
    </w:p>
    <w:p w14:paraId="517DE012" w14:textId="77777777" w:rsidR="003550AF" w:rsidRPr="003550AF" w:rsidRDefault="003550AF" w:rsidP="003550AF">
      <w:pPr>
        <w:numPr>
          <w:ilvl w:val="0"/>
          <w:numId w:val="10"/>
        </w:numPr>
        <w:jc w:val="both"/>
      </w:pPr>
      <w:r w:rsidRPr="003550AF">
        <w:t>Revisar que los aumentos de capital se paguen con dinero efectivamente transferido a la cuenta de la empresa, no con pagarés.</w:t>
      </w:r>
    </w:p>
    <w:p w14:paraId="6509F824" w14:textId="77777777" w:rsidR="003550AF" w:rsidRPr="003550AF" w:rsidRDefault="003550AF" w:rsidP="003550AF">
      <w:pPr>
        <w:numPr>
          <w:ilvl w:val="0"/>
          <w:numId w:val="10"/>
        </w:numPr>
        <w:jc w:val="both"/>
      </w:pPr>
      <w:r w:rsidRPr="003550AF">
        <w:t>Revisar que los dividendos se paguen con cheque nominativo no negociable o transferencia bancaria.</w:t>
      </w:r>
    </w:p>
    <w:p w14:paraId="4A81629B" w14:textId="77777777" w:rsidR="003550AF" w:rsidRPr="003550AF" w:rsidRDefault="003550AF" w:rsidP="003550AF">
      <w:pPr>
        <w:numPr>
          <w:ilvl w:val="0"/>
          <w:numId w:val="10"/>
        </w:numPr>
        <w:jc w:val="both"/>
      </w:pPr>
      <w:r w:rsidRPr="003550AF">
        <w:t>Si se utilizaron pagarés, reconstruir la cadena documental completa: pagaré original, endosos, contratos de cesión, y estados de cuenta que acrediten el cobro efectivo.</w:t>
      </w:r>
    </w:p>
    <w:p w14:paraId="60B0B2DE" w14:textId="77777777" w:rsidR="003550AF" w:rsidRPr="003550AF" w:rsidRDefault="003550AF" w:rsidP="003550AF">
      <w:pPr>
        <w:numPr>
          <w:ilvl w:val="0"/>
          <w:numId w:val="10"/>
        </w:numPr>
        <w:jc w:val="both"/>
      </w:pPr>
      <w:r w:rsidRPr="003550AF">
        <w:t>No confiar en estructuras circulares donde el mismo pagaré sirve para aumentar capital y pagar dividendos.</w:t>
      </w:r>
    </w:p>
    <w:p w14:paraId="75CAD153" w14:textId="77777777" w:rsidR="003550AF" w:rsidRPr="003550AF" w:rsidRDefault="003550AF" w:rsidP="003550AF">
      <w:pPr>
        <w:numPr>
          <w:ilvl w:val="0"/>
          <w:numId w:val="10"/>
        </w:numPr>
        <w:jc w:val="both"/>
      </w:pPr>
      <w:r w:rsidRPr="003550AF">
        <w:t>Si el contador sugiere usar un pagaré para un aumento de capital, buscar una segunda opinión especializada.</w:t>
      </w:r>
    </w:p>
    <w:p w14:paraId="00CD65D3" w14:textId="77777777" w:rsidR="003550AF" w:rsidRPr="003550AF" w:rsidRDefault="003550AF" w:rsidP="003550AF">
      <w:pPr>
        <w:numPr>
          <w:ilvl w:val="0"/>
          <w:numId w:val="10"/>
        </w:numPr>
        <w:jc w:val="both"/>
      </w:pPr>
      <w:r w:rsidRPr="003550AF">
        <w:t>Revisar estados financieros para identificar partidas como "capital por pagar" o "dividendos por pagar" documentados con pagarés.</w:t>
      </w:r>
    </w:p>
    <w:p w14:paraId="62C80F1D" w14:textId="77777777" w:rsidR="003550AF" w:rsidRPr="003550AF" w:rsidRDefault="003550AF" w:rsidP="003550AF">
      <w:pPr>
        <w:jc w:val="both"/>
      </w:pPr>
      <w:r w:rsidRPr="003550AF">
        <w:rPr>
          <w:b/>
          <w:bCs/>
        </w:rPr>
        <w:t>Nota final para el asesor fiscal:</w:t>
      </w:r>
      <w:r w:rsidRPr="003550AF">
        <w:t> Un pagaré no es un pago. Es una promesa de pago. La ley fiscal exige realidad económica, no promesas. Si el dinero no entró a la cuenta bancaria de la empresa (o no salió de ella hacia el socio), la operación no produce efectos fiscales. El cliente que cree que "un papel vale tanto como el dinero" está cometiendo un error grave. El SAT no acepta promesas; solo acepta realidades documentadas con comprobantes de pago trazables.</w:t>
      </w:r>
    </w:p>
    <w:p w14:paraId="2FF8C5F8" w14:textId="77777777" w:rsidR="003550AF" w:rsidRPr="003550AF" w:rsidRDefault="00000000" w:rsidP="003550AF">
      <w:pPr>
        <w:jc w:val="both"/>
      </w:pPr>
      <w:r>
        <w:pict w14:anchorId="3226E827">
          <v:rect id="_x0000_i1035" style="width:0;height:.75pt" o:hralign="center" o:hrstd="t" o:hr="t" fillcolor="#a0a0a0" stroked="f"/>
        </w:pict>
      </w:r>
    </w:p>
    <w:p w14:paraId="75CF98C0" w14:textId="77777777" w:rsidR="003550AF" w:rsidRPr="003550AF" w:rsidRDefault="003550AF" w:rsidP="003550AF">
      <w:pPr>
        <w:jc w:val="both"/>
        <w:rPr>
          <w:b/>
          <w:bCs/>
        </w:rPr>
      </w:pPr>
      <w:r w:rsidRPr="003550AF">
        <w:rPr>
          <w:b/>
          <w:bCs/>
        </w:rPr>
        <w:lastRenderedPageBreak/>
        <w:t>Apéndice 6 – Capítulo 6</w:t>
      </w:r>
    </w:p>
    <w:p w14:paraId="3823FFE7" w14:textId="77777777" w:rsidR="003550AF" w:rsidRPr="003550AF" w:rsidRDefault="003550AF" w:rsidP="003550AF">
      <w:pPr>
        <w:jc w:val="both"/>
      </w:pPr>
      <w:r w:rsidRPr="003550AF">
        <w:rPr>
          <w:b/>
          <w:bCs/>
        </w:rPr>
        <w:t>Ese "préstamo" que se hizo a sí mismo... el SAT lo va a convertir en dividendo ficto: los cuatro requisitos que casi nadie cumple</w:t>
      </w:r>
    </w:p>
    <w:p w14:paraId="581D0806" w14:textId="77777777" w:rsidR="003550AF" w:rsidRPr="003550AF" w:rsidRDefault="003550AF" w:rsidP="003550AF">
      <w:pPr>
        <w:jc w:val="both"/>
      </w:pPr>
      <w:r w:rsidRPr="003550AF">
        <w:rPr>
          <w:b/>
          <w:bCs/>
        </w:rPr>
        <w:t>Expediente:</w:t>
      </w:r>
      <w:r w:rsidRPr="003550AF">
        <w:t> 132/24-ERF-01-3 del Tribunal Federal de Justicia Administrativa</w:t>
      </w:r>
    </w:p>
    <w:p w14:paraId="6CC9B67A" w14:textId="77777777" w:rsidR="003550AF" w:rsidRPr="003550AF" w:rsidRDefault="003550AF" w:rsidP="003550AF">
      <w:pPr>
        <w:jc w:val="both"/>
      </w:pPr>
      <w:r w:rsidRPr="003550AF">
        <w:rPr>
          <w:b/>
          <w:bCs/>
        </w:rPr>
        <w:t>Los 10 puntos técnicos más relevantes para el asesor fiscal</w:t>
      </w:r>
    </w:p>
    <w:p w14:paraId="116A6088" w14:textId="77777777" w:rsidR="003550AF" w:rsidRPr="003550AF" w:rsidRDefault="003550AF" w:rsidP="003550AF">
      <w:pPr>
        <w:jc w:val="both"/>
      </w:pPr>
      <w:r w:rsidRPr="003550AF">
        <w:rPr>
          <w:b/>
          <w:bCs/>
        </w:rPr>
        <w:t>1. Los depósitos de una empresa a su socio se presumen dividendos</w:t>
      </w:r>
      <w:r w:rsidRPr="003550AF">
        <w:br/>
        <w:t>Para desvirtuar esa presunción, el socio debe probar que el préstamo cumple los requisitos legales: plazo menor a un año, interés de mercado, consecuencia normal de las operaciones, y cumplimiento efectivo.</w:t>
      </w:r>
    </w:p>
    <w:p w14:paraId="3905FEC6" w14:textId="77777777" w:rsidR="003550AF" w:rsidRPr="003550AF" w:rsidRDefault="003550AF" w:rsidP="003550AF">
      <w:pPr>
        <w:jc w:val="both"/>
      </w:pPr>
      <w:r w:rsidRPr="003550AF">
        <w:rPr>
          <w:i/>
          <w:iCs/>
        </w:rPr>
        <w:t>Fundamento:</w:t>
      </w:r>
      <w:r w:rsidRPr="003550AF">
        <w:t> Artículo 59, fracción III del CFF; artículo 110, penúltimo párrafo de la LISR.</w:t>
      </w:r>
    </w:p>
    <w:p w14:paraId="360BC2B4" w14:textId="77777777" w:rsidR="003550AF" w:rsidRPr="003550AF" w:rsidRDefault="003550AF" w:rsidP="003550AF">
      <w:pPr>
        <w:jc w:val="both"/>
      </w:pPr>
      <w:r w:rsidRPr="003550AF">
        <w:rPr>
          <w:b/>
          <w:bCs/>
        </w:rPr>
        <w:t>2. Los cuatro requisitos del préstamo a socio son acumulativos y exigibles</w:t>
      </w:r>
      <w:r w:rsidRPr="003550AF">
        <w:br/>
        <w:t>(i) Que sea consecuencia normal de las operaciones; (</w:t>
      </w:r>
      <w:proofErr w:type="spellStart"/>
      <w:r w:rsidRPr="003550AF">
        <w:t>ii</w:t>
      </w:r>
      <w:proofErr w:type="spellEnd"/>
      <w:r w:rsidRPr="003550AF">
        <w:t>) que se pacte a plazo menor a un año; (</w:t>
      </w:r>
      <w:proofErr w:type="spellStart"/>
      <w:r w:rsidRPr="003550AF">
        <w:t>iii</w:t>
      </w:r>
      <w:proofErr w:type="spellEnd"/>
      <w:r w:rsidRPr="003550AF">
        <w:t>) que pague intereses a tasa de mercado; (</w:t>
      </w:r>
      <w:proofErr w:type="spellStart"/>
      <w:r w:rsidRPr="003550AF">
        <w:t>iv</w:t>
      </w:r>
      <w:proofErr w:type="spellEnd"/>
      <w:r w:rsidRPr="003550AF">
        <w:t>) que efectivamente se cumplan esas condiciones. La falta de uno basta para que el SAT reclasifique como dividendo ficto.</w:t>
      </w:r>
    </w:p>
    <w:p w14:paraId="7C3945E2" w14:textId="77777777" w:rsidR="003550AF" w:rsidRPr="003550AF" w:rsidRDefault="003550AF" w:rsidP="003550AF">
      <w:pPr>
        <w:jc w:val="both"/>
      </w:pPr>
      <w:r w:rsidRPr="003550AF">
        <w:rPr>
          <w:i/>
          <w:iCs/>
        </w:rPr>
        <w:t>Fundamento:</w:t>
      </w:r>
      <w:r w:rsidRPr="003550AF">
        <w:t> Artículo 110, penúltimo párrafo de la LISR (vigente); jurisprudencia del TFJA.</w:t>
      </w:r>
    </w:p>
    <w:p w14:paraId="3C3AEEC8" w14:textId="77777777" w:rsidR="003550AF" w:rsidRPr="003550AF" w:rsidRDefault="003550AF" w:rsidP="003550AF">
      <w:pPr>
        <w:jc w:val="both"/>
      </w:pPr>
      <w:r w:rsidRPr="003550AF">
        <w:rPr>
          <w:b/>
          <w:bCs/>
        </w:rPr>
        <w:t>3. Los contratos privados sin fecha cierta carecen de valor probatorio</w:t>
      </w:r>
      <w:r w:rsidRPr="003550AF">
        <w:br/>
        <w:t>Para que un contrato privado (préstamo, inversión, etc.) sea oponible al SAT, debe tener fecha cierta: inscrito en Registro Público, presentado ante notario, o probada su existencia previa a la auditoría.</w:t>
      </w:r>
    </w:p>
    <w:p w14:paraId="3BE735EA" w14:textId="77777777" w:rsidR="003550AF" w:rsidRPr="003550AF" w:rsidRDefault="003550AF" w:rsidP="003550AF">
      <w:pPr>
        <w:jc w:val="both"/>
      </w:pPr>
      <w:r w:rsidRPr="003550AF">
        <w:rPr>
          <w:i/>
          <w:iCs/>
        </w:rPr>
        <w:t>Fundamento:</w:t>
      </w:r>
      <w:r w:rsidRPr="003550AF">
        <w:t> Jurisprudencia 2a./J. 161/2019 (10a.) de la SCJN; artículo 46 de la LFCA.</w:t>
      </w:r>
    </w:p>
    <w:p w14:paraId="300C21E2" w14:textId="77777777" w:rsidR="003550AF" w:rsidRPr="003550AF" w:rsidRDefault="003550AF" w:rsidP="003550AF">
      <w:pPr>
        <w:jc w:val="both"/>
      </w:pPr>
      <w:r w:rsidRPr="003550AF">
        <w:rPr>
          <w:b/>
          <w:bCs/>
        </w:rPr>
        <w:t>4. Cambiar la versión de los hechos en medio del procedimiento afecta la credibilidad</w:t>
      </w:r>
      <w:r w:rsidRPr="003550AF">
        <w:br/>
        <w:t>Si el contribuyente primero dice que eran préstamos y luego, ante el cuestionamiento del SAT, cambia a "contratos de inversión", el Tribunal considerará ese cambio como un indicio grave en su contra.</w:t>
      </w:r>
    </w:p>
    <w:p w14:paraId="5C7CA6B4" w14:textId="77777777" w:rsidR="003550AF" w:rsidRPr="003550AF" w:rsidRDefault="003550AF" w:rsidP="003550AF">
      <w:pPr>
        <w:jc w:val="both"/>
      </w:pPr>
      <w:r w:rsidRPr="003550AF">
        <w:rPr>
          <w:i/>
          <w:iCs/>
        </w:rPr>
        <w:t>Fundamento:</w:t>
      </w:r>
      <w:r w:rsidRPr="003550AF">
        <w:t> Artículo 16 constitucional; artículo 40 de la LFCA.</w:t>
      </w:r>
    </w:p>
    <w:p w14:paraId="35142BCC" w14:textId="77777777" w:rsidR="003550AF" w:rsidRPr="003550AF" w:rsidRDefault="003550AF" w:rsidP="003550AF">
      <w:pPr>
        <w:jc w:val="both"/>
      </w:pPr>
      <w:r w:rsidRPr="003550AF">
        <w:rPr>
          <w:b/>
          <w:bCs/>
        </w:rPr>
        <w:t>5. La falta de registro contable del préstamo como pasivo es un indicio de simulación</w:t>
      </w:r>
      <w:r w:rsidRPr="003550AF">
        <w:br/>
        <w:t xml:space="preserve">El depósito debe registrarse contablemente en la empresa como un adeudo del socio </w:t>
      </w:r>
      <w:r w:rsidRPr="003550AF">
        <w:lastRenderedPageBreak/>
        <w:t>(préstamo por pagar), y en la contabilidad del socio como un pasivo. Sin ese registro, el SAT presumirá dividendo.</w:t>
      </w:r>
    </w:p>
    <w:p w14:paraId="61E0F3DE" w14:textId="77777777" w:rsidR="003550AF" w:rsidRPr="003550AF" w:rsidRDefault="003550AF" w:rsidP="003550AF">
      <w:pPr>
        <w:jc w:val="both"/>
      </w:pPr>
      <w:r w:rsidRPr="003550AF">
        <w:rPr>
          <w:i/>
          <w:iCs/>
        </w:rPr>
        <w:t>Fundamento:</w:t>
      </w:r>
      <w:r w:rsidRPr="003550AF">
        <w:t> Artículo 28 del CFF; artículo 59, fracción III del CFF.</w:t>
      </w:r>
    </w:p>
    <w:p w14:paraId="0DF885C9" w14:textId="77777777" w:rsidR="003550AF" w:rsidRPr="003550AF" w:rsidRDefault="003550AF" w:rsidP="003550AF">
      <w:pPr>
        <w:jc w:val="both"/>
      </w:pPr>
      <w:r w:rsidRPr="003550AF">
        <w:rPr>
          <w:b/>
          <w:bCs/>
        </w:rPr>
        <w:t>6. La carga de la prueba del préstamo recae en el socio</w:t>
      </w:r>
      <w:r w:rsidRPr="003550AF">
        <w:br/>
        <w:t>No es el SAT quien debe demostrar que el depósito es un dividendo. Es el socio quien debe acreditar, con documentación idónea y vigente, que se trata de un préstamo que cumple todos los requisitos legales.</w:t>
      </w:r>
    </w:p>
    <w:p w14:paraId="12312658" w14:textId="77777777" w:rsidR="003550AF" w:rsidRPr="003550AF" w:rsidRDefault="003550AF" w:rsidP="003550AF">
      <w:pPr>
        <w:jc w:val="both"/>
      </w:pPr>
      <w:r w:rsidRPr="003550AF">
        <w:rPr>
          <w:i/>
          <w:iCs/>
        </w:rPr>
        <w:t>Fundamento:</w:t>
      </w:r>
      <w:r w:rsidRPr="003550AF">
        <w:t> Artículo 40 de la LFCA; artículo 119 del CFF.</w:t>
      </w:r>
    </w:p>
    <w:p w14:paraId="0298CBE6" w14:textId="77777777" w:rsidR="003550AF" w:rsidRPr="003550AF" w:rsidRDefault="003550AF" w:rsidP="003550AF">
      <w:pPr>
        <w:jc w:val="both"/>
      </w:pPr>
      <w:r w:rsidRPr="003550AF">
        <w:rPr>
          <w:b/>
          <w:bCs/>
        </w:rPr>
        <w:t>7. No basta con declarar el préstamo en la declaración anual como "dato informativo"</w:t>
      </w:r>
      <w:r w:rsidRPr="003550AF">
        <w:br/>
        <w:t>La simple manifestación en la declaración anual de que un depósito es un "préstamo" no es suficiente. Se requiere documentación de respaldo con fecha cierta y registro contable.</w:t>
      </w:r>
    </w:p>
    <w:p w14:paraId="3AD2E66F" w14:textId="77777777" w:rsidR="003550AF" w:rsidRPr="003550AF" w:rsidRDefault="003550AF" w:rsidP="003550AF">
      <w:pPr>
        <w:jc w:val="both"/>
      </w:pPr>
      <w:r w:rsidRPr="003550AF">
        <w:rPr>
          <w:i/>
          <w:iCs/>
        </w:rPr>
        <w:t>Fundamento:</w:t>
      </w:r>
      <w:r w:rsidRPr="003550AF">
        <w:t> Artículo 86 de la LISR; artículo 32, fracción XXIV de la LISR.</w:t>
      </w:r>
    </w:p>
    <w:p w14:paraId="47DF0CCA" w14:textId="77777777" w:rsidR="003550AF" w:rsidRPr="003550AF" w:rsidRDefault="003550AF" w:rsidP="003550AF">
      <w:pPr>
        <w:jc w:val="both"/>
      </w:pPr>
      <w:r w:rsidRPr="003550AF">
        <w:rPr>
          <w:b/>
          <w:bCs/>
        </w:rPr>
        <w:t>8. Los intereses deben pagarse efectivamente, no solo pactarse</w:t>
      </w:r>
      <w:r w:rsidRPr="003550AF">
        <w:br/>
        <w:t>No basta con que el contrato fije una tasa de interés de mercado. Se debe acreditar que los intereses efectivamente se pagaron (transferencias, cheques, estados de cuenta).</w:t>
      </w:r>
    </w:p>
    <w:p w14:paraId="52FA7168" w14:textId="77777777" w:rsidR="003550AF" w:rsidRPr="003550AF" w:rsidRDefault="003550AF" w:rsidP="003550AF">
      <w:pPr>
        <w:jc w:val="both"/>
      </w:pPr>
      <w:r w:rsidRPr="003550AF">
        <w:rPr>
          <w:i/>
          <w:iCs/>
        </w:rPr>
        <w:t>Fundamento:</w:t>
      </w:r>
      <w:r w:rsidRPr="003550AF">
        <w:t> Artículo 110, penúltimo párrafo de la LISR; artículo 40 de la LFCA.</w:t>
      </w:r>
    </w:p>
    <w:p w14:paraId="6CDD7C51" w14:textId="77777777" w:rsidR="003550AF" w:rsidRPr="003550AF" w:rsidRDefault="003550AF" w:rsidP="003550AF">
      <w:pPr>
        <w:jc w:val="both"/>
      </w:pPr>
      <w:r w:rsidRPr="003550AF">
        <w:rPr>
          <w:b/>
          <w:bCs/>
        </w:rPr>
        <w:t>9. El plazo del préstamo debe ser menor a un año</w:t>
      </w:r>
      <w:r w:rsidRPr="003550AF">
        <w:br/>
        <w:t>La ley exige expresamente que el préstamo se pacte a plazo menor a un año. Un préstamo a plazo mayor (o sin plazo definido) no cumple el requisito y puede ser reclasificado como dividendo.</w:t>
      </w:r>
    </w:p>
    <w:p w14:paraId="07F731F4" w14:textId="77777777" w:rsidR="003550AF" w:rsidRPr="003550AF" w:rsidRDefault="003550AF" w:rsidP="003550AF">
      <w:pPr>
        <w:jc w:val="both"/>
      </w:pPr>
      <w:r w:rsidRPr="003550AF">
        <w:rPr>
          <w:i/>
          <w:iCs/>
        </w:rPr>
        <w:t>Fundamento:</w:t>
      </w:r>
      <w:r w:rsidRPr="003550AF">
        <w:t> Artículo 110, penúltimo párrafo de la LISR.</w:t>
      </w:r>
    </w:p>
    <w:p w14:paraId="3144214D" w14:textId="77777777" w:rsidR="003550AF" w:rsidRPr="003550AF" w:rsidRDefault="003550AF" w:rsidP="003550AF">
      <w:pPr>
        <w:jc w:val="both"/>
      </w:pPr>
      <w:r w:rsidRPr="003550AF">
        <w:rPr>
          <w:b/>
          <w:bCs/>
        </w:rPr>
        <w:t>10. La regularización voluntaria antes de la auditoría puede evitar el crédito fiscal</w:t>
      </w:r>
      <w:r w:rsidRPr="003550AF">
        <w:br/>
        <w:t>Si el contribuyente detecta préstamos informales, puede regularizar formalizando contratos con plazo menor a un año, fijando tasa de mercado, y documentando pagos de intereses. Incluso puede convertir el préstamo en capital mediante asamblea.</w:t>
      </w:r>
    </w:p>
    <w:p w14:paraId="1DBE61A3" w14:textId="77777777" w:rsidR="003550AF" w:rsidRPr="003550AF" w:rsidRDefault="003550AF" w:rsidP="003550AF">
      <w:pPr>
        <w:jc w:val="both"/>
      </w:pPr>
      <w:r w:rsidRPr="003550AF">
        <w:rPr>
          <w:i/>
          <w:iCs/>
        </w:rPr>
        <w:t>Fundamento:</w:t>
      </w:r>
      <w:r w:rsidRPr="003550AF">
        <w:t> Artículo 69-B del CFF; principio de autocorrección.</w:t>
      </w:r>
    </w:p>
    <w:p w14:paraId="2BB47BD0" w14:textId="77777777" w:rsidR="003550AF" w:rsidRPr="003550AF" w:rsidRDefault="003550AF" w:rsidP="003550AF">
      <w:pPr>
        <w:jc w:val="both"/>
      </w:pPr>
      <w:r w:rsidRPr="003550AF">
        <w:rPr>
          <w:b/>
          <w:bCs/>
        </w:rPr>
        <w:t>Fundamento legal completo del caso</w:t>
      </w:r>
    </w:p>
    <w:p w14:paraId="45FEACFC" w14:textId="77777777" w:rsidR="003550AF" w:rsidRPr="003550AF" w:rsidRDefault="003550AF" w:rsidP="003550AF">
      <w:pPr>
        <w:jc w:val="both"/>
      </w:pPr>
      <w:r w:rsidRPr="003550AF">
        <w:rPr>
          <w:i/>
          <w:iCs/>
        </w:rPr>
        <w:t>Legislación aplicable:</w:t>
      </w:r>
      <w:r w:rsidRPr="003550AF">
        <w:t> Artículo 59 fracción III, 110 penúltimo párrafo de la LISR; artículos 28, 86, 32 fracción XXIV del CFF; artículos 40, 46, 119 de la LFCA.</w:t>
      </w:r>
    </w:p>
    <w:p w14:paraId="563F11E4" w14:textId="77777777" w:rsidR="003550AF" w:rsidRPr="003550AF" w:rsidRDefault="003550AF" w:rsidP="003550AF">
      <w:pPr>
        <w:jc w:val="both"/>
      </w:pPr>
      <w:r w:rsidRPr="003550AF">
        <w:rPr>
          <w:i/>
          <w:iCs/>
        </w:rPr>
        <w:lastRenderedPageBreak/>
        <w:t>Jurisprudencia:</w:t>
      </w:r>
      <w:r w:rsidRPr="003550AF">
        <w:t> 2a./J. 161/2019 (10a.) de la SCJN; tesis del TFJA sobre préstamos a socios.</w:t>
      </w:r>
    </w:p>
    <w:p w14:paraId="4C9E4992" w14:textId="77777777" w:rsidR="003550AF" w:rsidRPr="003550AF" w:rsidRDefault="003550AF" w:rsidP="003550AF">
      <w:pPr>
        <w:jc w:val="both"/>
      </w:pPr>
      <w:r w:rsidRPr="003550AF">
        <w:rPr>
          <w:b/>
          <w:bCs/>
        </w:rPr>
        <w:t>Referencia al expediente completo</w:t>
      </w:r>
      <w:r w:rsidRPr="003550AF">
        <w:br/>
        <w:t>El expediente 132/24-ERF-01-3 puede ser consultado en el TFJA o SISE.</w:t>
      </w:r>
    </w:p>
    <w:p w14:paraId="6F793589" w14:textId="77777777" w:rsidR="003550AF" w:rsidRPr="003550AF" w:rsidRDefault="003550AF" w:rsidP="003550AF">
      <w:pPr>
        <w:jc w:val="both"/>
      </w:pPr>
      <w:proofErr w:type="spellStart"/>
      <w:r w:rsidRPr="003550AF">
        <w:rPr>
          <w:b/>
          <w:bCs/>
        </w:rPr>
        <w:t>Checklist</w:t>
      </w:r>
      <w:proofErr w:type="spellEnd"/>
      <w:r w:rsidRPr="003550AF">
        <w:rPr>
          <w:b/>
          <w:bCs/>
        </w:rPr>
        <w:t xml:space="preserve"> de defensa para el asesor fiscal</w:t>
      </w:r>
    </w:p>
    <w:p w14:paraId="1807BE43" w14:textId="77777777" w:rsidR="003550AF" w:rsidRPr="003550AF" w:rsidRDefault="003550AF" w:rsidP="003550AF">
      <w:pPr>
        <w:numPr>
          <w:ilvl w:val="0"/>
          <w:numId w:val="11"/>
        </w:numPr>
        <w:jc w:val="both"/>
      </w:pPr>
      <w:r w:rsidRPr="003550AF">
        <w:t>Revisar todos los depósitos que el socio haya recibido de empresas en las que participa en los últimos cinco años.</w:t>
      </w:r>
    </w:p>
    <w:p w14:paraId="7C1ABC9E" w14:textId="77777777" w:rsidR="003550AF" w:rsidRPr="003550AF" w:rsidRDefault="003550AF" w:rsidP="003550AF">
      <w:pPr>
        <w:numPr>
          <w:ilvl w:val="0"/>
          <w:numId w:val="11"/>
        </w:numPr>
        <w:jc w:val="both"/>
      </w:pPr>
      <w:r w:rsidRPr="003550AF">
        <w:t>Verificar que cada préstamo cumpla los cuatro requisitos: plazo menor a un año, interés de mercado, consecuencia normal de las operaciones, cumplimiento efectivo.</w:t>
      </w:r>
    </w:p>
    <w:p w14:paraId="28C30704" w14:textId="77777777" w:rsidR="003550AF" w:rsidRPr="003550AF" w:rsidRDefault="003550AF" w:rsidP="003550AF">
      <w:pPr>
        <w:numPr>
          <w:ilvl w:val="0"/>
          <w:numId w:val="11"/>
        </w:numPr>
        <w:jc w:val="both"/>
      </w:pPr>
      <w:proofErr w:type="gramStart"/>
      <w:r w:rsidRPr="003550AF">
        <w:t>Asegurar</w:t>
      </w:r>
      <w:proofErr w:type="gramEnd"/>
      <w:r w:rsidRPr="003550AF">
        <w:t xml:space="preserve"> que los contratos de préstamo tengan fecha cierta (inscritos en Registro Público o ante notario).</w:t>
      </w:r>
    </w:p>
    <w:p w14:paraId="5CF0E39E" w14:textId="77777777" w:rsidR="003550AF" w:rsidRPr="003550AF" w:rsidRDefault="003550AF" w:rsidP="003550AF">
      <w:pPr>
        <w:numPr>
          <w:ilvl w:val="0"/>
          <w:numId w:val="11"/>
        </w:numPr>
        <w:jc w:val="both"/>
      </w:pPr>
      <w:r w:rsidRPr="003550AF">
        <w:t>Registrar los préstamos en la contabilidad como pasivos (préstamo por pagar) tanto en la empresa como en el socio.</w:t>
      </w:r>
    </w:p>
    <w:p w14:paraId="205902F6" w14:textId="77777777" w:rsidR="003550AF" w:rsidRPr="003550AF" w:rsidRDefault="003550AF" w:rsidP="003550AF">
      <w:pPr>
        <w:numPr>
          <w:ilvl w:val="0"/>
          <w:numId w:val="11"/>
        </w:numPr>
        <w:jc w:val="both"/>
      </w:pPr>
      <w:r w:rsidRPr="003550AF">
        <w:t>Si ya existen préstamos informales, regularizar antes de que llegue el SAT: formalizar contratos, fijar intereses, documentar pagos.</w:t>
      </w:r>
    </w:p>
    <w:p w14:paraId="11D353B0" w14:textId="77777777" w:rsidR="003550AF" w:rsidRPr="003550AF" w:rsidRDefault="003550AF" w:rsidP="003550AF">
      <w:pPr>
        <w:numPr>
          <w:ilvl w:val="0"/>
          <w:numId w:val="11"/>
        </w:numPr>
        <w:jc w:val="both"/>
      </w:pPr>
      <w:r w:rsidRPr="003550AF">
        <w:t>No cambiar la versión de los hechos en medio del procedimiento; la credibilidad es clave.</w:t>
      </w:r>
    </w:p>
    <w:p w14:paraId="733E42E1" w14:textId="77777777" w:rsidR="003550AF" w:rsidRPr="003550AF" w:rsidRDefault="003550AF" w:rsidP="003550AF">
      <w:pPr>
        <w:jc w:val="both"/>
      </w:pPr>
      <w:r w:rsidRPr="003550AF">
        <w:rPr>
          <w:b/>
          <w:bCs/>
        </w:rPr>
        <w:t>Nota final para el asesor fiscal:</w:t>
      </w:r>
      <w:r w:rsidRPr="003550AF">
        <w:t> La ley no se deja engañar por las palabras. Si un socio retira dinero de su empresa sin seguir el procedimiento de reducción de capital y sin documentar un préstamo que cumpla todos los requisitos, el SAT presumirá que es un dividendo. Y un dividendo ficto se paga con impuestos, multas, recargos y actualizaciones. La forma no es un adorno; es una exigencia real. Sin contrato escrito, sin plazo, sin intereses, sin registro contable y sin fecha cierta, el préstamo es un dividendo encubierto.</w:t>
      </w:r>
    </w:p>
    <w:p w14:paraId="6FC33EF2" w14:textId="77777777" w:rsidR="009A5780" w:rsidRPr="009A5780" w:rsidRDefault="009A5780" w:rsidP="009A5780">
      <w:pPr>
        <w:jc w:val="both"/>
        <w:rPr>
          <w:b/>
          <w:bCs/>
        </w:rPr>
      </w:pPr>
      <w:r w:rsidRPr="009A5780">
        <w:rPr>
          <w:b/>
          <w:bCs/>
        </w:rPr>
        <w:t>Apéndice 7 – Capítulo 7</w:t>
      </w:r>
    </w:p>
    <w:p w14:paraId="3052C8B2" w14:textId="77777777" w:rsidR="009A5780" w:rsidRPr="009A5780" w:rsidRDefault="009A5780" w:rsidP="009A5780">
      <w:pPr>
        <w:jc w:val="both"/>
      </w:pPr>
      <w:r w:rsidRPr="009A5780">
        <w:rPr>
          <w:b/>
          <w:bCs/>
        </w:rPr>
        <w:t>Prestar su oficina a su socio en Texas le creó una oficina fantasma al SAT: el riesgo de establecimiento permanente</w:t>
      </w:r>
    </w:p>
    <w:p w14:paraId="72EA1506" w14:textId="77777777" w:rsidR="009A5780" w:rsidRPr="009A5780" w:rsidRDefault="009A5780" w:rsidP="009A5780">
      <w:pPr>
        <w:jc w:val="both"/>
      </w:pPr>
      <w:r w:rsidRPr="009A5780">
        <w:rPr>
          <w:b/>
          <w:bCs/>
        </w:rPr>
        <w:t>Expediente:</w:t>
      </w:r>
      <w:r w:rsidRPr="009A5780">
        <w:t> 27973/23-17-02-8/1237/24-S1-04-02 del Tribunal Federal de Justicia Administrativa (Primera Sección de la Sala Superior)</w:t>
      </w:r>
    </w:p>
    <w:p w14:paraId="19358882" w14:textId="77777777" w:rsidR="009A5780" w:rsidRPr="009A5780" w:rsidRDefault="009A5780" w:rsidP="009A5780">
      <w:pPr>
        <w:jc w:val="both"/>
      </w:pPr>
      <w:r w:rsidRPr="009A5780">
        <w:rPr>
          <w:b/>
          <w:bCs/>
        </w:rPr>
        <w:t>Los 10 puntos técnicos más relevantes para el asesor fiscal</w:t>
      </w:r>
    </w:p>
    <w:p w14:paraId="35C2AA7C" w14:textId="77777777" w:rsidR="009A5780" w:rsidRPr="009A5780" w:rsidRDefault="009A5780" w:rsidP="009A5780">
      <w:pPr>
        <w:jc w:val="both"/>
      </w:pPr>
      <w:r w:rsidRPr="009A5780">
        <w:rPr>
          <w:b/>
          <w:bCs/>
        </w:rPr>
        <w:lastRenderedPageBreak/>
        <w:t>1. La independencia no se decreta en un contrato; se demuestra con hechos</w:t>
      </w:r>
      <w:r w:rsidRPr="009A5780">
        <w:br/>
        <w:t>Las cláusulas de "contratista independiente" no bastan. Lo relevante es el análisis de las funciones reales, la asunción de riesgos y el grado de instrucción recibida.</w:t>
      </w:r>
    </w:p>
    <w:p w14:paraId="081326ED" w14:textId="77777777" w:rsidR="009A5780" w:rsidRPr="009A5780" w:rsidRDefault="009A5780" w:rsidP="009A5780">
      <w:pPr>
        <w:jc w:val="both"/>
      </w:pPr>
      <w:r w:rsidRPr="009A5780">
        <w:rPr>
          <w:i/>
          <w:iCs/>
        </w:rPr>
        <w:t>Fundamento:</w:t>
      </w:r>
      <w:r w:rsidRPr="009A5780">
        <w:t> Artículo 5 del CFF (principio de sustancia económica); artículo 5, apartado 6 del Modelo de Convenio de la OCDE.</w:t>
      </w:r>
    </w:p>
    <w:p w14:paraId="61C8F756" w14:textId="77777777" w:rsidR="009A5780" w:rsidRPr="009A5780" w:rsidRDefault="009A5780" w:rsidP="009A5780">
      <w:pPr>
        <w:jc w:val="both"/>
      </w:pPr>
      <w:r w:rsidRPr="009A5780">
        <w:rPr>
          <w:b/>
          <w:bCs/>
        </w:rPr>
        <w:t>2. La exclusividad o casi exclusividad de un único cliente es un indicio grave de dependencia</w:t>
      </w:r>
      <w:r w:rsidRPr="009A5780">
        <w:br/>
        <w:t>Si la empresa mexicana trabaja exclusiva o casi exclusivamente para una parte relacionada en el extranjero, el SAT presumirá dependencia. Para desvirtuarla, se necesita prueba de independencia real.</w:t>
      </w:r>
    </w:p>
    <w:p w14:paraId="75C582A5" w14:textId="77777777" w:rsidR="009A5780" w:rsidRPr="009A5780" w:rsidRDefault="009A5780" w:rsidP="009A5780">
      <w:pPr>
        <w:jc w:val="both"/>
      </w:pPr>
      <w:r w:rsidRPr="009A5780">
        <w:rPr>
          <w:i/>
          <w:iCs/>
        </w:rPr>
        <w:t>Fundamento:</w:t>
      </w:r>
      <w:r w:rsidRPr="009A5780">
        <w:t> Artículo 5, apartado 6 del Modelo de Convenio de la OCDE; Comentarios al artículo 5, párrafos 88 a 90.</w:t>
      </w:r>
    </w:p>
    <w:p w14:paraId="3531DD11" w14:textId="77777777" w:rsidR="009A5780" w:rsidRPr="009A5780" w:rsidRDefault="009A5780" w:rsidP="009A5780">
      <w:pPr>
        <w:jc w:val="both"/>
      </w:pPr>
      <w:r w:rsidRPr="009A5780">
        <w:rPr>
          <w:b/>
          <w:bCs/>
        </w:rPr>
        <w:t>3. La "mera promoción" no existe cuando las actividades del agente conducen directamente a contratos</w:t>
      </w:r>
      <w:r w:rsidRPr="009A5780">
        <w:br/>
        <w:t>"Concluir contratos" incluye no solo la firma formal, sino también desempeñar el rol principal que lleva a la celebración de contratos (identificar clientes, demostrar productos, dar seguimiento a ventas).</w:t>
      </w:r>
    </w:p>
    <w:p w14:paraId="54FAA905" w14:textId="77777777" w:rsidR="009A5780" w:rsidRPr="009A5780" w:rsidRDefault="009A5780" w:rsidP="009A5780">
      <w:pPr>
        <w:jc w:val="both"/>
      </w:pPr>
      <w:r w:rsidRPr="009A5780">
        <w:rPr>
          <w:i/>
          <w:iCs/>
        </w:rPr>
        <w:t>Fundamento:</w:t>
      </w:r>
      <w:r w:rsidRPr="009A5780">
        <w:t> Comentarios al artículo 5, párrafos 88 a 90 del Modelo de Convenio de la OCDE.</w:t>
      </w:r>
    </w:p>
    <w:p w14:paraId="2F330879" w14:textId="77777777" w:rsidR="009A5780" w:rsidRPr="009A5780" w:rsidRDefault="009A5780" w:rsidP="009A5780">
      <w:pPr>
        <w:jc w:val="both"/>
      </w:pPr>
      <w:r w:rsidRPr="009A5780">
        <w:rPr>
          <w:b/>
          <w:bCs/>
        </w:rPr>
        <w:t>4. El lugar de negocios de la empresa extranjera puede ser la oficina de su "agente" en México</w:t>
      </w:r>
      <w:r w:rsidRPr="009A5780">
        <w:br/>
        <w:t>Si la empresa mexicana actúa por cuenta del residente extranjero y no es un agente independiente, su oficina constituye un establecimiento permanente del residente extranjero.</w:t>
      </w:r>
    </w:p>
    <w:p w14:paraId="53D8D3C3" w14:textId="77777777" w:rsidR="009A5780" w:rsidRPr="009A5780" w:rsidRDefault="009A5780" w:rsidP="009A5780">
      <w:pPr>
        <w:jc w:val="both"/>
      </w:pPr>
      <w:r w:rsidRPr="009A5780">
        <w:rPr>
          <w:i/>
          <w:iCs/>
        </w:rPr>
        <w:t>Fundamento:</w:t>
      </w:r>
      <w:r w:rsidRPr="009A5780">
        <w:t> Artículo 2, segundo párrafo de la LISR; artículo 5 del Modelo de Convenio de la OCDE.</w:t>
      </w:r>
    </w:p>
    <w:p w14:paraId="4040B675" w14:textId="77777777" w:rsidR="009A5780" w:rsidRPr="009A5780" w:rsidRDefault="009A5780" w:rsidP="009A5780">
      <w:pPr>
        <w:jc w:val="both"/>
      </w:pPr>
      <w:r w:rsidRPr="009A5780">
        <w:rPr>
          <w:b/>
          <w:bCs/>
        </w:rPr>
        <w:t>5. La vinculación accionaria es un factor relevante para iniciar el análisis</w:t>
      </w:r>
      <w:r w:rsidRPr="009A5780">
        <w:br/>
        <w:t>La relación accionaria habilita la fiscalización y, combinada con otros elementos (exclusividad, instrucciones), puede llevar a concluir que existe EP.</w:t>
      </w:r>
    </w:p>
    <w:p w14:paraId="0DA47F72" w14:textId="77777777" w:rsidR="009A5780" w:rsidRPr="009A5780" w:rsidRDefault="009A5780" w:rsidP="009A5780">
      <w:pPr>
        <w:jc w:val="both"/>
      </w:pPr>
      <w:r w:rsidRPr="009A5780">
        <w:rPr>
          <w:i/>
          <w:iCs/>
        </w:rPr>
        <w:t>Fundamento:</w:t>
      </w:r>
      <w:r w:rsidRPr="009A5780">
        <w:t> Artículo 5, apartado 7 del Modelo de Convenio de la OCDE.</w:t>
      </w:r>
    </w:p>
    <w:p w14:paraId="7ABA0330" w14:textId="77777777" w:rsidR="009A5780" w:rsidRPr="009A5780" w:rsidRDefault="009A5780" w:rsidP="009A5780">
      <w:pPr>
        <w:jc w:val="both"/>
      </w:pPr>
      <w:r w:rsidRPr="009A5780">
        <w:rPr>
          <w:b/>
          <w:bCs/>
        </w:rPr>
        <w:t>6. La carga de la prueba de la independencia recae en el contribuyente</w:t>
      </w:r>
      <w:r w:rsidRPr="009A5780">
        <w:br/>
        <w:t>Quien pretende aplicar la tasa del 0% de IVA por exportación de servicios debe acreditar que el cliente extranjero no tiene establecimiento permanente en México.</w:t>
      </w:r>
    </w:p>
    <w:p w14:paraId="4D195347" w14:textId="77777777" w:rsidR="009A5780" w:rsidRPr="009A5780" w:rsidRDefault="009A5780" w:rsidP="009A5780">
      <w:pPr>
        <w:jc w:val="both"/>
      </w:pPr>
      <w:r w:rsidRPr="009A5780">
        <w:rPr>
          <w:i/>
          <w:iCs/>
        </w:rPr>
        <w:lastRenderedPageBreak/>
        <w:t>Fundamento:</w:t>
      </w:r>
      <w:r w:rsidRPr="009A5780">
        <w:t> Artículo 29, fracción IV, inciso d) de la LIVA; artículo 58 del Reglamento de la LIVA; artículo 40 de la LFCA.</w:t>
      </w:r>
    </w:p>
    <w:p w14:paraId="5F9CBAF6" w14:textId="77777777" w:rsidR="009A5780" w:rsidRPr="009A5780" w:rsidRDefault="009A5780" w:rsidP="009A5780">
      <w:pPr>
        <w:jc w:val="both"/>
      </w:pPr>
      <w:r w:rsidRPr="009A5780">
        <w:rPr>
          <w:b/>
          <w:bCs/>
        </w:rPr>
        <w:t>7. La presencia física, los empleados locales y las actividades de soporte pueden crear un EP</w:t>
      </w:r>
      <w:r w:rsidRPr="009A5780">
        <w:br/>
        <w:t>Si la empresa mexicana realiza talleres, conferencias, campañas en línea y estudios de mercado, estas actividades cohesionadas pueden exceder el carácter auxiliar o preparatorio y constituir un EP.</w:t>
      </w:r>
    </w:p>
    <w:p w14:paraId="1ABD45FD" w14:textId="77777777" w:rsidR="009A5780" w:rsidRPr="009A5780" w:rsidRDefault="009A5780" w:rsidP="009A5780">
      <w:pPr>
        <w:jc w:val="both"/>
      </w:pPr>
      <w:r w:rsidRPr="009A5780">
        <w:rPr>
          <w:i/>
          <w:iCs/>
        </w:rPr>
        <w:t>Fundamento:</w:t>
      </w:r>
      <w:r w:rsidRPr="009A5780">
        <w:t> Artículo 3 de la LISR; artículo 5, apartado 4 del Modelo de Convenio de la OCDE.</w:t>
      </w:r>
    </w:p>
    <w:p w14:paraId="6A32AD7C" w14:textId="77777777" w:rsidR="009A5780" w:rsidRPr="009A5780" w:rsidRDefault="009A5780" w:rsidP="009A5780">
      <w:pPr>
        <w:jc w:val="both"/>
      </w:pPr>
      <w:r w:rsidRPr="009A5780">
        <w:rPr>
          <w:b/>
          <w:bCs/>
        </w:rPr>
        <w:t>8. La aplicación del principio de destino (tasa 0%) exige que el cliente no tenga EP en México</w:t>
      </w:r>
      <w:r w:rsidRPr="009A5780">
        <w:br/>
        <w:t>Si el cliente tiene EP en México, el servicio se entiende prestado en territorio nacional y causa tasa general del 16%, perdiéndose el beneficio de tasa 0%.</w:t>
      </w:r>
    </w:p>
    <w:p w14:paraId="35365F31" w14:textId="77777777" w:rsidR="009A5780" w:rsidRPr="009A5780" w:rsidRDefault="009A5780" w:rsidP="009A5780">
      <w:pPr>
        <w:jc w:val="both"/>
      </w:pPr>
      <w:r w:rsidRPr="009A5780">
        <w:rPr>
          <w:i/>
          <w:iCs/>
        </w:rPr>
        <w:t>Fundamento:</w:t>
      </w:r>
      <w:r w:rsidRPr="009A5780">
        <w:t> Artículo 29, fracción IV, inciso d) de la LIVA; artículo 58 del Reglamento de la LIVA.</w:t>
      </w:r>
    </w:p>
    <w:p w14:paraId="01EE98EC" w14:textId="77777777" w:rsidR="009A5780" w:rsidRPr="009A5780" w:rsidRDefault="009A5780" w:rsidP="009A5780">
      <w:pPr>
        <w:jc w:val="both"/>
      </w:pPr>
      <w:r w:rsidRPr="009A5780">
        <w:rPr>
          <w:b/>
          <w:bCs/>
        </w:rPr>
        <w:t>9. El análisis de EP es funcional, no formal; la autoridad puede acudir a tratados y comentarios de la OCDE</w:t>
      </w:r>
      <w:r w:rsidRPr="009A5780">
        <w:br/>
        <w:t>Los comentarios de la OCDE son una fuente de interpretación legítima (jurisprudencia IX-J-2aS-26). La autoridad puede usarlos para determinar si existe EP en materia de IVA.</w:t>
      </w:r>
    </w:p>
    <w:p w14:paraId="396D391A" w14:textId="77777777" w:rsidR="009A5780" w:rsidRPr="009A5780" w:rsidRDefault="009A5780" w:rsidP="009A5780">
      <w:pPr>
        <w:jc w:val="both"/>
      </w:pPr>
      <w:r w:rsidRPr="009A5780">
        <w:rPr>
          <w:i/>
          <w:iCs/>
        </w:rPr>
        <w:t>Fundamento:</w:t>
      </w:r>
      <w:r w:rsidRPr="009A5780">
        <w:t> Jurisprudencia IX-J-2aS-26 del TFJA; artículo 5, apartado 1 del Modelo de Convenio de la OCDE.</w:t>
      </w:r>
    </w:p>
    <w:p w14:paraId="2E346A19" w14:textId="77777777" w:rsidR="009A5780" w:rsidRPr="009A5780" w:rsidRDefault="009A5780" w:rsidP="009A5780">
      <w:pPr>
        <w:jc w:val="both"/>
      </w:pPr>
      <w:r w:rsidRPr="009A5780">
        <w:rPr>
          <w:b/>
          <w:bCs/>
        </w:rPr>
        <w:t>10. La multa mínima no requiere motivación adicional sobre gravedad o capacidad económica</w:t>
      </w:r>
      <w:r w:rsidRPr="009A5780">
        <w:br/>
        <w:t>Jurisprudencia 2a./J. 127/99 de la SCJN: cuando se impone la multa en su monto mínimo, no es necesario razonar la individualización, porque legalmente no puede imponerse una sanción menor.</w:t>
      </w:r>
    </w:p>
    <w:p w14:paraId="2BD70EC9" w14:textId="77777777" w:rsidR="009A5780" w:rsidRPr="009A5780" w:rsidRDefault="009A5780" w:rsidP="009A5780">
      <w:pPr>
        <w:jc w:val="both"/>
      </w:pPr>
      <w:r w:rsidRPr="009A5780">
        <w:rPr>
          <w:i/>
          <w:iCs/>
        </w:rPr>
        <w:t>Fundamento:</w:t>
      </w:r>
      <w:r w:rsidRPr="009A5780">
        <w:t> Jurisprudencia 2a./J. 127/99 de la SCJN; artículo 76 del CFF.</w:t>
      </w:r>
    </w:p>
    <w:p w14:paraId="745EF65B" w14:textId="77777777" w:rsidR="009A5780" w:rsidRPr="009A5780" w:rsidRDefault="009A5780" w:rsidP="009A5780">
      <w:pPr>
        <w:jc w:val="both"/>
      </w:pPr>
      <w:r w:rsidRPr="009A5780">
        <w:rPr>
          <w:b/>
          <w:bCs/>
        </w:rPr>
        <w:t>Fundamento legal completo del caso</w:t>
      </w:r>
    </w:p>
    <w:p w14:paraId="7A1DE9E1" w14:textId="77777777" w:rsidR="009A5780" w:rsidRPr="009A5780" w:rsidRDefault="009A5780" w:rsidP="009A5780">
      <w:pPr>
        <w:jc w:val="both"/>
      </w:pPr>
      <w:r w:rsidRPr="009A5780">
        <w:rPr>
          <w:i/>
          <w:iCs/>
        </w:rPr>
        <w:t>Legislación aplicable:</w:t>
      </w:r>
      <w:r w:rsidRPr="009A5780">
        <w:t> Artículos 2 segundo párrafo, 3 de la LISR; artículos 29 fracción IV inciso d) de la LIVA, 58 de su Reglamento; artículos 5, 40 de la LFCA; artículo 5 del Modelo de Convenio de la OCDE y sus apartados 4, 6, 7; Comentarios párrafos 88 a 90.</w:t>
      </w:r>
    </w:p>
    <w:p w14:paraId="68A2616F" w14:textId="77777777" w:rsidR="009A5780" w:rsidRPr="009A5780" w:rsidRDefault="009A5780" w:rsidP="009A5780">
      <w:pPr>
        <w:jc w:val="both"/>
      </w:pPr>
      <w:r w:rsidRPr="009A5780">
        <w:rPr>
          <w:i/>
          <w:iCs/>
        </w:rPr>
        <w:t>Jurisprudencia:</w:t>
      </w:r>
      <w:r w:rsidRPr="009A5780">
        <w:t> IX-J-2aS-26 del TFJA; 2a./J. 127/99 de la SCJN.</w:t>
      </w:r>
    </w:p>
    <w:p w14:paraId="3880D38A" w14:textId="77777777" w:rsidR="009A5780" w:rsidRPr="009A5780" w:rsidRDefault="009A5780" w:rsidP="009A5780">
      <w:pPr>
        <w:jc w:val="both"/>
      </w:pPr>
      <w:r w:rsidRPr="009A5780">
        <w:rPr>
          <w:b/>
          <w:bCs/>
        </w:rPr>
        <w:lastRenderedPageBreak/>
        <w:t>Referencia al expediente completo</w:t>
      </w:r>
      <w:r w:rsidRPr="009A5780">
        <w:br/>
        <w:t>El expediente 27973/23-17-02-8/1237/24-S1-04-02 puede ser consultado en el TFJA o SISE.</w:t>
      </w:r>
    </w:p>
    <w:p w14:paraId="41402468" w14:textId="77777777" w:rsidR="009A5780" w:rsidRPr="009A5780" w:rsidRDefault="009A5780" w:rsidP="009A5780">
      <w:pPr>
        <w:jc w:val="both"/>
      </w:pPr>
      <w:proofErr w:type="spellStart"/>
      <w:r w:rsidRPr="009A5780">
        <w:rPr>
          <w:b/>
          <w:bCs/>
        </w:rPr>
        <w:t>Checklist</w:t>
      </w:r>
      <w:proofErr w:type="spellEnd"/>
      <w:r w:rsidRPr="009A5780">
        <w:rPr>
          <w:b/>
          <w:bCs/>
        </w:rPr>
        <w:t xml:space="preserve"> de defensa para el asesor fiscal</w:t>
      </w:r>
    </w:p>
    <w:p w14:paraId="54C18A5D" w14:textId="77777777" w:rsidR="009A5780" w:rsidRPr="009A5780" w:rsidRDefault="009A5780" w:rsidP="009A5780">
      <w:pPr>
        <w:numPr>
          <w:ilvl w:val="0"/>
          <w:numId w:val="12"/>
        </w:numPr>
        <w:jc w:val="both"/>
      </w:pPr>
      <w:r w:rsidRPr="009A5780">
        <w:t>Analizar si la empresa mexicana actúa exclusiva o casi exclusivamente para un único cliente extranjero. Diversificar la base de clientes (pluralidad de mandantes).</w:t>
      </w:r>
    </w:p>
    <w:p w14:paraId="1FE5F0CC" w14:textId="77777777" w:rsidR="009A5780" w:rsidRPr="009A5780" w:rsidRDefault="009A5780" w:rsidP="009A5780">
      <w:pPr>
        <w:numPr>
          <w:ilvl w:val="0"/>
          <w:numId w:val="12"/>
        </w:numPr>
        <w:jc w:val="both"/>
      </w:pPr>
      <w:r w:rsidRPr="009A5780">
        <w:t>Documentar las funciones reales: asunción de riesgos, inversión en activos, iniciativa propia. No basta con el contrato.</w:t>
      </w:r>
    </w:p>
    <w:p w14:paraId="535381DF" w14:textId="77777777" w:rsidR="009A5780" w:rsidRPr="009A5780" w:rsidRDefault="009A5780" w:rsidP="009A5780">
      <w:pPr>
        <w:numPr>
          <w:ilvl w:val="0"/>
          <w:numId w:val="12"/>
        </w:numPr>
        <w:jc w:val="both"/>
      </w:pPr>
      <w:r w:rsidRPr="009A5780">
        <w:t>Llevar un registro diario de la presencia de personal extranjero en las instalaciones (umbral crítico: 183 días en 12 meses).</w:t>
      </w:r>
    </w:p>
    <w:p w14:paraId="45AA37F4" w14:textId="77777777" w:rsidR="009A5780" w:rsidRPr="009A5780" w:rsidRDefault="009A5780" w:rsidP="009A5780">
      <w:pPr>
        <w:numPr>
          <w:ilvl w:val="0"/>
          <w:numId w:val="12"/>
        </w:numPr>
        <w:jc w:val="both"/>
      </w:pPr>
      <w:r w:rsidRPr="009A5780">
        <w:t>Si el cliente extranjero tiene personal en México, limitar sus actividades a funciones preparatorias o auxiliares (reuniones internas, capacitación, planificación estratégica sin poder de decisión).</w:t>
      </w:r>
    </w:p>
    <w:p w14:paraId="2E3173B8" w14:textId="77777777" w:rsidR="009A5780" w:rsidRPr="009A5780" w:rsidRDefault="009A5780" w:rsidP="009A5780">
      <w:pPr>
        <w:numPr>
          <w:ilvl w:val="0"/>
          <w:numId w:val="12"/>
        </w:numPr>
        <w:jc w:val="both"/>
      </w:pPr>
      <w:r w:rsidRPr="009A5780">
        <w:t>Para la tasa 0% de IVA, obtener declaración bajo protesta del cliente de que no tiene EP en México, pero no confiar solo en ella; analizar la operación real.</w:t>
      </w:r>
    </w:p>
    <w:p w14:paraId="3A3118C9" w14:textId="77777777" w:rsidR="009A5780" w:rsidRPr="009A5780" w:rsidRDefault="009A5780" w:rsidP="009A5780">
      <w:pPr>
        <w:numPr>
          <w:ilvl w:val="0"/>
          <w:numId w:val="12"/>
        </w:numPr>
        <w:jc w:val="both"/>
      </w:pPr>
      <w:r w:rsidRPr="009A5780">
        <w:t>Si el SAT determina EP, impugnar con pruebas sólidas de independencia (pluralidad de clientes, autonomía económica).</w:t>
      </w:r>
    </w:p>
    <w:p w14:paraId="0890A0AE" w14:textId="77777777" w:rsidR="009A5780" w:rsidRPr="009A5780" w:rsidRDefault="009A5780" w:rsidP="009A5780">
      <w:pPr>
        <w:numPr>
          <w:ilvl w:val="0"/>
          <w:numId w:val="12"/>
        </w:numPr>
        <w:jc w:val="both"/>
      </w:pPr>
      <w:r w:rsidRPr="009A5780">
        <w:t>Revisar el tratado fiscal específico con el país del cliente (cada tratado tiene reglas distintas sobre EP).</w:t>
      </w:r>
    </w:p>
    <w:p w14:paraId="2F70D588" w14:textId="77777777" w:rsidR="009A5780" w:rsidRPr="009A5780" w:rsidRDefault="009A5780" w:rsidP="009A5780">
      <w:pPr>
        <w:jc w:val="both"/>
      </w:pPr>
      <w:r w:rsidRPr="009A5780">
        <w:rPr>
          <w:b/>
          <w:bCs/>
        </w:rPr>
        <w:t>Nota final para el asesor fiscal:</w:t>
      </w:r>
      <w:r w:rsidRPr="009A5780">
        <w:t> El SAT ya no se conforma con contratos bien redactados. Analiza dónde se genera realmente el valor. La independencia no se decreta en un contrato; se demuestra con hechos: pluralidad de clientes, autonomía económica, asunción de riesgos. Si su único cliente es su socio extranjero, si usa su oficina, su personal, su estructura, y si ese cliente le da instrucciones detalladas sobre cómo hacer el trabajo, entonces usted es un establecimiento permanente. Las consecuencias fiscales son graves: la empresa extranjera debe inscribirse ante el SAT, su empresa pierde la tasa 0% de IVA, y ambas enfrentan créditos multimillonarios.</w:t>
      </w:r>
    </w:p>
    <w:p w14:paraId="16BC7D3A" w14:textId="77777777" w:rsidR="009A5780" w:rsidRPr="009A5780" w:rsidRDefault="00000000" w:rsidP="009A5780">
      <w:pPr>
        <w:jc w:val="both"/>
      </w:pPr>
      <w:r>
        <w:pict w14:anchorId="1DCCD5CC">
          <v:rect id="_x0000_i1036" style="width:0;height:.75pt" o:hralign="center" o:hrstd="t" o:hr="t" fillcolor="#a0a0a0" stroked="f"/>
        </w:pict>
      </w:r>
    </w:p>
    <w:p w14:paraId="581CE419" w14:textId="77777777" w:rsidR="009A5780" w:rsidRPr="009A5780" w:rsidRDefault="009A5780" w:rsidP="009A5780">
      <w:pPr>
        <w:jc w:val="both"/>
        <w:rPr>
          <w:b/>
          <w:bCs/>
        </w:rPr>
      </w:pPr>
      <w:r w:rsidRPr="009A5780">
        <w:rPr>
          <w:b/>
          <w:bCs/>
        </w:rPr>
        <w:t>Apéndice 8 – Capítulo 8</w:t>
      </w:r>
    </w:p>
    <w:p w14:paraId="67677E9A" w14:textId="77777777" w:rsidR="009A5780" w:rsidRPr="009A5780" w:rsidRDefault="009A5780" w:rsidP="009A5780">
      <w:pPr>
        <w:jc w:val="both"/>
      </w:pPr>
      <w:r w:rsidRPr="009A5780">
        <w:rPr>
          <w:b/>
          <w:bCs/>
        </w:rPr>
        <w:t>Pagar a un consultor en Canadá por videollamada sí requiere retención en México: la fuente de riqueza no se mueve</w:t>
      </w:r>
    </w:p>
    <w:p w14:paraId="0870CCE4" w14:textId="77777777" w:rsidR="009A5780" w:rsidRPr="009A5780" w:rsidRDefault="009A5780" w:rsidP="009A5780">
      <w:pPr>
        <w:jc w:val="both"/>
      </w:pPr>
      <w:r w:rsidRPr="009A5780">
        <w:rPr>
          <w:b/>
          <w:bCs/>
        </w:rPr>
        <w:lastRenderedPageBreak/>
        <w:t>Expediente:</w:t>
      </w:r>
      <w:r w:rsidRPr="009A5780">
        <w:t> 89/18-ERF-01-9/376/19-S2-07-02 del Tribunal Federal de Justicia Administrativa (Segunda Sección de la Sala Superior)</w:t>
      </w:r>
    </w:p>
    <w:p w14:paraId="6A70EC5D" w14:textId="77777777" w:rsidR="009A5780" w:rsidRPr="009A5780" w:rsidRDefault="009A5780" w:rsidP="009A5780">
      <w:pPr>
        <w:jc w:val="both"/>
      </w:pPr>
      <w:r w:rsidRPr="009A5780">
        <w:rPr>
          <w:b/>
          <w:bCs/>
        </w:rPr>
        <w:t>Los 10 puntos técnicos más relevantes para el asesor fiscal</w:t>
      </w:r>
    </w:p>
    <w:p w14:paraId="0928AC11" w14:textId="77777777" w:rsidR="009A5780" w:rsidRPr="009A5780" w:rsidRDefault="009A5780" w:rsidP="009A5780">
      <w:pPr>
        <w:jc w:val="both"/>
      </w:pPr>
      <w:r w:rsidRPr="009A5780">
        <w:rPr>
          <w:b/>
          <w:bCs/>
        </w:rPr>
        <w:t>1. La fuente de riqueza la define la ley interna, no el tratado</w:t>
      </w:r>
      <w:r w:rsidRPr="009A5780">
        <w:br/>
        <w:t>El tratado no crea ni elimina fuentes de riqueza; solo distribuye la potestad de gravar una vez que la fuente existe conforme a la LISR. El primer análisis siempre debe ser la ley interna.</w:t>
      </w:r>
    </w:p>
    <w:p w14:paraId="785DBA73" w14:textId="77777777" w:rsidR="009A5780" w:rsidRPr="009A5780" w:rsidRDefault="009A5780" w:rsidP="009A5780">
      <w:pPr>
        <w:jc w:val="both"/>
      </w:pPr>
      <w:r w:rsidRPr="009A5780">
        <w:rPr>
          <w:i/>
          <w:iCs/>
        </w:rPr>
        <w:t>Fundamento:</w:t>
      </w:r>
      <w:r w:rsidRPr="009A5780">
        <w:t> Artículo 1, fracción III de la LISR; artículo 1 del Convenio México-</w:t>
      </w:r>
      <w:proofErr w:type="gramStart"/>
      <w:r w:rsidRPr="009A5780">
        <w:t>EE.UU.</w:t>
      </w:r>
      <w:proofErr w:type="gramEnd"/>
    </w:p>
    <w:p w14:paraId="3EC6C969" w14:textId="77777777" w:rsidR="009A5780" w:rsidRPr="009A5780" w:rsidRDefault="009A5780" w:rsidP="009A5780">
      <w:pPr>
        <w:jc w:val="both"/>
      </w:pPr>
      <w:r w:rsidRPr="009A5780">
        <w:rPr>
          <w:b/>
          <w:bCs/>
        </w:rPr>
        <w:t>2. El artículo 195 de la LISR tiene dos supuestos independientes de fuente</w:t>
      </w:r>
      <w:r w:rsidRPr="009A5780">
        <w:br/>
        <w:t>Basta con que se cumpla uno: (a) inversión del capital en México, o (b) pago por residente o establecimiento permanente en México. No es necesario que el deudor sea residente mexicano si el capital se invirtió en México.</w:t>
      </w:r>
    </w:p>
    <w:p w14:paraId="6B298FE4" w14:textId="77777777" w:rsidR="009A5780" w:rsidRPr="009A5780" w:rsidRDefault="009A5780" w:rsidP="009A5780">
      <w:pPr>
        <w:jc w:val="both"/>
      </w:pPr>
      <w:r w:rsidRPr="009A5780">
        <w:rPr>
          <w:i/>
          <w:iCs/>
        </w:rPr>
        <w:t>Fundamento:</w:t>
      </w:r>
      <w:r w:rsidRPr="009A5780">
        <w:t> Artículo 195, fracciones I y II de la LISR.</w:t>
      </w:r>
    </w:p>
    <w:p w14:paraId="34821A5C" w14:textId="77777777" w:rsidR="009A5780" w:rsidRPr="009A5780" w:rsidRDefault="009A5780" w:rsidP="009A5780">
      <w:pPr>
        <w:jc w:val="both"/>
      </w:pPr>
      <w:r w:rsidRPr="009A5780">
        <w:rPr>
          <w:b/>
          <w:bCs/>
        </w:rPr>
        <w:t>3. Optar por tributar "como si fuera EP" implica tomar todas las obligaciones de un EP</w:t>
      </w:r>
      <w:r w:rsidRPr="009A5780">
        <w:br/>
        <w:t>Si el contribuyente opta por esa vía para deducir intereses, debe también cumplir con las obligaciones de un EP: registrar su situación fiscal, presentar declaraciones, y retener el ISR correspondiente.</w:t>
      </w:r>
    </w:p>
    <w:p w14:paraId="7E3A1110" w14:textId="77777777" w:rsidR="009A5780" w:rsidRPr="009A5780" w:rsidRDefault="009A5780" w:rsidP="009A5780">
      <w:pPr>
        <w:jc w:val="both"/>
      </w:pPr>
      <w:r w:rsidRPr="009A5780">
        <w:rPr>
          <w:i/>
          <w:iCs/>
        </w:rPr>
        <w:t>Fundamento:</w:t>
      </w:r>
      <w:r w:rsidRPr="009A5780">
        <w:t> Artículo 6, párrafo 5 del Convenio México-</w:t>
      </w:r>
      <w:proofErr w:type="gramStart"/>
      <w:r w:rsidRPr="009A5780">
        <w:t>EE.UU.</w:t>
      </w:r>
      <w:proofErr w:type="gramEnd"/>
      <w:r w:rsidRPr="009A5780">
        <w:t>; artículo 195, octavo párrafo de la LISR.</w:t>
      </w:r>
    </w:p>
    <w:p w14:paraId="14AD8442" w14:textId="77777777" w:rsidR="009A5780" w:rsidRPr="009A5780" w:rsidRDefault="009A5780" w:rsidP="009A5780">
      <w:pPr>
        <w:jc w:val="both"/>
      </w:pPr>
      <w:r w:rsidRPr="009A5780">
        <w:rPr>
          <w:b/>
          <w:bCs/>
        </w:rPr>
        <w:t>4. El párrafo 7 del artículo 11 (intereses procedentes del Estado del deudor) no anula el criterio de fuente por inversión de capital</w:t>
      </w:r>
      <w:r w:rsidRPr="009A5780">
        <w:br/>
        <w:t>El párrafo 7 es una regla de asignación para efectos del tratado, no una regla que defina la existencia de la fuente conforme a la ley interna.</w:t>
      </w:r>
    </w:p>
    <w:p w14:paraId="5FB78BC0" w14:textId="77777777" w:rsidR="009A5780" w:rsidRPr="009A5780" w:rsidRDefault="009A5780" w:rsidP="009A5780">
      <w:pPr>
        <w:jc w:val="both"/>
      </w:pPr>
      <w:r w:rsidRPr="009A5780">
        <w:rPr>
          <w:i/>
          <w:iCs/>
        </w:rPr>
        <w:t>Fundamento:</w:t>
      </w:r>
      <w:r w:rsidRPr="009A5780">
        <w:t> Artículo 11, párrafo 7 del Convenio México-</w:t>
      </w:r>
      <w:proofErr w:type="gramStart"/>
      <w:r w:rsidRPr="009A5780">
        <w:t>EE.UU.</w:t>
      </w:r>
      <w:proofErr w:type="gramEnd"/>
      <w:r w:rsidRPr="009A5780">
        <w:t>; artículo 195, fracción I de la LISR.</w:t>
      </w:r>
    </w:p>
    <w:p w14:paraId="1F79324C" w14:textId="77777777" w:rsidR="009A5780" w:rsidRPr="009A5780" w:rsidRDefault="009A5780" w:rsidP="009A5780">
      <w:pPr>
        <w:jc w:val="both"/>
      </w:pPr>
      <w:r w:rsidRPr="009A5780">
        <w:rPr>
          <w:b/>
          <w:bCs/>
        </w:rPr>
        <w:t>5. Un residente en el extranjero sin EP puede estar obligado a retener ISR en México</w:t>
      </w:r>
      <w:r w:rsidRPr="009A5780">
        <w:br/>
        <w:t>El artículo 195, octavo párrafo de la LISR no distingue entre residente mexicano o extranjero. Si un residente extranjero paga intereses con fuente de riqueza en México, está obligado a retener.</w:t>
      </w:r>
    </w:p>
    <w:p w14:paraId="078B5685" w14:textId="77777777" w:rsidR="009A5780" w:rsidRPr="009A5780" w:rsidRDefault="009A5780" w:rsidP="009A5780">
      <w:pPr>
        <w:jc w:val="both"/>
      </w:pPr>
      <w:r w:rsidRPr="009A5780">
        <w:rPr>
          <w:i/>
          <w:iCs/>
        </w:rPr>
        <w:t>Fundamento:</w:t>
      </w:r>
      <w:r w:rsidRPr="009A5780">
        <w:t> Artículo 195, octavo párrafo de la LISR.</w:t>
      </w:r>
    </w:p>
    <w:p w14:paraId="0782D5AE" w14:textId="77777777" w:rsidR="009A5780" w:rsidRPr="009A5780" w:rsidRDefault="009A5780" w:rsidP="009A5780">
      <w:pPr>
        <w:jc w:val="both"/>
      </w:pPr>
      <w:r w:rsidRPr="009A5780">
        <w:rPr>
          <w:b/>
          <w:bCs/>
        </w:rPr>
        <w:lastRenderedPageBreak/>
        <w:t>6. La tasa reducida del Convenio presupone que existe fuente de riqueza</w:t>
      </w:r>
      <w:r w:rsidRPr="009A5780">
        <w:br/>
        <w:t>No se puede invocar la tasa reducida del tratado para después negar la fuente de riqueza. La invocación del tratado presupone la aceptación de la fuente mexicana.</w:t>
      </w:r>
    </w:p>
    <w:p w14:paraId="414C31E1" w14:textId="77777777" w:rsidR="009A5780" w:rsidRPr="009A5780" w:rsidRDefault="009A5780" w:rsidP="009A5780">
      <w:pPr>
        <w:jc w:val="both"/>
      </w:pPr>
      <w:r w:rsidRPr="009A5780">
        <w:rPr>
          <w:i/>
          <w:iCs/>
        </w:rPr>
        <w:t>Fundamento:</w:t>
      </w:r>
      <w:r w:rsidRPr="009A5780">
        <w:t> Artículo 11 del Convenio México-</w:t>
      </w:r>
      <w:proofErr w:type="gramStart"/>
      <w:r w:rsidRPr="009A5780">
        <w:t>EE.UU.</w:t>
      </w:r>
      <w:proofErr w:type="gramEnd"/>
      <w:r w:rsidRPr="009A5780">
        <w:t>; artículo 195 de la LISR.</w:t>
      </w:r>
    </w:p>
    <w:p w14:paraId="23224B06" w14:textId="77777777" w:rsidR="009A5780" w:rsidRPr="009A5780" w:rsidRDefault="009A5780" w:rsidP="009A5780">
      <w:pPr>
        <w:jc w:val="both"/>
      </w:pPr>
      <w:r w:rsidRPr="009A5780">
        <w:rPr>
          <w:b/>
          <w:bCs/>
        </w:rPr>
        <w:t>7. Sin retención, no hay deducción</w:t>
      </w:r>
      <w:r w:rsidRPr="009A5780">
        <w:br/>
        <w:t>El artículo 31, fracción V de la LISR exige que para que los intereses pagados a residentes en el extranjero sean deducibles, el contribuyente debe retener y enterar el ISR correspondiente.</w:t>
      </w:r>
    </w:p>
    <w:p w14:paraId="75A4E730" w14:textId="77777777" w:rsidR="009A5780" w:rsidRPr="009A5780" w:rsidRDefault="009A5780" w:rsidP="009A5780">
      <w:pPr>
        <w:jc w:val="both"/>
      </w:pPr>
      <w:r w:rsidRPr="009A5780">
        <w:rPr>
          <w:i/>
          <w:iCs/>
        </w:rPr>
        <w:t>Fundamento:</w:t>
      </w:r>
      <w:r w:rsidRPr="009A5780">
        <w:t> Artículo 31, fracción V de la LISR.</w:t>
      </w:r>
    </w:p>
    <w:p w14:paraId="52461D9D" w14:textId="77777777" w:rsidR="009A5780" w:rsidRPr="009A5780" w:rsidRDefault="009A5780" w:rsidP="009A5780">
      <w:pPr>
        <w:jc w:val="both"/>
      </w:pPr>
      <w:r w:rsidRPr="009A5780">
        <w:rPr>
          <w:b/>
          <w:bCs/>
        </w:rPr>
        <w:t>8. Declarar "0" en ISR retenido no es cumplir con el artículo 86 de la LISR</w:t>
      </w:r>
      <w:r w:rsidRPr="009A5780">
        <w:br/>
        <w:t xml:space="preserve">Si la ley exige retener, declarar "0" cuando debió retenerse es una declaración falsa o incompleta. El contribuyente no puede </w:t>
      </w:r>
      <w:proofErr w:type="spellStart"/>
      <w:r w:rsidRPr="009A5780">
        <w:t>autoeximirse</w:t>
      </w:r>
      <w:proofErr w:type="spellEnd"/>
      <w:r w:rsidRPr="009A5780">
        <w:t xml:space="preserve"> de la retención con su propia declaración.</w:t>
      </w:r>
    </w:p>
    <w:p w14:paraId="66EAEF91" w14:textId="77777777" w:rsidR="009A5780" w:rsidRPr="009A5780" w:rsidRDefault="009A5780" w:rsidP="009A5780">
      <w:pPr>
        <w:jc w:val="both"/>
      </w:pPr>
      <w:r w:rsidRPr="009A5780">
        <w:rPr>
          <w:i/>
          <w:iCs/>
        </w:rPr>
        <w:t>Fundamento:</w:t>
      </w:r>
      <w:r w:rsidRPr="009A5780">
        <w:t> Artículo 86 de la LISR; artículo 32, fracción XXIV de la LISR.</w:t>
      </w:r>
    </w:p>
    <w:p w14:paraId="5DF57E37" w14:textId="77777777" w:rsidR="009A5780" w:rsidRPr="009A5780" w:rsidRDefault="009A5780" w:rsidP="009A5780">
      <w:pPr>
        <w:jc w:val="both"/>
      </w:pPr>
      <w:r w:rsidRPr="009A5780">
        <w:rPr>
          <w:b/>
          <w:bCs/>
        </w:rPr>
        <w:t>9. La responsabilidad solidaria del retenedor aplica a cualquier retenedor, incluso residente en el extranjero</w:t>
      </w:r>
      <w:r w:rsidRPr="009A5780">
        <w:br/>
        <w:t>El artículo 26, fracción I del CFF no distingue por residencia. Si un residente en el extranjero tenía obligación de retener y no lo hizo, el SAT puede cobrarle directamente.</w:t>
      </w:r>
    </w:p>
    <w:p w14:paraId="2DF7FD71" w14:textId="77777777" w:rsidR="009A5780" w:rsidRPr="009A5780" w:rsidRDefault="009A5780" w:rsidP="009A5780">
      <w:pPr>
        <w:jc w:val="both"/>
      </w:pPr>
      <w:r w:rsidRPr="009A5780">
        <w:rPr>
          <w:i/>
          <w:iCs/>
        </w:rPr>
        <w:t>Fundamento:</w:t>
      </w:r>
      <w:r w:rsidRPr="009A5780">
        <w:t> Artículo 26, fracción I del CFF.</w:t>
      </w:r>
    </w:p>
    <w:p w14:paraId="1DC29C63" w14:textId="77777777" w:rsidR="009A5780" w:rsidRPr="009A5780" w:rsidRDefault="009A5780" w:rsidP="009A5780">
      <w:pPr>
        <w:jc w:val="both"/>
      </w:pPr>
      <w:r w:rsidRPr="009A5780">
        <w:rPr>
          <w:b/>
          <w:bCs/>
        </w:rPr>
        <w:t>10. Los tratados evitan la doble tributación, no crean "doble no tributación"</w:t>
      </w:r>
      <w:r w:rsidRPr="009A5780">
        <w:br/>
        <w:t>Una interpretación que dejara los ingresos sin gravamen en ambos países contradice el objeto y fin del Convenio: eliminar la doble tributación, no crear vacíos fiscales.</w:t>
      </w:r>
    </w:p>
    <w:p w14:paraId="4DF64E9E" w14:textId="77777777" w:rsidR="009A5780" w:rsidRPr="009A5780" w:rsidRDefault="009A5780" w:rsidP="009A5780">
      <w:pPr>
        <w:jc w:val="both"/>
      </w:pPr>
      <w:r w:rsidRPr="009A5780">
        <w:rPr>
          <w:i/>
          <w:iCs/>
        </w:rPr>
        <w:t>Fundamento:</w:t>
      </w:r>
      <w:r w:rsidRPr="009A5780">
        <w:t> Convención de Viena sobre el Derecho de los Tratados, artículo 31 (interpretación de buena fe conforme al objeto y fin).</w:t>
      </w:r>
    </w:p>
    <w:p w14:paraId="7D32D644" w14:textId="77777777" w:rsidR="009A5780" w:rsidRPr="009A5780" w:rsidRDefault="009A5780" w:rsidP="009A5780">
      <w:pPr>
        <w:jc w:val="both"/>
      </w:pPr>
      <w:r w:rsidRPr="009A5780">
        <w:rPr>
          <w:b/>
          <w:bCs/>
        </w:rPr>
        <w:t>Fundamento legal completo del caso</w:t>
      </w:r>
    </w:p>
    <w:p w14:paraId="2252EADD" w14:textId="77777777" w:rsidR="009A5780" w:rsidRPr="009A5780" w:rsidRDefault="009A5780" w:rsidP="009A5780">
      <w:pPr>
        <w:jc w:val="both"/>
      </w:pPr>
      <w:r w:rsidRPr="009A5780">
        <w:rPr>
          <w:i/>
          <w:iCs/>
        </w:rPr>
        <w:t>Legislación aplicable:</w:t>
      </w:r>
      <w:r w:rsidRPr="009A5780">
        <w:t> Artículo 1 fracción III, 195, 31 fracción V, 86 de la LISR; artículos 26 fracción I, 67 del CFF; artículo 11 del Convenio México-</w:t>
      </w:r>
      <w:proofErr w:type="gramStart"/>
      <w:r w:rsidRPr="009A5780">
        <w:t>EE.UU.</w:t>
      </w:r>
      <w:proofErr w:type="gramEnd"/>
      <w:r w:rsidRPr="009A5780">
        <w:t>; artículo 31 de la Convención de Viena.</w:t>
      </w:r>
    </w:p>
    <w:p w14:paraId="6208D303" w14:textId="77777777" w:rsidR="009A5780" w:rsidRPr="009A5780" w:rsidRDefault="009A5780" w:rsidP="009A5780">
      <w:pPr>
        <w:jc w:val="both"/>
      </w:pPr>
      <w:r w:rsidRPr="009A5780">
        <w:rPr>
          <w:i/>
          <w:iCs/>
        </w:rPr>
        <w:t>Jurisprudencia:</w:t>
      </w:r>
      <w:r w:rsidRPr="009A5780">
        <w:t> 1a./J. 53/2020 (10a.) de la SCJN; tesis 1a. LXXI/2018 (10a.).</w:t>
      </w:r>
    </w:p>
    <w:p w14:paraId="0793F2CF" w14:textId="77777777" w:rsidR="009A5780" w:rsidRPr="009A5780" w:rsidRDefault="009A5780" w:rsidP="009A5780">
      <w:pPr>
        <w:jc w:val="both"/>
      </w:pPr>
      <w:r w:rsidRPr="009A5780">
        <w:rPr>
          <w:b/>
          <w:bCs/>
        </w:rPr>
        <w:t>Referencia al expediente completo</w:t>
      </w:r>
      <w:r w:rsidRPr="009A5780">
        <w:br/>
        <w:t>El expediente 89/18-ERF-01-9/376/19-S2-07-02 puede ser consultado en el TFJA o SISE.</w:t>
      </w:r>
    </w:p>
    <w:p w14:paraId="51D6A512" w14:textId="77777777" w:rsidR="009A5780" w:rsidRPr="009A5780" w:rsidRDefault="009A5780" w:rsidP="009A5780">
      <w:pPr>
        <w:jc w:val="both"/>
      </w:pPr>
      <w:proofErr w:type="spellStart"/>
      <w:r w:rsidRPr="009A5780">
        <w:rPr>
          <w:b/>
          <w:bCs/>
        </w:rPr>
        <w:lastRenderedPageBreak/>
        <w:t>Checklist</w:t>
      </w:r>
      <w:proofErr w:type="spellEnd"/>
      <w:r w:rsidRPr="009A5780">
        <w:rPr>
          <w:b/>
          <w:bCs/>
        </w:rPr>
        <w:t xml:space="preserve"> de defensa para el asesor fiscal</w:t>
      </w:r>
    </w:p>
    <w:p w14:paraId="32879462" w14:textId="77777777" w:rsidR="009A5780" w:rsidRPr="009A5780" w:rsidRDefault="009A5780" w:rsidP="009A5780">
      <w:pPr>
        <w:numPr>
          <w:ilvl w:val="0"/>
          <w:numId w:val="13"/>
        </w:numPr>
        <w:jc w:val="both"/>
      </w:pPr>
      <w:r w:rsidRPr="009A5780">
        <w:t>Identificar si el servicio contratado con un residente en el extranjero se "aprovecha económicamente" en México. Si el beneficiario es una empresa mexicana que aplica ese conocimiento en México, la fuente de riqueza está en México.</w:t>
      </w:r>
    </w:p>
    <w:p w14:paraId="16543C36" w14:textId="77777777" w:rsidR="009A5780" w:rsidRPr="009A5780" w:rsidRDefault="009A5780" w:rsidP="009A5780">
      <w:pPr>
        <w:numPr>
          <w:ilvl w:val="0"/>
          <w:numId w:val="13"/>
        </w:numPr>
        <w:jc w:val="both"/>
      </w:pPr>
      <w:r w:rsidRPr="009A5780">
        <w:t>Calcular la retención correspondiente: tasa general del 25% (artículo 195 LISR) si no aplica tratado. Solo con certificado de residencia fiscal vigente y tratado aplicable se puede aplicar tasa reducida.</w:t>
      </w:r>
    </w:p>
    <w:p w14:paraId="38969778" w14:textId="77777777" w:rsidR="009A5780" w:rsidRPr="009A5780" w:rsidRDefault="009A5780" w:rsidP="009A5780">
      <w:pPr>
        <w:numPr>
          <w:ilvl w:val="0"/>
          <w:numId w:val="13"/>
        </w:numPr>
        <w:jc w:val="both"/>
      </w:pPr>
      <w:r w:rsidRPr="009A5780">
        <w:t>Verificar si existe tratado con el país del proveedor. México tiene tratados con más de 60 países; cada uno tiene reglas distintas.</w:t>
      </w:r>
    </w:p>
    <w:p w14:paraId="043DA4BF" w14:textId="77777777" w:rsidR="009A5780" w:rsidRPr="009A5780" w:rsidRDefault="009A5780" w:rsidP="009A5780">
      <w:pPr>
        <w:numPr>
          <w:ilvl w:val="0"/>
          <w:numId w:val="13"/>
        </w:numPr>
        <w:jc w:val="both"/>
      </w:pPr>
      <w:r w:rsidRPr="009A5780">
        <w:t>Si el proveedor argumenta que no tiene EP en México, eso no exime de la retención. El Título V grava la fuente de riqueza independientemente del EP.</w:t>
      </w:r>
    </w:p>
    <w:p w14:paraId="4BE5F82C" w14:textId="77777777" w:rsidR="009A5780" w:rsidRPr="009A5780" w:rsidRDefault="009A5780" w:rsidP="009A5780">
      <w:pPr>
        <w:numPr>
          <w:ilvl w:val="0"/>
          <w:numId w:val="13"/>
        </w:numPr>
        <w:jc w:val="both"/>
      </w:pPr>
      <w:r w:rsidRPr="009A5780">
        <w:t>Si el servicio se prestó físicamente en el extranjero, documentar esa circunstancia (bitácoras, contratos, testimonios) para desvirtuar la presunción del artículo 156 de la LISR.</w:t>
      </w:r>
    </w:p>
    <w:p w14:paraId="506E8015" w14:textId="77777777" w:rsidR="009A5780" w:rsidRPr="009A5780" w:rsidRDefault="009A5780" w:rsidP="009A5780">
      <w:pPr>
        <w:numPr>
          <w:ilvl w:val="0"/>
          <w:numId w:val="13"/>
        </w:numPr>
        <w:jc w:val="both"/>
      </w:pPr>
      <w:r w:rsidRPr="009A5780">
        <w:t>Si no retuvo, regularizar antes de que el SAT lo detecte: presentar declaraciones complementarias y enterar ISR retenido más actualizaciones y recargos.</w:t>
      </w:r>
    </w:p>
    <w:p w14:paraId="3A348623" w14:textId="77777777" w:rsidR="009A5780" w:rsidRPr="009A5780" w:rsidRDefault="009A5780" w:rsidP="009A5780">
      <w:pPr>
        <w:numPr>
          <w:ilvl w:val="0"/>
          <w:numId w:val="13"/>
        </w:numPr>
        <w:jc w:val="both"/>
      </w:pPr>
      <w:r w:rsidRPr="009A5780">
        <w:t>En el contrato con el proveedor extranjero, especificar claramente la naturaleza del servicio (asesoría, consultoría, asistencia técnica, regalías). La naturaleza determina la tasa de retención.</w:t>
      </w:r>
    </w:p>
    <w:p w14:paraId="0C0AC4C2" w14:textId="77777777" w:rsidR="009A5780" w:rsidRPr="009A5780" w:rsidRDefault="009A5780" w:rsidP="009A5780">
      <w:pPr>
        <w:jc w:val="both"/>
      </w:pPr>
      <w:r w:rsidRPr="009A5780">
        <w:rPr>
          <w:b/>
          <w:bCs/>
        </w:rPr>
        <w:t>Nota final para el asesor fiscal:</w:t>
      </w:r>
      <w:r w:rsidRPr="009A5780">
        <w:t> En materia de pagos a residentes en el extranjero, la "presencia física" no es relevante. Lo relevante es la </w:t>
      </w:r>
      <w:r w:rsidRPr="009A5780">
        <w:rPr>
          <w:b/>
          <w:bCs/>
        </w:rPr>
        <w:t>fuente de riqueza</w:t>
      </w:r>
      <w:r w:rsidRPr="009A5780">
        <w:t>. Si el servicio se aprovecha económicamente en México, México puede cobrar impuestos. El hecho de que el consultor nunca haya pisado México no exime al cliente mexicano de retener. El Título V de la LISR (artículos 195 a 197) grava los ingresos cuya fuente de riqueza está en territorio nacional, sin importar dónde esté el proveedor. La obligación de retener recae en el pagador mexicano. Si no retiene, la deducción del gasto es improcedente y además debe pagar el impuesto no retenido (responsabilidad solidaria).</w:t>
      </w:r>
    </w:p>
    <w:p w14:paraId="142B0A5D" w14:textId="77777777" w:rsidR="009A5780" w:rsidRPr="009A5780" w:rsidRDefault="00000000" w:rsidP="009A5780">
      <w:pPr>
        <w:jc w:val="both"/>
      </w:pPr>
      <w:r>
        <w:pict w14:anchorId="5632A3D0">
          <v:rect id="_x0000_i1037" style="width:0;height:.75pt" o:hralign="center" o:hrstd="t" o:hr="t" fillcolor="#a0a0a0" stroked="f"/>
        </w:pict>
      </w:r>
    </w:p>
    <w:p w14:paraId="52395AFD" w14:textId="77777777" w:rsidR="009A5780" w:rsidRPr="009A5780" w:rsidRDefault="009A5780" w:rsidP="009A5780">
      <w:pPr>
        <w:jc w:val="both"/>
        <w:rPr>
          <w:b/>
          <w:bCs/>
        </w:rPr>
      </w:pPr>
      <w:r w:rsidRPr="009A5780">
        <w:rPr>
          <w:b/>
          <w:bCs/>
        </w:rPr>
        <w:t>Apéndice 9 – Capítulo 9</w:t>
      </w:r>
    </w:p>
    <w:p w14:paraId="7D648781" w14:textId="77777777" w:rsidR="009A5780" w:rsidRPr="009A5780" w:rsidRDefault="009A5780" w:rsidP="009A5780">
      <w:pPr>
        <w:jc w:val="both"/>
      </w:pPr>
      <w:r w:rsidRPr="009A5780">
        <w:rPr>
          <w:b/>
          <w:bCs/>
        </w:rPr>
        <w:t>Llamar "regalías" a una capacitación le puede costar una multa de $7M: la diferencia entre servicios personales y asistencia técnica</w:t>
      </w:r>
    </w:p>
    <w:p w14:paraId="14AF59C6" w14:textId="77777777" w:rsidR="009A5780" w:rsidRPr="009A5780" w:rsidRDefault="009A5780" w:rsidP="009A5780">
      <w:pPr>
        <w:jc w:val="both"/>
      </w:pPr>
      <w:r w:rsidRPr="009A5780">
        <w:rPr>
          <w:b/>
          <w:bCs/>
        </w:rPr>
        <w:lastRenderedPageBreak/>
        <w:t>Expediente:</w:t>
      </w:r>
      <w:r w:rsidRPr="009A5780">
        <w:t> 253/23-20-01-8/1913/23-S1-04-02 del Tribunal Federal de Justicia Administrativa (Primera Sección de la Sala Superior)</w:t>
      </w:r>
    </w:p>
    <w:p w14:paraId="2613C8CA" w14:textId="77777777" w:rsidR="009A5780" w:rsidRPr="009A5780" w:rsidRDefault="009A5780" w:rsidP="009A5780">
      <w:pPr>
        <w:jc w:val="both"/>
      </w:pPr>
      <w:r w:rsidRPr="009A5780">
        <w:rPr>
          <w:b/>
          <w:bCs/>
        </w:rPr>
        <w:t>Los 10 puntos técnicos más relevantes para el asesor fiscal</w:t>
      </w:r>
    </w:p>
    <w:p w14:paraId="600AA846" w14:textId="77777777" w:rsidR="009A5780" w:rsidRPr="009A5780" w:rsidRDefault="009A5780" w:rsidP="009A5780">
      <w:pPr>
        <w:jc w:val="both"/>
      </w:pPr>
      <w:r w:rsidRPr="009A5780">
        <w:rPr>
          <w:b/>
          <w:bCs/>
        </w:rPr>
        <w:t>1. La naturaleza del servicio determina la tasa de retención, no el nombre del contrato</w:t>
      </w:r>
      <w:r w:rsidRPr="009A5780">
        <w:br/>
        <w:t>No importa cómo se llame el acuerdo (regalías, asesoría, consultoría). El SAT analiza qué se recibió realmente. Si recibió manuales, capacitación y recomendaciones sin cesión de derechos de propiedad intelectual, no son regalías.</w:t>
      </w:r>
    </w:p>
    <w:p w14:paraId="13E67CCB" w14:textId="77777777" w:rsidR="009A5780" w:rsidRPr="009A5780" w:rsidRDefault="009A5780" w:rsidP="009A5780">
      <w:pPr>
        <w:jc w:val="both"/>
      </w:pPr>
      <w:r w:rsidRPr="009A5780">
        <w:rPr>
          <w:i/>
          <w:iCs/>
        </w:rPr>
        <w:t>Fundamento:</w:t>
      </w:r>
      <w:r w:rsidRPr="009A5780">
        <w:t> Artículo 5 del CFF (sustancia económica); artículo 109 de la LISR (regalías); artículo 14 del Modelo de Convenio de la OCDE.</w:t>
      </w:r>
    </w:p>
    <w:p w14:paraId="0C4E38CA" w14:textId="77777777" w:rsidR="009A5780" w:rsidRPr="009A5780" w:rsidRDefault="009A5780" w:rsidP="009A5780">
      <w:pPr>
        <w:jc w:val="both"/>
      </w:pPr>
      <w:r w:rsidRPr="009A5780">
        <w:rPr>
          <w:b/>
          <w:bCs/>
        </w:rPr>
        <w:t>2. La ley presume que el servicio se prestó en México (artículo 156 de la LISR)</w:t>
      </w:r>
      <w:r w:rsidRPr="009A5780">
        <w:br/>
        <w:t>Cuando un residente mexicano paga servicios a un residente en el extranjero por servicios personales independientes, la ley presume que el servicio se realizó en territorio nacional. Para desvirtuarla, se necesita prueba fehaciente del lugar físico de la prestación.</w:t>
      </w:r>
    </w:p>
    <w:p w14:paraId="2FE543F9" w14:textId="77777777" w:rsidR="009A5780" w:rsidRPr="009A5780" w:rsidRDefault="009A5780" w:rsidP="009A5780">
      <w:pPr>
        <w:jc w:val="both"/>
      </w:pPr>
      <w:r w:rsidRPr="009A5780">
        <w:rPr>
          <w:i/>
          <w:iCs/>
        </w:rPr>
        <w:t>Fundamento:</w:t>
      </w:r>
      <w:r w:rsidRPr="009A5780">
        <w:t> Artículo 156 de la LISR; artículo 40 de la LFCA.</w:t>
      </w:r>
    </w:p>
    <w:p w14:paraId="096D6FD7" w14:textId="77777777" w:rsidR="009A5780" w:rsidRPr="009A5780" w:rsidRDefault="009A5780" w:rsidP="009A5780">
      <w:pPr>
        <w:jc w:val="both"/>
      </w:pPr>
      <w:r w:rsidRPr="009A5780">
        <w:rPr>
          <w:b/>
          <w:bCs/>
        </w:rPr>
        <w:t>3. El tratado no elimina la presunción doméstica</w:t>
      </w:r>
      <w:r w:rsidRPr="009A5780">
        <w:br/>
        <w:t xml:space="preserve">Acreditar la residencia del proveedor en el extranjero es </w:t>
      </w:r>
      <w:proofErr w:type="gramStart"/>
      <w:r w:rsidRPr="009A5780">
        <w:t>necesario</w:t>
      </w:r>
      <w:proofErr w:type="gramEnd"/>
      <w:r w:rsidRPr="009A5780">
        <w:t xml:space="preserve"> pero no suficiente. Para aplicar el tratado y reducir la retención, se requiere además desvirtuar la presunción del artículo 156 de la LISR (que el servicio se prestó en México).</w:t>
      </w:r>
    </w:p>
    <w:p w14:paraId="4668506A" w14:textId="77777777" w:rsidR="009A5780" w:rsidRPr="009A5780" w:rsidRDefault="009A5780" w:rsidP="009A5780">
      <w:pPr>
        <w:jc w:val="both"/>
      </w:pPr>
      <w:r w:rsidRPr="009A5780">
        <w:rPr>
          <w:i/>
          <w:iCs/>
        </w:rPr>
        <w:t>Fundamento:</w:t>
      </w:r>
      <w:r w:rsidRPr="009A5780">
        <w:t> Artículo 156 de la LISR; artículo 14 del Convenio México-Suiza (ejemplo).</w:t>
      </w:r>
    </w:p>
    <w:p w14:paraId="2AE1CD06" w14:textId="77777777" w:rsidR="009A5780" w:rsidRPr="009A5780" w:rsidRDefault="009A5780" w:rsidP="009A5780">
      <w:pPr>
        <w:jc w:val="both"/>
      </w:pPr>
      <w:r w:rsidRPr="009A5780">
        <w:rPr>
          <w:b/>
          <w:bCs/>
        </w:rPr>
        <w:t>4. Un error mecanográfico en la cita legal no invalida el acto si no genera confusión</w:t>
      </w:r>
      <w:r w:rsidRPr="009A5780">
        <w:br/>
        <w:t xml:space="preserve">Si la autoridad cita un artículo </w:t>
      </w:r>
      <w:proofErr w:type="gramStart"/>
      <w:r w:rsidRPr="009A5780">
        <w:t>equivocado</w:t>
      </w:r>
      <w:proofErr w:type="gramEnd"/>
      <w:r w:rsidRPr="009A5780">
        <w:t xml:space="preserve"> pero del contexto se desprende claramente cuál es la infracción, el Tribunal puede considerarlo un error subsanable si no afecta las defensas del contribuyente.</w:t>
      </w:r>
    </w:p>
    <w:p w14:paraId="338322D7" w14:textId="77777777" w:rsidR="009A5780" w:rsidRPr="009A5780" w:rsidRDefault="009A5780" w:rsidP="009A5780">
      <w:pPr>
        <w:jc w:val="both"/>
      </w:pPr>
      <w:r w:rsidRPr="009A5780">
        <w:rPr>
          <w:i/>
          <w:iCs/>
        </w:rPr>
        <w:t>Fundamento:</w:t>
      </w:r>
      <w:r w:rsidRPr="009A5780">
        <w:t> Artículo 16 constitucional; tesis "error de escritura: debe atenderse a lo que realmente se quiso expresar".</w:t>
      </w:r>
    </w:p>
    <w:p w14:paraId="48DC6CC5" w14:textId="77777777" w:rsidR="009A5780" w:rsidRPr="009A5780" w:rsidRDefault="009A5780" w:rsidP="009A5780">
      <w:pPr>
        <w:jc w:val="both"/>
      </w:pPr>
      <w:r w:rsidRPr="009A5780">
        <w:rPr>
          <w:b/>
          <w:bCs/>
        </w:rPr>
        <w:t>5. La residencia fiscal del proveedor extranjero es necesaria pero no suficiente para aplicar el tratado</w:t>
      </w:r>
      <w:r w:rsidRPr="009A5780">
        <w:br/>
        <w:t>Se deben cumplir requisitos adicionales: ausencia de base fija en México, estancia del personal extranjero menor a 183 días, y desvirtuar la presunción del artículo 156 de la LISR.</w:t>
      </w:r>
    </w:p>
    <w:p w14:paraId="4B45932A" w14:textId="77777777" w:rsidR="009A5780" w:rsidRPr="009A5780" w:rsidRDefault="009A5780" w:rsidP="009A5780">
      <w:pPr>
        <w:jc w:val="both"/>
      </w:pPr>
      <w:r w:rsidRPr="009A5780">
        <w:rPr>
          <w:i/>
          <w:iCs/>
        </w:rPr>
        <w:lastRenderedPageBreak/>
        <w:t>Fundamento:</w:t>
      </w:r>
      <w:r w:rsidRPr="009A5780">
        <w:t> Artículo 4 del Convenio México-Suiza; artículo 14 del Convenio México-Suiza.</w:t>
      </w:r>
    </w:p>
    <w:p w14:paraId="472B84AE" w14:textId="77777777" w:rsidR="009A5780" w:rsidRPr="009A5780" w:rsidRDefault="009A5780" w:rsidP="009A5780">
      <w:pPr>
        <w:jc w:val="both"/>
      </w:pPr>
      <w:r w:rsidRPr="009A5780">
        <w:rPr>
          <w:b/>
          <w:bCs/>
        </w:rPr>
        <w:t>6. El artículo 14 del Convenio México-Suiza solo excluye la imposición si no hay base fija ni estancia, pero además se requiere probar que el servicio se prestó en el extranjero</w:t>
      </w:r>
      <w:r w:rsidRPr="009A5780">
        <w:br/>
        <w:t>El tratado no elimina la presunción doméstica. El contribuyente debe probar, además del tratado, que el servicio se prestó físicamente en el extranjero.</w:t>
      </w:r>
    </w:p>
    <w:p w14:paraId="6B8DD98E" w14:textId="77777777" w:rsidR="009A5780" w:rsidRPr="009A5780" w:rsidRDefault="009A5780" w:rsidP="009A5780">
      <w:pPr>
        <w:jc w:val="both"/>
      </w:pPr>
      <w:r w:rsidRPr="009A5780">
        <w:rPr>
          <w:i/>
          <w:iCs/>
        </w:rPr>
        <w:t>Fundamento:</w:t>
      </w:r>
      <w:r w:rsidRPr="009A5780">
        <w:t> Artículo 14 del Convenio México-Suiza; artículo 156 de la LISR.</w:t>
      </w:r>
    </w:p>
    <w:p w14:paraId="3BE00E54" w14:textId="77777777" w:rsidR="009A5780" w:rsidRPr="009A5780" w:rsidRDefault="009A5780" w:rsidP="009A5780">
      <w:pPr>
        <w:jc w:val="both"/>
      </w:pPr>
      <w:r w:rsidRPr="009A5780">
        <w:rPr>
          <w:b/>
          <w:bCs/>
        </w:rPr>
        <w:t>7. La manifestación bajo protesta del contribuyente no es prueba suficiente</w:t>
      </w:r>
      <w:r w:rsidRPr="009A5780">
        <w:br/>
        <w:t>Declarar bajo protesta que no existe EP, base fija o estancia ≥183 días no desvirtúa la presunción del artículo 156. Se requieren medios objetivos: bitácoras de vuelo, registros migratorios, contratos que especifiquen lugar de ejecución.</w:t>
      </w:r>
    </w:p>
    <w:p w14:paraId="1D927C2B" w14:textId="77777777" w:rsidR="009A5780" w:rsidRPr="009A5780" w:rsidRDefault="009A5780" w:rsidP="009A5780">
      <w:pPr>
        <w:jc w:val="both"/>
      </w:pPr>
      <w:r w:rsidRPr="009A5780">
        <w:rPr>
          <w:i/>
          <w:iCs/>
        </w:rPr>
        <w:t>Fundamento:</w:t>
      </w:r>
      <w:r w:rsidRPr="009A5780">
        <w:t> Artículo 156 de la LISR; artículo 40 de la LFCA.</w:t>
      </w:r>
    </w:p>
    <w:p w14:paraId="17B23452" w14:textId="77777777" w:rsidR="009A5780" w:rsidRPr="009A5780" w:rsidRDefault="009A5780" w:rsidP="009A5780">
      <w:pPr>
        <w:jc w:val="both"/>
      </w:pPr>
      <w:r w:rsidRPr="009A5780">
        <w:rPr>
          <w:b/>
          <w:bCs/>
        </w:rPr>
        <w:t>8. La competencia de la autoridad fiscal se funda correctamente citando los artículos que otorgan la facultad material</w:t>
      </w:r>
      <w:r w:rsidRPr="009A5780">
        <w:br/>
        <w:t>No es necesario mencionar cada fracción de la ley cuando la facultad ejercida está claramente comprendida en el precepto citado. La falta de cita específica no vicia de nulidad el acto.</w:t>
      </w:r>
    </w:p>
    <w:p w14:paraId="2A8DF832" w14:textId="77777777" w:rsidR="009A5780" w:rsidRPr="009A5780" w:rsidRDefault="009A5780" w:rsidP="009A5780">
      <w:pPr>
        <w:jc w:val="both"/>
      </w:pPr>
      <w:r w:rsidRPr="009A5780">
        <w:rPr>
          <w:i/>
          <w:iCs/>
        </w:rPr>
        <w:t>Fundamento:</w:t>
      </w:r>
      <w:r w:rsidRPr="009A5780">
        <w:t> Artículo 14 del Reglamento Interior del SAT; artículo 16 constitucional.</w:t>
      </w:r>
    </w:p>
    <w:p w14:paraId="237757CE" w14:textId="77777777" w:rsidR="009A5780" w:rsidRPr="009A5780" w:rsidRDefault="009A5780" w:rsidP="009A5780">
      <w:pPr>
        <w:jc w:val="both"/>
      </w:pPr>
      <w:r w:rsidRPr="009A5780">
        <w:rPr>
          <w:b/>
          <w:bCs/>
        </w:rPr>
        <w:t>9. El principio de litis abierta permite impugnar simultáneamente la resolución recurrida y la original</w:t>
      </w:r>
      <w:r w:rsidRPr="009A5780">
        <w:br/>
        <w:t>El actor puede impugnar en juicio tanto la resolución del recurso de revocación como el acto original cuando la resolución del recurso lo confirma o modifica. Útil cuando el vicio de fondo está en el acto original.</w:t>
      </w:r>
    </w:p>
    <w:p w14:paraId="347031CF" w14:textId="77777777" w:rsidR="009A5780" w:rsidRPr="009A5780" w:rsidRDefault="009A5780" w:rsidP="009A5780">
      <w:pPr>
        <w:jc w:val="both"/>
      </w:pPr>
      <w:r w:rsidRPr="009A5780">
        <w:rPr>
          <w:i/>
          <w:iCs/>
        </w:rPr>
        <w:t>Fundamento:</w:t>
      </w:r>
      <w:r w:rsidRPr="009A5780">
        <w:t> Artículo 1 de la LFCA; jurisprudencia 2a./J. 73/2013 (10a.) de la SCJN.</w:t>
      </w:r>
    </w:p>
    <w:p w14:paraId="4F339FF9" w14:textId="77777777" w:rsidR="009A5780" w:rsidRPr="009A5780" w:rsidRDefault="009A5780" w:rsidP="009A5780">
      <w:pPr>
        <w:jc w:val="both"/>
      </w:pPr>
      <w:r w:rsidRPr="009A5780">
        <w:rPr>
          <w:b/>
          <w:bCs/>
        </w:rPr>
        <w:t>10. La nulidad no procede por vicios formales menores si la motivación es clara y no se causa indefensión</w:t>
      </w:r>
      <w:r w:rsidRPr="009A5780">
        <w:br/>
        <w:t>La nulidad por vicios formales procede solo cuando el vicio afecta las defensas del contribuyente o le causa indefensión. No procede por errores mecanográficos subsanables.</w:t>
      </w:r>
    </w:p>
    <w:p w14:paraId="0A8D0221" w14:textId="77777777" w:rsidR="009A5780" w:rsidRPr="009A5780" w:rsidRDefault="009A5780" w:rsidP="009A5780">
      <w:pPr>
        <w:jc w:val="both"/>
      </w:pPr>
      <w:r w:rsidRPr="009A5780">
        <w:rPr>
          <w:i/>
          <w:iCs/>
        </w:rPr>
        <w:t>Fundamento:</w:t>
      </w:r>
      <w:r w:rsidRPr="009A5780">
        <w:t> Artículo 16 constitucional; tesis 2a./J. 152/2015 (10a.) de la SCJN.</w:t>
      </w:r>
    </w:p>
    <w:p w14:paraId="5E976A54" w14:textId="77777777" w:rsidR="009A5780" w:rsidRPr="009A5780" w:rsidRDefault="009A5780" w:rsidP="009A5780">
      <w:pPr>
        <w:jc w:val="both"/>
      </w:pPr>
      <w:r w:rsidRPr="009A5780">
        <w:rPr>
          <w:b/>
          <w:bCs/>
        </w:rPr>
        <w:t>Fundamento legal completo del caso</w:t>
      </w:r>
    </w:p>
    <w:p w14:paraId="71D6F726" w14:textId="77777777" w:rsidR="009A5780" w:rsidRPr="009A5780" w:rsidRDefault="009A5780" w:rsidP="009A5780">
      <w:pPr>
        <w:jc w:val="both"/>
      </w:pPr>
      <w:r w:rsidRPr="009A5780">
        <w:rPr>
          <w:i/>
          <w:iCs/>
        </w:rPr>
        <w:lastRenderedPageBreak/>
        <w:t>Legislación aplicable:</w:t>
      </w:r>
      <w:r w:rsidRPr="009A5780">
        <w:t> Artículos 109 fracción I, 156, 167 fracción II, 86, 31 fracción V de la LISR; artículos 4, 14 del Convenio México-Suiza; artículo 14 del Reglamento Interior del SAT; artículo 1 de la LFCA.</w:t>
      </w:r>
    </w:p>
    <w:p w14:paraId="5ED45674" w14:textId="77777777" w:rsidR="009A5780" w:rsidRPr="009A5780" w:rsidRDefault="009A5780" w:rsidP="009A5780">
      <w:pPr>
        <w:jc w:val="both"/>
      </w:pPr>
      <w:r w:rsidRPr="009A5780">
        <w:rPr>
          <w:i/>
          <w:iCs/>
        </w:rPr>
        <w:t>Jurisprudencia:</w:t>
      </w:r>
      <w:r w:rsidRPr="009A5780">
        <w:t> 2a./J. 73/2013 (10a.); 2a./J. 152/2015 (10a.) de la SCJN.</w:t>
      </w:r>
    </w:p>
    <w:p w14:paraId="13057E7A" w14:textId="77777777" w:rsidR="009A5780" w:rsidRPr="009A5780" w:rsidRDefault="009A5780" w:rsidP="009A5780">
      <w:pPr>
        <w:jc w:val="both"/>
      </w:pPr>
      <w:r w:rsidRPr="009A5780">
        <w:rPr>
          <w:b/>
          <w:bCs/>
        </w:rPr>
        <w:t>Referencia al expediente completo</w:t>
      </w:r>
      <w:r w:rsidRPr="009A5780">
        <w:br/>
        <w:t>El expediente 253/23-20-01-8/1913/23-S1-04-02 puede ser consultado en el TFJA o SISE.</w:t>
      </w:r>
    </w:p>
    <w:p w14:paraId="54D1DC18" w14:textId="77777777" w:rsidR="009A5780" w:rsidRPr="009A5780" w:rsidRDefault="009A5780" w:rsidP="009A5780">
      <w:pPr>
        <w:jc w:val="both"/>
      </w:pPr>
      <w:proofErr w:type="spellStart"/>
      <w:r w:rsidRPr="009A5780">
        <w:rPr>
          <w:b/>
          <w:bCs/>
        </w:rPr>
        <w:t>Checklist</w:t>
      </w:r>
      <w:proofErr w:type="spellEnd"/>
      <w:r w:rsidRPr="009A5780">
        <w:rPr>
          <w:b/>
          <w:bCs/>
        </w:rPr>
        <w:t xml:space="preserve"> de defensa para el asesor fiscal</w:t>
      </w:r>
    </w:p>
    <w:p w14:paraId="11F57364" w14:textId="77777777" w:rsidR="009A5780" w:rsidRPr="009A5780" w:rsidRDefault="009A5780" w:rsidP="009A5780">
      <w:pPr>
        <w:numPr>
          <w:ilvl w:val="0"/>
          <w:numId w:val="14"/>
        </w:numPr>
        <w:jc w:val="both"/>
      </w:pPr>
      <w:r w:rsidRPr="009A5780">
        <w:t>Analizar qué se recibió realmente: ¿se transmitió propiedad intelectual protegida (patentes, marcas registradas, derechos de autor, know-how secreto)? Si no, no son regalías.</w:t>
      </w:r>
    </w:p>
    <w:p w14:paraId="105881AC" w14:textId="77777777" w:rsidR="009A5780" w:rsidRPr="009A5780" w:rsidRDefault="009A5780" w:rsidP="009A5780">
      <w:pPr>
        <w:numPr>
          <w:ilvl w:val="0"/>
          <w:numId w:val="14"/>
        </w:numPr>
        <w:jc w:val="both"/>
      </w:pPr>
      <w:r w:rsidRPr="009A5780">
        <w:t>Recordar la presunción del artículo 156 de la LISR: si usted es residente mexicano y paga servicios a un residente en el extranjero, la ley presume que el servicio se prestó en México. Necesita prueba fehaciente para desvirtuarla.</w:t>
      </w:r>
    </w:p>
    <w:p w14:paraId="2E735BC2" w14:textId="77777777" w:rsidR="009A5780" w:rsidRPr="009A5780" w:rsidRDefault="009A5780" w:rsidP="009A5780">
      <w:pPr>
        <w:numPr>
          <w:ilvl w:val="0"/>
          <w:numId w:val="14"/>
        </w:numPr>
        <w:jc w:val="both"/>
      </w:pPr>
      <w:r w:rsidRPr="009A5780">
        <w:t>Obtener certificado de residencia fiscal del proveedor extranjero, vigente (expedido por autoridad fiscal, no por notario). Vigencia anual.</w:t>
      </w:r>
    </w:p>
    <w:p w14:paraId="1A93E4C4" w14:textId="77777777" w:rsidR="009A5780" w:rsidRPr="009A5780" w:rsidRDefault="009A5780" w:rsidP="009A5780">
      <w:pPr>
        <w:numPr>
          <w:ilvl w:val="0"/>
          <w:numId w:val="14"/>
        </w:numPr>
        <w:jc w:val="both"/>
      </w:pPr>
      <w:r w:rsidRPr="009A5780">
        <w:t>En el contrato, especificar claramente la naturaleza del servicio: asistencia técnica, servicios personales independientes o regalías. Cada una tiene tasas de retención distintas.</w:t>
      </w:r>
    </w:p>
    <w:p w14:paraId="36BBEB07" w14:textId="77777777" w:rsidR="009A5780" w:rsidRPr="009A5780" w:rsidRDefault="009A5780" w:rsidP="009A5780">
      <w:pPr>
        <w:numPr>
          <w:ilvl w:val="0"/>
          <w:numId w:val="14"/>
        </w:numPr>
        <w:jc w:val="both"/>
      </w:pPr>
      <w:r w:rsidRPr="009A5780">
        <w:t>Documentar la materialidad del servicio: correos, actas de juntas virtuales, acuses de recibo de manuales, constancias de capacitación. Eso ayuda a desvirtuar la presunción de prestación en México si el servicio se ejecutó en el extranjero.</w:t>
      </w:r>
    </w:p>
    <w:p w14:paraId="62342B61" w14:textId="77777777" w:rsidR="009A5780" w:rsidRPr="009A5780" w:rsidRDefault="009A5780" w:rsidP="009A5780">
      <w:pPr>
        <w:numPr>
          <w:ilvl w:val="0"/>
          <w:numId w:val="14"/>
        </w:numPr>
        <w:jc w:val="both"/>
      </w:pPr>
      <w:r w:rsidRPr="009A5780">
        <w:t>Si el proveedor extranjero tiene personal que viene a México, llevar registro diario de entradas y salidas (umbral crítico: 183 días en 12 meses).</w:t>
      </w:r>
    </w:p>
    <w:p w14:paraId="06711F27" w14:textId="77777777" w:rsidR="009A5780" w:rsidRPr="009A5780" w:rsidRDefault="009A5780" w:rsidP="009A5780">
      <w:pPr>
        <w:numPr>
          <w:ilvl w:val="0"/>
          <w:numId w:val="14"/>
        </w:numPr>
        <w:jc w:val="both"/>
      </w:pPr>
      <w:r w:rsidRPr="009A5780">
        <w:t>Si el SAT clasifica el servicio de manera distinta, impugnar con pruebas sólidas. La carga de la prueba de la clasificación recae en el contribuyente.</w:t>
      </w:r>
    </w:p>
    <w:p w14:paraId="3CC4D8C2" w14:textId="77777777" w:rsidR="009A5780" w:rsidRPr="009A5780" w:rsidRDefault="009A5780" w:rsidP="009A5780">
      <w:pPr>
        <w:jc w:val="both"/>
      </w:pPr>
      <w:r w:rsidRPr="009A5780">
        <w:rPr>
          <w:b/>
          <w:bCs/>
        </w:rPr>
        <w:t>Nota final para el asesor fiscal:</w:t>
      </w:r>
      <w:r w:rsidRPr="009A5780">
        <w:t xml:space="preserve"> La diferencia entre regalías y servicios personales independientes no es semántica; es fiscal. Las regalías tienen tasas de retención reducidas (5% a 10% según tratados). Los servicios personales independientes y la asistencia técnica no (25% salvo tratado que disponga lo contrario). El error más común es etiquetar un servicio como "regalías" porque el contrato menciona "marcas" o "know-how". El SAT y los tribunales analizan la realidad: ¿se transmitió propiedad </w:t>
      </w:r>
      <w:r w:rsidRPr="009A5780">
        <w:lastRenderedPageBreak/>
        <w:t>intelectual protegida? ¿O simplemente se capacitó y entregó manuales? Si es lo segundo, no son regalías. Además, no ignore la presunción del artículo 156: la ley presume que el servicio se prestó en México. Para desvirtuarla, se necesita prueba fehaciente del lugar de prestación. La mera declaración "nunca vinieron a México" no es suficiente.</w:t>
      </w:r>
    </w:p>
    <w:p w14:paraId="077F080A" w14:textId="77777777" w:rsidR="007B2DD7" w:rsidRPr="007B2DD7" w:rsidRDefault="007B2DD7" w:rsidP="007B2DD7">
      <w:pPr>
        <w:jc w:val="both"/>
        <w:rPr>
          <w:b/>
          <w:bCs/>
        </w:rPr>
      </w:pPr>
      <w:r w:rsidRPr="007B2DD7">
        <w:rPr>
          <w:b/>
          <w:bCs/>
        </w:rPr>
        <w:t>Apéndice 10 – Capítulo 10</w:t>
      </w:r>
    </w:p>
    <w:p w14:paraId="2F6425C0" w14:textId="77777777" w:rsidR="007B2DD7" w:rsidRPr="007B2DD7" w:rsidRDefault="007B2DD7" w:rsidP="007B2DD7">
      <w:pPr>
        <w:jc w:val="both"/>
      </w:pPr>
      <w:r w:rsidRPr="007B2DD7">
        <w:rPr>
          <w:b/>
          <w:bCs/>
        </w:rPr>
        <w:t>Pagar impuestos en México y en España no significa que México le deba devolver: el tratado asigna a España la función de acreditar</w:t>
      </w:r>
    </w:p>
    <w:p w14:paraId="3009007B" w14:textId="77777777" w:rsidR="007B2DD7" w:rsidRPr="007B2DD7" w:rsidRDefault="007B2DD7" w:rsidP="007B2DD7">
      <w:pPr>
        <w:jc w:val="both"/>
      </w:pPr>
      <w:r w:rsidRPr="007B2DD7">
        <w:rPr>
          <w:b/>
          <w:bCs/>
        </w:rPr>
        <w:t>Expediente:</w:t>
      </w:r>
      <w:r w:rsidRPr="007B2DD7">
        <w:t> 14653/20-17-10-1/1527/22-S2-07-02 del Tribunal Federal de Justicia Administrativa (Segunda Sección de la Sala Superior)</w:t>
      </w:r>
    </w:p>
    <w:p w14:paraId="64643E55" w14:textId="77777777" w:rsidR="007B2DD7" w:rsidRPr="007B2DD7" w:rsidRDefault="007B2DD7" w:rsidP="007B2DD7">
      <w:pPr>
        <w:jc w:val="both"/>
      </w:pPr>
      <w:r w:rsidRPr="007B2DD7">
        <w:rPr>
          <w:b/>
          <w:bCs/>
        </w:rPr>
        <w:t>Los 10 puntos técnicos más relevantes para el asesor fiscal</w:t>
      </w:r>
    </w:p>
    <w:p w14:paraId="74B81FF0" w14:textId="77777777" w:rsidR="007B2DD7" w:rsidRPr="007B2DD7" w:rsidRDefault="007B2DD7" w:rsidP="007B2DD7">
      <w:pPr>
        <w:jc w:val="both"/>
      </w:pPr>
      <w:r w:rsidRPr="007B2DD7">
        <w:rPr>
          <w:b/>
          <w:bCs/>
        </w:rPr>
        <w:t>1. Los beneficios del tratado no son automáticos; se requiere cumplir con requisitos procedimentales</w:t>
      </w:r>
      <w:r w:rsidRPr="007B2DD7">
        <w:br/>
        <w:t>Se requiere acreditar la residencia fiscal en el otro país y cumplir con requisitos de ley interna: declaración informativa, dictamen de estados financieros cuando corresponda, designación de representante legal en México.</w:t>
      </w:r>
    </w:p>
    <w:p w14:paraId="56AE2AF4" w14:textId="77777777" w:rsidR="007B2DD7" w:rsidRPr="007B2DD7" w:rsidRDefault="007B2DD7" w:rsidP="007B2DD7">
      <w:pPr>
        <w:jc w:val="both"/>
      </w:pPr>
      <w:r w:rsidRPr="007B2DD7">
        <w:rPr>
          <w:i/>
          <w:iCs/>
        </w:rPr>
        <w:t>Fundamento:</w:t>
      </w:r>
      <w:r w:rsidRPr="007B2DD7">
        <w:t> Artículo 4 del Convenio México-España; artículo 86 de la LISR; artículo 76, fracción XII del CFF.</w:t>
      </w:r>
    </w:p>
    <w:p w14:paraId="72B2BAB7" w14:textId="77777777" w:rsidR="007B2DD7" w:rsidRPr="007B2DD7" w:rsidRDefault="007B2DD7" w:rsidP="007B2DD7">
      <w:pPr>
        <w:jc w:val="both"/>
      </w:pPr>
      <w:r w:rsidRPr="007B2DD7">
        <w:rPr>
          <w:b/>
          <w:bCs/>
        </w:rPr>
        <w:t>2. La residencia fiscal se define por el tratado (artículo 4), no por el CFF</w:t>
      </w:r>
      <w:r w:rsidRPr="007B2DD7">
        <w:br/>
        <w:t>El convenio tiene sus propias reglas: vivienda permanente, centro de intereses vitales, estancia habitual. El tratado está por encima de la ley interna (artículo 133 constitucional).</w:t>
      </w:r>
    </w:p>
    <w:p w14:paraId="4DB1E3C8" w14:textId="77777777" w:rsidR="007B2DD7" w:rsidRPr="007B2DD7" w:rsidRDefault="007B2DD7" w:rsidP="007B2DD7">
      <w:pPr>
        <w:jc w:val="both"/>
      </w:pPr>
      <w:r w:rsidRPr="007B2DD7">
        <w:rPr>
          <w:i/>
          <w:iCs/>
        </w:rPr>
        <w:t>Fundamento:</w:t>
      </w:r>
      <w:r w:rsidRPr="007B2DD7">
        <w:t> Artículo 4 del Convenio México-España; artículo 133 constitucional.</w:t>
      </w:r>
    </w:p>
    <w:p w14:paraId="3C7C5FAD" w14:textId="77777777" w:rsidR="007B2DD7" w:rsidRPr="007B2DD7" w:rsidRDefault="007B2DD7" w:rsidP="007B2DD7">
      <w:pPr>
        <w:jc w:val="both"/>
      </w:pPr>
      <w:r w:rsidRPr="007B2DD7">
        <w:rPr>
          <w:b/>
          <w:bCs/>
        </w:rPr>
        <w:t>3. El método para eliminar la doble imposición corresponde al país de residencia</w:t>
      </w:r>
      <w:r w:rsidRPr="007B2DD7">
        <w:br/>
        <w:t>El artículo 23 del Convenio México-España es claro: cuando un residente de España obtiene rentas gravables en México, </w:t>
      </w:r>
      <w:r w:rsidRPr="007B2DD7">
        <w:rPr>
          <w:b/>
          <w:bCs/>
        </w:rPr>
        <w:t>España</w:t>
      </w:r>
      <w:r w:rsidRPr="007B2DD7">
        <w:t> permitirá la deducción del impuesto pagado aquí. México no tiene obligación de devolver.</w:t>
      </w:r>
    </w:p>
    <w:p w14:paraId="0A6F3888" w14:textId="77777777" w:rsidR="007B2DD7" w:rsidRPr="007B2DD7" w:rsidRDefault="007B2DD7" w:rsidP="007B2DD7">
      <w:pPr>
        <w:jc w:val="both"/>
      </w:pPr>
      <w:r w:rsidRPr="007B2DD7">
        <w:rPr>
          <w:i/>
          <w:iCs/>
        </w:rPr>
        <w:t>Fundamento:</w:t>
      </w:r>
      <w:r w:rsidRPr="007B2DD7">
        <w:t> Artículo 23 del Convenio México-España; artículo 1, fracción III de la LISR.</w:t>
      </w:r>
    </w:p>
    <w:p w14:paraId="67D87439" w14:textId="77777777" w:rsidR="007B2DD7" w:rsidRPr="007B2DD7" w:rsidRDefault="007B2DD7" w:rsidP="007B2DD7">
      <w:pPr>
        <w:jc w:val="both"/>
      </w:pPr>
      <w:r w:rsidRPr="007B2DD7">
        <w:rPr>
          <w:b/>
          <w:bCs/>
        </w:rPr>
        <w:t>4. El orden de los pagos es relevante</w:t>
      </w:r>
      <w:r w:rsidRPr="007B2DD7">
        <w:br/>
        <w:t>Primero se grava en la fuente (México), luego se acredita en la residencia (España). El hecho de que posteriormente se pague impuesto en España no convierte al pago en México en "indebido".</w:t>
      </w:r>
    </w:p>
    <w:p w14:paraId="75EF9F19" w14:textId="77777777" w:rsidR="007B2DD7" w:rsidRPr="007B2DD7" w:rsidRDefault="007B2DD7" w:rsidP="007B2DD7">
      <w:pPr>
        <w:jc w:val="both"/>
      </w:pPr>
      <w:r w:rsidRPr="007B2DD7">
        <w:rPr>
          <w:i/>
          <w:iCs/>
        </w:rPr>
        <w:lastRenderedPageBreak/>
        <w:t>Fundamento:</w:t>
      </w:r>
      <w:r w:rsidRPr="007B2DD7">
        <w:t> Artículo 1, fracción III de la LISR; artículo 23 del Convenio México-España.</w:t>
      </w:r>
    </w:p>
    <w:p w14:paraId="04B76D9C" w14:textId="77777777" w:rsidR="007B2DD7" w:rsidRPr="007B2DD7" w:rsidRDefault="007B2DD7" w:rsidP="007B2DD7">
      <w:pPr>
        <w:jc w:val="both"/>
      </w:pPr>
      <w:r w:rsidRPr="007B2DD7">
        <w:rPr>
          <w:b/>
          <w:bCs/>
        </w:rPr>
        <w:t>5. Un "acta de inspección" no sustituye a la declaración anual extranjera</w:t>
      </w:r>
      <w:r w:rsidRPr="007B2DD7">
        <w:br/>
        <w:t>Para probar la doble tributación se requiere la declaración anual completa del país de residencia donde se acumulan los ingresos mexicanos y se solicita el acreditamiento. Un acta de inspección no demuestra el pago efectivo.</w:t>
      </w:r>
    </w:p>
    <w:p w14:paraId="0BF49FF7" w14:textId="77777777" w:rsidR="007B2DD7" w:rsidRPr="007B2DD7" w:rsidRDefault="007B2DD7" w:rsidP="007B2DD7">
      <w:pPr>
        <w:jc w:val="both"/>
      </w:pPr>
      <w:r w:rsidRPr="007B2DD7">
        <w:rPr>
          <w:i/>
          <w:iCs/>
        </w:rPr>
        <w:t>Fundamento:</w:t>
      </w:r>
      <w:r w:rsidRPr="007B2DD7">
        <w:t> Artículo 40 de la LFCA; artículo 23 del Convenio México-España.</w:t>
      </w:r>
    </w:p>
    <w:p w14:paraId="42A9733D" w14:textId="77777777" w:rsidR="007B2DD7" w:rsidRPr="007B2DD7" w:rsidRDefault="007B2DD7" w:rsidP="007B2DD7">
      <w:pPr>
        <w:jc w:val="both"/>
      </w:pPr>
      <w:r w:rsidRPr="007B2DD7">
        <w:rPr>
          <w:b/>
          <w:bCs/>
        </w:rPr>
        <w:t>6. La carga de la prueba es del contribuyente</w:t>
      </w:r>
      <w:r w:rsidRPr="007B2DD7">
        <w:br/>
        <w:t>Aunque la autoridad confiese la doble tributación, el actor debe demostrar que el tratado le permite la devolución en México. Si no lo hace, pierde.</w:t>
      </w:r>
    </w:p>
    <w:p w14:paraId="79B6C0F3" w14:textId="77777777" w:rsidR="007B2DD7" w:rsidRPr="007B2DD7" w:rsidRDefault="007B2DD7" w:rsidP="007B2DD7">
      <w:pPr>
        <w:jc w:val="both"/>
      </w:pPr>
      <w:r w:rsidRPr="007B2DD7">
        <w:rPr>
          <w:i/>
          <w:iCs/>
        </w:rPr>
        <w:t>Fundamento:</w:t>
      </w:r>
      <w:r w:rsidRPr="007B2DD7">
        <w:t> Artículo 40 de la LFCA; artículo 23 del Convenio México-España.</w:t>
      </w:r>
    </w:p>
    <w:p w14:paraId="731529A7" w14:textId="77777777" w:rsidR="007B2DD7" w:rsidRPr="007B2DD7" w:rsidRDefault="007B2DD7" w:rsidP="007B2DD7">
      <w:pPr>
        <w:jc w:val="both"/>
      </w:pPr>
      <w:r w:rsidRPr="007B2DD7">
        <w:rPr>
          <w:b/>
          <w:bCs/>
        </w:rPr>
        <w:t>7. El reconocimiento de "pago indebido" no obliga a devolver en México</w:t>
      </w:r>
      <w:r w:rsidRPr="007B2DD7">
        <w:br/>
        <w:t>El SAT puede reconocer que el contribuyente pagó dos veces, pero eso no hace procedente la devolución en México. Simplemente confirma que debe acudir a su país de residencia con los comprobantes de pago.</w:t>
      </w:r>
    </w:p>
    <w:p w14:paraId="0DEBE3C8" w14:textId="77777777" w:rsidR="007B2DD7" w:rsidRPr="007B2DD7" w:rsidRDefault="007B2DD7" w:rsidP="007B2DD7">
      <w:pPr>
        <w:jc w:val="both"/>
      </w:pPr>
      <w:r w:rsidRPr="007B2DD7">
        <w:rPr>
          <w:i/>
          <w:iCs/>
        </w:rPr>
        <w:t>Fundamento:</w:t>
      </w:r>
      <w:r w:rsidRPr="007B2DD7">
        <w:t> Artículo 23 del Convenio México-España; artículo 22 del CFF (devoluciones).</w:t>
      </w:r>
    </w:p>
    <w:p w14:paraId="2D8E29BA" w14:textId="77777777" w:rsidR="007B2DD7" w:rsidRPr="007B2DD7" w:rsidRDefault="007B2DD7" w:rsidP="007B2DD7">
      <w:pPr>
        <w:jc w:val="both"/>
      </w:pPr>
      <w:r w:rsidRPr="007B2DD7">
        <w:rPr>
          <w:b/>
          <w:bCs/>
        </w:rPr>
        <w:t>8. No residente no es sinónimo de no obligado</w:t>
      </w:r>
      <w:r w:rsidRPr="007B2DD7">
        <w:br/>
        <w:t>Los residentes en el extranjero tributan en México por ingresos con fuente de riqueza en territorio nacional. El hecho de que el tratado asigne a otro país la función de acreditar no significa que México no pueda gravar.</w:t>
      </w:r>
    </w:p>
    <w:p w14:paraId="41E395A5" w14:textId="77777777" w:rsidR="007B2DD7" w:rsidRPr="007B2DD7" w:rsidRDefault="007B2DD7" w:rsidP="007B2DD7">
      <w:pPr>
        <w:jc w:val="both"/>
      </w:pPr>
      <w:r w:rsidRPr="007B2DD7">
        <w:rPr>
          <w:i/>
          <w:iCs/>
        </w:rPr>
        <w:t>Fundamento:</w:t>
      </w:r>
      <w:r w:rsidRPr="007B2DD7">
        <w:t> Artículo 1, fracción III de la LISR; artículo 4 del Convenio México-España.</w:t>
      </w:r>
    </w:p>
    <w:p w14:paraId="52F0A2F2" w14:textId="77777777" w:rsidR="007B2DD7" w:rsidRPr="007B2DD7" w:rsidRDefault="007B2DD7" w:rsidP="007B2DD7">
      <w:pPr>
        <w:jc w:val="both"/>
      </w:pPr>
      <w:r w:rsidRPr="007B2DD7">
        <w:rPr>
          <w:b/>
          <w:bCs/>
        </w:rPr>
        <w:t>9. Los tratados están por encima de las leyes federales (artículo 133 constitucional)</w:t>
      </w:r>
      <w:r w:rsidRPr="007B2DD7">
        <w:br/>
        <w:t>La ley interna debe interpretarse conforme al tratado, no al revés. Si el tratado asigna a España la función de acreditar, México no puede devolver alegando "pago indebido" porque eso frustraría el objeto y fin del tratado.</w:t>
      </w:r>
    </w:p>
    <w:p w14:paraId="74A80D1B" w14:textId="77777777" w:rsidR="007B2DD7" w:rsidRPr="007B2DD7" w:rsidRDefault="007B2DD7" w:rsidP="007B2DD7">
      <w:pPr>
        <w:jc w:val="both"/>
      </w:pPr>
      <w:r w:rsidRPr="007B2DD7">
        <w:rPr>
          <w:i/>
          <w:iCs/>
        </w:rPr>
        <w:t>Fundamento:</w:t>
      </w:r>
      <w:r w:rsidRPr="007B2DD7">
        <w:t> Artículo 133 constitucional; Convención de Viena sobre el Derecho de los Tratados, artículo 31.</w:t>
      </w:r>
    </w:p>
    <w:p w14:paraId="6E0BB3ED" w14:textId="77777777" w:rsidR="007B2DD7" w:rsidRPr="007B2DD7" w:rsidRDefault="007B2DD7" w:rsidP="007B2DD7">
      <w:pPr>
        <w:jc w:val="both"/>
      </w:pPr>
      <w:r w:rsidRPr="007B2DD7">
        <w:rPr>
          <w:b/>
          <w:bCs/>
        </w:rPr>
        <w:t>10. Sin la declaración anual extranjera que acumule los ingresos mexicanos, no hay prueba de doble tributación procedente</w:t>
      </w:r>
      <w:r w:rsidRPr="007B2DD7">
        <w:br/>
        <w:t xml:space="preserve">Pagar un crédito fiscal aislado en el extranjero no es suficiente. Se necesita la </w:t>
      </w:r>
      <w:r w:rsidRPr="007B2DD7">
        <w:lastRenderedPageBreak/>
        <w:t>declaración anual completa donde se demuestre que los mismos ingresos mexicanos fueron acumulados y gravados, y que el otro país permitió la deducción.</w:t>
      </w:r>
    </w:p>
    <w:p w14:paraId="52027352" w14:textId="77777777" w:rsidR="007B2DD7" w:rsidRPr="007B2DD7" w:rsidRDefault="007B2DD7" w:rsidP="007B2DD7">
      <w:pPr>
        <w:jc w:val="both"/>
      </w:pPr>
      <w:r w:rsidRPr="007B2DD7">
        <w:rPr>
          <w:i/>
          <w:iCs/>
        </w:rPr>
        <w:t>Fundamento:</w:t>
      </w:r>
      <w:r w:rsidRPr="007B2DD7">
        <w:t> Artículo 23 del Convenio México-España; artículo 40 de la LFCA.</w:t>
      </w:r>
    </w:p>
    <w:p w14:paraId="430F041B" w14:textId="77777777" w:rsidR="007B2DD7" w:rsidRPr="007B2DD7" w:rsidRDefault="007B2DD7" w:rsidP="007B2DD7">
      <w:pPr>
        <w:jc w:val="both"/>
      </w:pPr>
      <w:r w:rsidRPr="007B2DD7">
        <w:rPr>
          <w:b/>
          <w:bCs/>
        </w:rPr>
        <w:t>Fundamento legal completo del caso</w:t>
      </w:r>
    </w:p>
    <w:p w14:paraId="321D4831" w14:textId="77777777" w:rsidR="007B2DD7" w:rsidRPr="007B2DD7" w:rsidRDefault="007B2DD7" w:rsidP="007B2DD7">
      <w:pPr>
        <w:jc w:val="both"/>
      </w:pPr>
      <w:r w:rsidRPr="007B2DD7">
        <w:rPr>
          <w:i/>
          <w:iCs/>
        </w:rPr>
        <w:t>Legislación aplicable:</w:t>
      </w:r>
      <w:r w:rsidRPr="007B2DD7">
        <w:t> Artículo 133 constitucional; artículo 1 fracción III de la LISR; artículo 4 y 23 del Convenio México-España; artículo 86 de la LISR; artículo 76 fracción XII del CFF; artículo 22 del CFF; Convención de Viena, artículo 31.</w:t>
      </w:r>
    </w:p>
    <w:p w14:paraId="2867451C" w14:textId="77777777" w:rsidR="007B2DD7" w:rsidRPr="007B2DD7" w:rsidRDefault="007B2DD7" w:rsidP="007B2DD7">
      <w:pPr>
        <w:jc w:val="both"/>
      </w:pPr>
      <w:r w:rsidRPr="007B2DD7">
        <w:rPr>
          <w:i/>
          <w:iCs/>
        </w:rPr>
        <w:t>Jurisprudencia:</w:t>
      </w:r>
      <w:r w:rsidRPr="007B2DD7">
        <w:t> P./J. 20/2014 (10a.); 2a./J. 56/2017 (10a.) de la SCJN.</w:t>
      </w:r>
    </w:p>
    <w:p w14:paraId="1CD31DB0" w14:textId="77777777" w:rsidR="007B2DD7" w:rsidRPr="007B2DD7" w:rsidRDefault="007B2DD7" w:rsidP="007B2DD7">
      <w:pPr>
        <w:jc w:val="both"/>
      </w:pPr>
      <w:r w:rsidRPr="007B2DD7">
        <w:rPr>
          <w:b/>
          <w:bCs/>
        </w:rPr>
        <w:t>Referencia al expediente completo</w:t>
      </w:r>
      <w:r w:rsidRPr="007B2DD7">
        <w:br/>
        <w:t>El expediente 14653/20-17-10-1/1527/22-S2-07-02 puede ser consultado en el TFJA o SISE.</w:t>
      </w:r>
    </w:p>
    <w:p w14:paraId="6A26AC98" w14:textId="77777777" w:rsidR="007B2DD7" w:rsidRPr="007B2DD7" w:rsidRDefault="007B2DD7" w:rsidP="007B2DD7">
      <w:pPr>
        <w:jc w:val="both"/>
      </w:pPr>
      <w:proofErr w:type="spellStart"/>
      <w:r w:rsidRPr="007B2DD7">
        <w:rPr>
          <w:b/>
          <w:bCs/>
        </w:rPr>
        <w:t>Checklist</w:t>
      </w:r>
      <w:proofErr w:type="spellEnd"/>
      <w:r w:rsidRPr="007B2DD7">
        <w:rPr>
          <w:b/>
          <w:bCs/>
        </w:rPr>
        <w:t xml:space="preserve"> de defensa para el asesor fiscal</w:t>
      </w:r>
    </w:p>
    <w:p w14:paraId="68B8443E" w14:textId="77777777" w:rsidR="007B2DD7" w:rsidRPr="007B2DD7" w:rsidRDefault="007B2DD7" w:rsidP="007B2DD7">
      <w:pPr>
        <w:numPr>
          <w:ilvl w:val="0"/>
          <w:numId w:val="15"/>
        </w:numPr>
        <w:jc w:val="both"/>
      </w:pPr>
      <w:r w:rsidRPr="007B2DD7">
        <w:t>Determinar correctamente la residencia fiscal conforme al tratado aplicable, no conforme al CFF.</w:t>
      </w:r>
    </w:p>
    <w:p w14:paraId="001EF67D" w14:textId="77777777" w:rsidR="007B2DD7" w:rsidRPr="007B2DD7" w:rsidRDefault="007B2DD7" w:rsidP="007B2DD7">
      <w:pPr>
        <w:numPr>
          <w:ilvl w:val="0"/>
          <w:numId w:val="15"/>
        </w:numPr>
        <w:jc w:val="both"/>
      </w:pPr>
      <w:r w:rsidRPr="007B2DD7">
        <w:t>Si el contribuyente es residente en el extranjero, no pedir devolución en México por "pago indebido". México tiene derecho a gravar la fuente de riqueza. Lo que procede es el acreditamiento en el país de residencia.</w:t>
      </w:r>
    </w:p>
    <w:p w14:paraId="3EE2C578" w14:textId="77777777" w:rsidR="007B2DD7" w:rsidRPr="007B2DD7" w:rsidRDefault="007B2DD7" w:rsidP="007B2DD7">
      <w:pPr>
        <w:numPr>
          <w:ilvl w:val="0"/>
          <w:numId w:val="15"/>
        </w:numPr>
        <w:jc w:val="both"/>
      </w:pPr>
      <w:r w:rsidRPr="007B2DD7">
        <w:t>Revisar el tratado aplicable entre México y el país de residencia. Localizar el artículo relativo al método para eliminar la doble imposición (normalmente artículo 23 o 24). En la mayoría de los tratados suscritos por México, </w:t>
      </w:r>
      <w:r w:rsidRPr="007B2DD7">
        <w:rPr>
          <w:b/>
          <w:bCs/>
        </w:rPr>
        <w:t>el país de residencia es quien acredita el impuesto pagado en México</w:t>
      </w:r>
      <w:r w:rsidRPr="007B2DD7">
        <w:t>.</w:t>
      </w:r>
    </w:p>
    <w:p w14:paraId="1CBE5EF2" w14:textId="77777777" w:rsidR="007B2DD7" w:rsidRPr="007B2DD7" w:rsidRDefault="007B2DD7" w:rsidP="007B2DD7">
      <w:pPr>
        <w:numPr>
          <w:ilvl w:val="0"/>
          <w:numId w:val="15"/>
        </w:numPr>
        <w:jc w:val="both"/>
      </w:pPr>
      <w:r w:rsidRPr="007B2DD7">
        <w:t>Guardar los comprobantes de pago del ISR en México (retenciones, declaraciones anuales). Son la base para solicitar el acreditamiento en el país de residencia.</w:t>
      </w:r>
    </w:p>
    <w:p w14:paraId="4E4D1D50" w14:textId="77777777" w:rsidR="007B2DD7" w:rsidRPr="007B2DD7" w:rsidRDefault="007B2DD7" w:rsidP="007B2DD7">
      <w:pPr>
        <w:numPr>
          <w:ilvl w:val="0"/>
          <w:numId w:val="15"/>
        </w:numPr>
        <w:jc w:val="both"/>
      </w:pPr>
      <w:r w:rsidRPr="007B2DD7">
        <w:t>Obtener certificado de residencia fiscal vigente expedido por la autoridad del país de residencia (no por un notario). Vigencia anual.</w:t>
      </w:r>
    </w:p>
    <w:p w14:paraId="7F6A7720" w14:textId="77777777" w:rsidR="007B2DD7" w:rsidRPr="007B2DD7" w:rsidRDefault="007B2DD7" w:rsidP="007B2DD7">
      <w:pPr>
        <w:numPr>
          <w:ilvl w:val="0"/>
          <w:numId w:val="15"/>
        </w:numPr>
        <w:jc w:val="both"/>
      </w:pPr>
      <w:r w:rsidRPr="007B2DD7">
        <w:t>Si el contribuyente es mexicano y recibe ingresos del extranjero, verificar si el tratado permite acreditar el impuesto pagado allá contra el ISR causado aquí. Solicitar el acreditamiento en su declaración anual mexicana.</w:t>
      </w:r>
    </w:p>
    <w:p w14:paraId="32690A80" w14:textId="77777777" w:rsidR="007B2DD7" w:rsidRPr="007B2DD7" w:rsidRDefault="007B2DD7" w:rsidP="007B2DD7">
      <w:pPr>
        <w:jc w:val="both"/>
      </w:pPr>
      <w:r w:rsidRPr="007B2DD7">
        <w:rPr>
          <w:b/>
          <w:bCs/>
        </w:rPr>
        <w:t>Nota final para el asesor fiscal:</w:t>
      </w:r>
      <w:r w:rsidRPr="007B2DD7">
        <w:t> Los tratados para evitar la doble tributación no son cheques en blanco. No devuelven dinero automáticamente. Establecen </w:t>
      </w:r>
      <w:r w:rsidRPr="007B2DD7">
        <w:rPr>
          <w:b/>
          <w:bCs/>
        </w:rPr>
        <w:t>quién</w:t>
      </w:r>
      <w:r w:rsidRPr="007B2DD7">
        <w:t xml:space="preserve"> acredita. En la mayoría de los tratados suscritos por México, el país </w:t>
      </w:r>
      <w:r w:rsidRPr="007B2DD7">
        <w:lastRenderedPageBreak/>
        <w:t>de residencia es quien acredita el impuesto pagado en México. México no devuelve. El contribuyente que paga impuestos en México por ingresos con fuente aquí (legal) y luego paga nuevamente en su país de residencia no tiene derecho a que México le devuelva. Su derecho es a que su país de residencia le acredite (deduzca) el impuesto mexicano. Lea el tratado antes de pagar, no después.</w:t>
      </w:r>
    </w:p>
    <w:p w14:paraId="02C49E5B" w14:textId="77777777" w:rsidR="007B2DD7" w:rsidRPr="007B2DD7" w:rsidRDefault="00000000" w:rsidP="007B2DD7">
      <w:pPr>
        <w:jc w:val="both"/>
      </w:pPr>
      <w:r>
        <w:pict w14:anchorId="4FC7208D">
          <v:rect id="_x0000_i1038" style="width:0;height:.75pt" o:hralign="center" o:hrstd="t" o:hr="t" fillcolor="#a0a0a0" stroked="f"/>
        </w:pict>
      </w:r>
    </w:p>
    <w:p w14:paraId="4BFBB1F8" w14:textId="77777777" w:rsidR="007B2DD7" w:rsidRPr="007B2DD7" w:rsidRDefault="007B2DD7" w:rsidP="007B2DD7">
      <w:pPr>
        <w:jc w:val="both"/>
        <w:rPr>
          <w:b/>
          <w:bCs/>
        </w:rPr>
      </w:pPr>
      <w:r w:rsidRPr="007B2DD7">
        <w:rPr>
          <w:b/>
          <w:bCs/>
        </w:rPr>
        <w:t>Apéndice 11 – Capítulo 11</w:t>
      </w:r>
    </w:p>
    <w:p w14:paraId="11E757AF" w14:textId="77777777" w:rsidR="007B2DD7" w:rsidRPr="007B2DD7" w:rsidRDefault="007B2DD7" w:rsidP="007B2DD7">
      <w:pPr>
        <w:jc w:val="both"/>
      </w:pPr>
      <w:r w:rsidRPr="007B2DD7">
        <w:rPr>
          <w:b/>
          <w:bCs/>
        </w:rPr>
        <w:t>Su certificado de constitución de Delaware del 2005 ya no sirve: la vigencia anual del certificado de residencia fiscal</w:t>
      </w:r>
    </w:p>
    <w:p w14:paraId="731B7DDB" w14:textId="77777777" w:rsidR="007B2DD7" w:rsidRPr="007B2DD7" w:rsidRDefault="007B2DD7" w:rsidP="007B2DD7">
      <w:pPr>
        <w:jc w:val="both"/>
      </w:pPr>
      <w:r w:rsidRPr="007B2DD7">
        <w:rPr>
          <w:b/>
          <w:bCs/>
        </w:rPr>
        <w:t>Expediente:</w:t>
      </w:r>
      <w:r w:rsidRPr="007B2DD7">
        <w:t> 11350/23-17-06-9/1665/24-S2-06-02 del Tribunal Federal de Justicia Administrativa (Segunda Sección de la Sala Superior)</w:t>
      </w:r>
    </w:p>
    <w:p w14:paraId="00B83DFD" w14:textId="77777777" w:rsidR="007B2DD7" w:rsidRPr="007B2DD7" w:rsidRDefault="007B2DD7" w:rsidP="007B2DD7">
      <w:pPr>
        <w:jc w:val="both"/>
      </w:pPr>
      <w:r w:rsidRPr="007B2DD7">
        <w:rPr>
          <w:b/>
          <w:bCs/>
        </w:rPr>
        <w:t>Los 10 puntos técnicos más relevantes para el asesor fiscal</w:t>
      </w:r>
    </w:p>
    <w:p w14:paraId="372EB71A" w14:textId="77777777" w:rsidR="007B2DD7" w:rsidRPr="007B2DD7" w:rsidRDefault="007B2DD7" w:rsidP="007B2DD7">
      <w:pPr>
        <w:jc w:val="both"/>
      </w:pPr>
      <w:r w:rsidRPr="007B2DD7">
        <w:rPr>
          <w:b/>
          <w:bCs/>
        </w:rPr>
        <w:t>1. El certificado de constitución no acredita residencia fiscal</w:t>
      </w:r>
      <w:r w:rsidRPr="007B2DD7">
        <w:br/>
        <w:t xml:space="preserve">La Secretaría de Estado de Delaware certifica la existencia legal de una sociedad, no que esté sujeta a imposición en Estados Unidos. Para efectos del tratado, se requiere el certificado de residencia fiscal emitido por la autoridad tributaria (en </w:t>
      </w:r>
      <w:proofErr w:type="gramStart"/>
      <w:r w:rsidRPr="007B2DD7">
        <w:t>EE.UU.</w:t>
      </w:r>
      <w:proofErr w:type="gramEnd"/>
      <w:r w:rsidRPr="007B2DD7">
        <w:t>, el IRS mediante el Formulario 6166).</w:t>
      </w:r>
    </w:p>
    <w:p w14:paraId="16333006" w14:textId="77777777" w:rsidR="007B2DD7" w:rsidRPr="007B2DD7" w:rsidRDefault="007B2DD7" w:rsidP="007B2DD7">
      <w:pPr>
        <w:jc w:val="both"/>
      </w:pPr>
      <w:r w:rsidRPr="007B2DD7">
        <w:rPr>
          <w:i/>
          <w:iCs/>
        </w:rPr>
        <w:t>Fundamento:</w:t>
      </w:r>
      <w:r w:rsidRPr="007B2DD7">
        <w:t> Artículo 4 del Convenio México-</w:t>
      </w:r>
      <w:proofErr w:type="gramStart"/>
      <w:r w:rsidRPr="007B2DD7">
        <w:t>EE.UU.</w:t>
      </w:r>
      <w:proofErr w:type="gramEnd"/>
      <w:r w:rsidRPr="007B2DD7">
        <w:t>; artículo 5 de la LISR; artículo 6 del Reglamento de la LISR.</w:t>
      </w:r>
    </w:p>
    <w:p w14:paraId="44C61160" w14:textId="77777777" w:rsidR="007B2DD7" w:rsidRPr="007B2DD7" w:rsidRDefault="007B2DD7" w:rsidP="007B2DD7">
      <w:pPr>
        <w:jc w:val="both"/>
      </w:pPr>
      <w:r w:rsidRPr="007B2DD7">
        <w:rPr>
          <w:b/>
          <w:bCs/>
        </w:rPr>
        <w:t>2. Los beneficios del tratado no son automáticos; se requiere acreditar residencia conforme a la ley interna</w:t>
      </w:r>
      <w:r w:rsidRPr="007B2DD7">
        <w:br/>
        <w:t>El tratado remite a la legislación de cada Estado para definir "residente". La ley mexicana exige certificación de residencia expedida por la autoridad fiscal del otro país o la declaración de impuestos del último ejercicio.</w:t>
      </w:r>
    </w:p>
    <w:p w14:paraId="7D955661" w14:textId="77777777" w:rsidR="007B2DD7" w:rsidRPr="007B2DD7" w:rsidRDefault="007B2DD7" w:rsidP="007B2DD7">
      <w:pPr>
        <w:jc w:val="both"/>
      </w:pPr>
      <w:r w:rsidRPr="007B2DD7">
        <w:rPr>
          <w:i/>
          <w:iCs/>
        </w:rPr>
        <w:t>Fundamento:</w:t>
      </w:r>
      <w:r w:rsidRPr="007B2DD7">
        <w:t> Artículo 4 del Convenio México-</w:t>
      </w:r>
      <w:proofErr w:type="gramStart"/>
      <w:r w:rsidRPr="007B2DD7">
        <w:t>EE.UU.</w:t>
      </w:r>
      <w:proofErr w:type="gramEnd"/>
      <w:r w:rsidRPr="007B2DD7">
        <w:t>; artículo 5 de la LISR; artículo 6 del Reglamento de la LISR.</w:t>
      </w:r>
    </w:p>
    <w:p w14:paraId="651FC484" w14:textId="77777777" w:rsidR="007B2DD7" w:rsidRPr="007B2DD7" w:rsidRDefault="007B2DD7" w:rsidP="007B2DD7">
      <w:pPr>
        <w:jc w:val="both"/>
      </w:pPr>
      <w:r w:rsidRPr="007B2DD7">
        <w:rPr>
          <w:b/>
          <w:bCs/>
        </w:rPr>
        <w:t>3. La vigencia anual del certificado de residencia es un requisito insoslayable</w:t>
      </w:r>
      <w:r w:rsidRPr="007B2DD7">
        <w:br/>
        <w:t>El artículo 6, último párrafo del Reglamento de la LISR establece que las certificaciones de residencia "tendrán vigencia durante el año de calendario en el que se expidan". Un certificado de 2005 no es válido para operaciones de 2008 ni para una solicitud de devolución presentada en 2018.</w:t>
      </w:r>
    </w:p>
    <w:p w14:paraId="0EC2F0C5" w14:textId="77777777" w:rsidR="007B2DD7" w:rsidRPr="007B2DD7" w:rsidRDefault="007B2DD7" w:rsidP="007B2DD7">
      <w:pPr>
        <w:jc w:val="both"/>
      </w:pPr>
      <w:r w:rsidRPr="007B2DD7">
        <w:rPr>
          <w:i/>
          <w:iCs/>
        </w:rPr>
        <w:t>Fundamento:</w:t>
      </w:r>
      <w:r w:rsidRPr="007B2DD7">
        <w:t> Artículo 6, último párrafo del Reglamento de la LISR.</w:t>
      </w:r>
    </w:p>
    <w:p w14:paraId="679B6FDC" w14:textId="77777777" w:rsidR="007B2DD7" w:rsidRPr="007B2DD7" w:rsidRDefault="007B2DD7" w:rsidP="007B2DD7">
      <w:pPr>
        <w:jc w:val="both"/>
      </w:pPr>
      <w:r w:rsidRPr="007B2DD7">
        <w:rPr>
          <w:b/>
          <w:bCs/>
        </w:rPr>
        <w:lastRenderedPageBreak/>
        <w:t>4. La carga de la prueba de la residencia fiscal en el extranjero corresponde al contribuyente</w:t>
      </w:r>
      <w:r w:rsidRPr="007B2DD7">
        <w:br/>
        <w:t>Quien pretende aplicar un tratado debe acreditar plenamente su residencia en el otro Estado contratante. La presunción de legalidad del acto de autoridad (artículo 119 del CFF) juega a favor del SAT.</w:t>
      </w:r>
    </w:p>
    <w:p w14:paraId="511F30E6" w14:textId="77777777" w:rsidR="007B2DD7" w:rsidRPr="007B2DD7" w:rsidRDefault="007B2DD7" w:rsidP="007B2DD7">
      <w:pPr>
        <w:jc w:val="both"/>
      </w:pPr>
      <w:r w:rsidRPr="007B2DD7">
        <w:rPr>
          <w:i/>
          <w:iCs/>
        </w:rPr>
        <w:t>Fundamento:</w:t>
      </w:r>
      <w:r w:rsidRPr="007B2DD7">
        <w:t> Artículo 40 de la LFCA; artículo 119 del CFF.</w:t>
      </w:r>
    </w:p>
    <w:p w14:paraId="34A3C990" w14:textId="77777777" w:rsidR="007B2DD7" w:rsidRPr="007B2DD7" w:rsidRDefault="007B2DD7" w:rsidP="007B2DD7">
      <w:pPr>
        <w:jc w:val="both"/>
      </w:pPr>
      <w:r w:rsidRPr="007B2DD7">
        <w:rPr>
          <w:b/>
          <w:bCs/>
        </w:rPr>
        <w:t>5. El certificado de constitución no se "convalida" con el paso del tiempo</w:t>
      </w:r>
      <w:r w:rsidRPr="007B2DD7">
        <w:br/>
        <w:t>Un documento que no era idóneo para acreditar residencia en 2005 sigue sin serlo en 2018. La repetición no convierte un error en acierto.</w:t>
      </w:r>
    </w:p>
    <w:p w14:paraId="0A786345" w14:textId="77777777" w:rsidR="007B2DD7" w:rsidRPr="007B2DD7" w:rsidRDefault="007B2DD7" w:rsidP="007B2DD7">
      <w:pPr>
        <w:jc w:val="both"/>
      </w:pPr>
      <w:r w:rsidRPr="007B2DD7">
        <w:rPr>
          <w:i/>
          <w:iCs/>
        </w:rPr>
        <w:t>Fundamento:</w:t>
      </w:r>
      <w:r w:rsidRPr="007B2DD7">
        <w:t> Artículo 6 del Reglamento de la LISR.</w:t>
      </w:r>
    </w:p>
    <w:p w14:paraId="47850C42" w14:textId="77777777" w:rsidR="007B2DD7" w:rsidRPr="007B2DD7" w:rsidRDefault="007B2DD7" w:rsidP="007B2DD7">
      <w:pPr>
        <w:jc w:val="both"/>
      </w:pPr>
      <w:r w:rsidRPr="007B2DD7">
        <w:rPr>
          <w:b/>
          <w:bCs/>
        </w:rPr>
        <w:t>6. No es suficiente invocar la jerarquía del tratado para ignorar los requisitos procedimentales de la ley interna</w:t>
      </w:r>
      <w:r w:rsidRPr="007B2DD7">
        <w:br/>
        <w:t>El tratado permite que la residencia se acredite según la legislación de cada Estado. México ha definido los medios de prueba en su ley doméstica. El contribuyente debe cumplirlos.</w:t>
      </w:r>
    </w:p>
    <w:p w14:paraId="563410AC" w14:textId="77777777" w:rsidR="007B2DD7" w:rsidRPr="007B2DD7" w:rsidRDefault="007B2DD7" w:rsidP="007B2DD7">
      <w:pPr>
        <w:jc w:val="both"/>
      </w:pPr>
      <w:r w:rsidRPr="007B2DD7">
        <w:rPr>
          <w:i/>
          <w:iCs/>
        </w:rPr>
        <w:t>Fundamento:</w:t>
      </w:r>
      <w:r w:rsidRPr="007B2DD7">
        <w:t> Artículo 133 constitucional; artículo 4 del Convenio México-</w:t>
      </w:r>
      <w:proofErr w:type="gramStart"/>
      <w:r w:rsidRPr="007B2DD7">
        <w:t>EE.UU.</w:t>
      </w:r>
      <w:proofErr w:type="gramEnd"/>
    </w:p>
    <w:p w14:paraId="26708861" w14:textId="77777777" w:rsidR="007B2DD7" w:rsidRPr="007B2DD7" w:rsidRDefault="007B2DD7" w:rsidP="007B2DD7">
      <w:pPr>
        <w:jc w:val="both"/>
      </w:pPr>
      <w:r w:rsidRPr="007B2DD7">
        <w:rPr>
          <w:b/>
          <w:bCs/>
        </w:rPr>
        <w:t>7. El derecho extranjero debe ser probado si se alega que un documento diverso al previsto en la ley mexicana es suficiente</w:t>
      </w:r>
      <w:r w:rsidRPr="007B2DD7">
        <w:br/>
        <w:t>Si el contribuyente sostiene que el certificado de constitución es el documento que acredita residencia en su país, debe aportar prueba del derecho extranjero que así lo establezca (artículo 46, fracción II de la LFCA).</w:t>
      </w:r>
    </w:p>
    <w:p w14:paraId="462CA84F" w14:textId="77777777" w:rsidR="007B2DD7" w:rsidRPr="007B2DD7" w:rsidRDefault="007B2DD7" w:rsidP="007B2DD7">
      <w:pPr>
        <w:jc w:val="both"/>
      </w:pPr>
      <w:r w:rsidRPr="007B2DD7">
        <w:rPr>
          <w:i/>
          <w:iCs/>
        </w:rPr>
        <w:t>Fundamento:</w:t>
      </w:r>
      <w:r w:rsidRPr="007B2DD7">
        <w:t> Artículo 46, fracción II de la LFCA; artículo 86 del Código Federal de Procedimientos Civiles (supletorio).</w:t>
      </w:r>
    </w:p>
    <w:p w14:paraId="3A41CBF2" w14:textId="77777777" w:rsidR="007B2DD7" w:rsidRPr="007B2DD7" w:rsidRDefault="007B2DD7" w:rsidP="007B2DD7">
      <w:pPr>
        <w:jc w:val="both"/>
      </w:pPr>
      <w:r w:rsidRPr="007B2DD7">
        <w:rPr>
          <w:b/>
          <w:bCs/>
        </w:rPr>
        <w:t>8. La falta de acreditación de residencia impide aplicar cualquier beneficio del tratado</w:t>
      </w:r>
      <w:r w:rsidRPr="007B2DD7">
        <w:br/>
        <w:t>El tratado solo opera si el contribuyente es "residente de un Estado contratante". Sin esa calidad comprobada, México puede gravar la fuente de riqueza conforme a su legislación interna.</w:t>
      </w:r>
    </w:p>
    <w:p w14:paraId="0939D650" w14:textId="77777777" w:rsidR="007B2DD7" w:rsidRPr="007B2DD7" w:rsidRDefault="007B2DD7" w:rsidP="007B2DD7">
      <w:pPr>
        <w:jc w:val="both"/>
      </w:pPr>
      <w:r w:rsidRPr="007B2DD7">
        <w:rPr>
          <w:i/>
          <w:iCs/>
        </w:rPr>
        <w:t>Fundamento:</w:t>
      </w:r>
      <w:r w:rsidRPr="007B2DD7">
        <w:t> Artículo 4 del Convenio México-</w:t>
      </w:r>
      <w:proofErr w:type="gramStart"/>
      <w:r w:rsidRPr="007B2DD7">
        <w:t>EE.UU.</w:t>
      </w:r>
      <w:proofErr w:type="gramEnd"/>
      <w:r w:rsidRPr="007B2DD7">
        <w:t>; artículo 1, fracción III de la LISR.</w:t>
      </w:r>
    </w:p>
    <w:p w14:paraId="0ADF74E9" w14:textId="77777777" w:rsidR="007B2DD7" w:rsidRPr="007B2DD7" w:rsidRDefault="007B2DD7" w:rsidP="007B2DD7">
      <w:pPr>
        <w:jc w:val="both"/>
      </w:pPr>
      <w:r w:rsidRPr="007B2DD7">
        <w:rPr>
          <w:b/>
          <w:bCs/>
        </w:rPr>
        <w:t>9. El pago de lo indebido por retenciones no se acredita si no existe retención alguna</w:t>
      </w:r>
      <w:r w:rsidRPr="007B2DD7">
        <w:br/>
        <w:t>Para solicitar devolución por pago de lo indebido, primero debe haber existido un pago. Si no se retuvo, no hay qué devolver.</w:t>
      </w:r>
    </w:p>
    <w:p w14:paraId="3994CAD0" w14:textId="77777777" w:rsidR="007B2DD7" w:rsidRPr="007B2DD7" w:rsidRDefault="007B2DD7" w:rsidP="007B2DD7">
      <w:pPr>
        <w:jc w:val="both"/>
      </w:pPr>
      <w:r w:rsidRPr="007B2DD7">
        <w:rPr>
          <w:i/>
          <w:iCs/>
        </w:rPr>
        <w:lastRenderedPageBreak/>
        <w:t>Fundamento:</w:t>
      </w:r>
      <w:r w:rsidRPr="007B2DD7">
        <w:t> Artículo 22 del CFF; artículo 46, fracción I de la LFCA.</w:t>
      </w:r>
    </w:p>
    <w:p w14:paraId="1C3561EF" w14:textId="77777777" w:rsidR="007B2DD7" w:rsidRPr="007B2DD7" w:rsidRDefault="007B2DD7" w:rsidP="007B2DD7">
      <w:pPr>
        <w:jc w:val="both"/>
      </w:pPr>
      <w:r w:rsidRPr="007B2DD7">
        <w:rPr>
          <w:b/>
          <w:bCs/>
        </w:rPr>
        <w:t>10. La cosa juzgada refleja impide reabrir discusiones ya resueltas en juicios previos</w:t>
      </w:r>
      <w:r w:rsidRPr="007B2DD7">
        <w:br/>
        <w:t>Si en un juicio anterior se confirmó que el contribuyente no acreditó su residencia y que procedía la retención, esa determinación vincula a las partes en un juicio posterior (hechos notorios).</w:t>
      </w:r>
    </w:p>
    <w:p w14:paraId="46FAD588" w14:textId="77777777" w:rsidR="007B2DD7" w:rsidRPr="007B2DD7" w:rsidRDefault="007B2DD7" w:rsidP="007B2DD7">
      <w:pPr>
        <w:jc w:val="both"/>
      </w:pPr>
      <w:r w:rsidRPr="007B2DD7">
        <w:rPr>
          <w:i/>
          <w:iCs/>
        </w:rPr>
        <w:t>Fundamento:</w:t>
      </w:r>
      <w:r w:rsidRPr="007B2DD7">
        <w:t> Artículo 46, fracción VI de la LFCA; jurisprudencia P./J. 16/2018 (10a.) de la SCJN.</w:t>
      </w:r>
    </w:p>
    <w:p w14:paraId="1FDE95BB" w14:textId="77777777" w:rsidR="007B2DD7" w:rsidRPr="007B2DD7" w:rsidRDefault="007B2DD7" w:rsidP="007B2DD7">
      <w:pPr>
        <w:jc w:val="both"/>
      </w:pPr>
      <w:r w:rsidRPr="007B2DD7">
        <w:rPr>
          <w:b/>
          <w:bCs/>
        </w:rPr>
        <w:t>Fundamento legal completo del caso</w:t>
      </w:r>
    </w:p>
    <w:p w14:paraId="3922D9D0" w14:textId="77777777" w:rsidR="007B2DD7" w:rsidRPr="007B2DD7" w:rsidRDefault="007B2DD7" w:rsidP="007B2DD7">
      <w:pPr>
        <w:jc w:val="both"/>
      </w:pPr>
      <w:r w:rsidRPr="007B2DD7">
        <w:rPr>
          <w:i/>
          <w:iCs/>
        </w:rPr>
        <w:t>Legislación aplicable:</w:t>
      </w:r>
      <w:r w:rsidRPr="007B2DD7">
        <w:t> Artículo 4 del Convenio México-</w:t>
      </w:r>
      <w:proofErr w:type="gramStart"/>
      <w:r w:rsidRPr="007B2DD7">
        <w:t>EE.UU.</w:t>
      </w:r>
      <w:proofErr w:type="gramEnd"/>
      <w:r w:rsidRPr="007B2DD7">
        <w:t>; artículo 5 de la LISR; artículo 6 del Reglamento de la LISR; artículo 1 fracción III de la LISR; artículo 22 del CFF; artículos 40, 46 fracciones I, II, VI de la LFCA; artículo 119 del CFF; artículo 133 constitucional.</w:t>
      </w:r>
    </w:p>
    <w:p w14:paraId="090AC0DB" w14:textId="77777777" w:rsidR="007B2DD7" w:rsidRPr="007B2DD7" w:rsidRDefault="007B2DD7" w:rsidP="007B2DD7">
      <w:pPr>
        <w:jc w:val="both"/>
      </w:pPr>
      <w:r w:rsidRPr="007B2DD7">
        <w:rPr>
          <w:i/>
          <w:iCs/>
        </w:rPr>
        <w:t>Jurisprudencia:</w:t>
      </w:r>
      <w:r w:rsidRPr="007B2DD7">
        <w:t> P./J. 16/2018 (10a.); 2a./J. 56/2017 (10a.) de la SCJN.</w:t>
      </w:r>
    </w:p>
    <w:p w14:paraId="7C953F30" w14:textId="77777777" w:rsidR="007B2DD7" w:rsidRPr="007B2DD7" w:rsidRDefault="007B2DD7" w:rsidP="007B2DD7">
      <w:pPr>
        <w:jc w:val="both"/>
      </w:pPr>
      <w:r w:rsidRPr="007B2DD7">
        <w:rPr>
          <w:b/>
          <w:bCs/>
        </w:rPr>
        <w:t>Referencia al expediente completo</w:t>
      </w:r>
      <w:r w:rsidRPr="007B2DD7">
        <w:br/>
        <w:t>El expediente 11350/23-17-06-9/1665/24-S2-06-02 puede ser consultado en el TFJA o SISE.</w:t>
      </w:r>
    </w:p>
    <w:p w14:paraId="04A60608" w14:textId="77777777" w:rsidR="007B2DD7" w:rsidRPr="007B2DD7" w:rsidRDefault="007B2DD7" w:rsidP="007B2DD7">
      <w:pPr>
        <w:jc w:val="both"/>
      </w:pPr>
      <w:proofErr w:type="spellStart"/>
      <w:r w:rsidRPr="007B2DD7">
        <w:rPr>
          <w:b/>
          <w:bCs/>
        </w:rPr>
        <w:t>Checklist</w:t>
      </w:r>
      <w:proofErr w:type="spellEnd"/>
      <w:r w:rsidRPr="007B2DD7">
        <w:rPr>
          <w:b/>
          <w:bCs/>
        </w:rPr>
        <w:t xml:space="preserve"> de defensa para el asesor fiscal</w:t>
      </w:r>
    </w:p>
    <w:p w14:paraId="70422277" w14:textId="77777777" w:rsidR="007B2DD7" w:rsidRPr="007B2DD7" w:rsidRDefault="007B2DD7" w:rsidP="007B2DD7">
      <w:pPr>
        <w:numPr>
          <w:ilvl w:val="0"/>
          <w:numId w:val="16"/>
        </w:numPr>
        <w:jc w:val="both"/>
      </w:pPr>
      <w:r w:rsidRPr="007B2DD7">
        <w:t>Obtener el certificado de residencia fiscal expedido por la autoridad tributaria del país del proveedor extranjero (</w:t>
      </w:r>
      <w:proofErr w:type="gramStart"/>
      <w:r w:rsidRPr="007B2DD7">
        <w:t>EE.UU.</w:t>
      </w:r>
      <w:proofErr w:type="gramEnd"/>
      <w:r w:rsidRPr="007B2DD7">
        <w:t>: Formulario 6166 del IRS; Canadá: RC143; Suiza: constancia cantonal; España: certificado de la Agencia Tributaria). No aceptar certificados de constitución.</w:t>
      </w:r>
    </w:p>
    <w:p w14:paraId="34312CF6" w14:textId="77777777" w:rsidR="007B2DD7" w:rsidRPr="007B2DD7" w:rsidRDefault="007B2DD7" w:rsidP="007B2DD7">
      <w:pPr>
        <w:numPr>
          <w:ilvl w:val="0"/>
          <w:numId w:val="16"/>
        </w:numPr>
        <w:jc w:val="both"/>
      </w:pPr>
      <w:r w:rsidRPr="007B2DD7">
        <w:t>Verificar la vigencia del certificado: vigencia anual. Establecer recordatorio anual para solicitarlo antes de cada ejercicio.</w:t>
      </w:r>
    </w:p>
    <w:p w14:paraId="5D96AB6A" w14:textId="77777777" w:rsidR="007B2DD7" w:rsidRPr="007B2DD7" w:rsidRDefault="007B2DD7" w:rsidP="007B2DD7">
      <w:pPr>
        <w:numPr>
          <w:ilvl w:val="0"/>
          <w:numId w:val="16"/>
        </w:numPr>
        <w:jc w:val="both"/>
      </w:pPr>
      <w:r w:rsidRPr="007B2DD7">
        <w:t>Si el proveedor extranjero se niega a proporcionar el certificado, no aplicar la tasa reducida del tratado. Retener tasa general (25% para servicios).</w:t>
      </w:r>
    </w:p>
    <w:p w14:paraId="783AD75F" w14:textId="77777777" w:rsidR="007B2DD7" w:rsidRPr="007B2DD7" w:rsidRDefault="007B2DD7" w:rsidP="007B2DD7">
      <w:pPr>
        <w:numPr>
          <w:ilvl w:val="0"/>
          <w:numId w:val="16"/>
        </w:numPr>
        <w:jc w:val="both"/>
      </w:pPr>
      <w:r w:rsidRPr="007B2DD7">
        <w:t>Si el proveedor afirma que el certificado de constitución es suficiente, pedir que aporte la ley extranjera que así lo establece (artículo 46, fracción II de la LFCA).</w:t>
      </w:r>
    </w:p>
    <w:p w14:paraId="04655DDD" w14:textId="77777777" w:rsidR="007B2DD7" w:rsidRPr="007B2DD7" w:rsidRDefault="007B2DD7" w:rsidP="007B2DD7">
      <w:pPr>
        <w:numPr>
          <w:ilvl w:val="0"/>
          <w:numId w:val="16"/>
        </w:numPr>
        <w:jc w:val="both"/>
      </w:pPr>
      <w:r w:rsidRPr="007B2DD7">
        <w:t>Guardar los certificados de residencia fiscal de cada ejercicio por separado. No reutilizar el mismo documento año tras año.</w:t>
      </w:r>
    </w:p>
    <w:p w14:paraId="3FCE8E9F" w14:textId="77777777" w:rsidR="007B2DD7" w:rsidRPr="007B2DD7" w:rsidRDefault="007B2DD7" w:rsidP="007B2DD7">
      <w:pPr>
        <w:numPr>
          <w:ilvl w:val="0"/>
          <w:numId w:val="16"/>
        </w:numPr>
        <w:jc w:val="both"/>
      </w:pPr>
      <w:r w:rsidRPr="007B2DD7">
        <w:t>Si el SAT niega la aplicación del tratado por falta de certificado vigente, no alegar jerarquía del tratado. Concentrarse en obtener el certificado correcto.</w:t>
      </w:r>
    </w:p>
    <w:p w14:paraId="72425176" w14:textId="77777777" w:rsidR="007B2DD7" w:rsidRPr="007B2DD7" w:rsidRDefault="007B2DD7" w:rsidP="007B2DD7">
      <w:pPr>
        <w:jc w:val="both"/>
      </w:pPr>
      <w:r w:rsidRPr="007B2DD7">
        <w:rPr>
          <w:b/>
          <w:bCs/>
        </w:rPr>
        <w:lastRenderedPageBreak/>
        <w:t>Nota final para el asesor fiscal:</w:t>
      </w:r>
      <w:r w:rsidRPr="007B2DD7">
        <w:t> La confusión entre "existencia legal" y "residencia fiscal" es uno de los errores más comunes en operaciones internacionales. El certificado de constitución prueba que la empresa existe legalmente. No prueba que paga impuestos allí. Para efectos del tratado, se necesita el certificado de residencia fiscal expedido por la autoridad tributaria del país. Sin ese documento, el tratado no aplica. Punto. El segundo error es ignorar la vigencia anual. Un certificado de 2005 no sirve para 2008 ni para 2018. La ley es clara: la vigencia es anual. Obtenga el certificado correcto, cada año, antes de pagar.</w:t>
      </w:r>
    </w:p>
    <w:p w14:paraId="753C04B0" w14:textId="77777777" w:rsidR="007B2DD7" w:rsidRPr="007B2DD7" w:rsidRDefault="00000000" w:rsidP="007B2DD7">
      <w:pPr>
        <w:jc w:val="both"/>
      </w:pPr>
      <w:r>
        <w:pict w14:anchorId="25389A2A">
          <v:rect id="_x0000_i1039" style="width:0;height:.75pt" o:hralign="center" o:hrstd="t" o:hr="t" fillcolor="#a0a0a0" stroked="f"/>
        </w:pict>
      </w:r>
    </w:p>
    <w:p w14:paraId="1A8CD8A3" w14:textId="77777777" w:rsidR="007B2DD7" w:rsidRPr="007B2DD7" w:rsidRDefault="007B2DD7" w:rsidP="007B2DD7">
      <w:pPr>
        <w:jc w:val="both"/>
        <w:rPr>
          <w:b/>
          <w:bCs/>
        </w:rPr>
      </w:pPr>
      <w:r w:rsidRPr="007B2DD7">
        <w:rPr>
          <w:b/>
          <w:bCs/>
        </w:rPr>
        <w:t>Apéndice 12 – Capítulo 12</w:t>
      </w:r>
    </w:p>
    <w:p w14:paraId="285FB311" w14:textId="77777777" w:rsidR="007B2DD7" w:rsidRPr="007B2DD7" w:rsidRDefault="007B2DD7" w:rsidP="007B2DD7">
      <w:pPr>
        <w:jc w:val="both"/>
      </w:pPr>
      <w:r w:rsidRPr="007B2DD7">
        <w:rPr>
          <w:b/>
          <w:bCs/>
        </w:rPr>
        <w:t>Vender sus acciones en $106M no es ganancia si no puede probar cuánto pagó: el costo fiscal no se presume</w:t>
      </w:r>
    </w:p>
    <w:p w14:paraId="7A656272" w14:textId="77777777" w:rsidR="007B2DD7" w:rsidRPr="007B2DD7" w:rsidRDefault="007B2DD7" w:rsidP="007B2DD7">
      <w:pPr>
        <w:jc w:val="both"/>
      </w:pPr>
      <w:r w:rsidRPr="007B2DD7">
        <w:rPr>
          <w:b/>
          <w:bCs/>
        </w:rPr>
        <w:t>Expediente:</w:t>
      </w:r>
      <w:r w:rsidRPr="007B2DD7">
        <w:t> 17/22-ERF-01-4 del Tribunal Federal de Justicia Administrativa (Sala Especializada)</w:t>
      </w:r>
    </w:p>
    <w:p w14:paraId="1E7EB65D" w14:textId="77777777" w:rsidR="007B2DD7" w:rsidRPr="007B2DD7" w:rsidRDefault="007B2DD7" w:rsidP="007B2DD7">
      <w:pPr>
        <w:jc w:val="both"/>
      </w:pPr>
      <w:r w:rsidRPr="007B2DD7">
        <w:rPr>
          <w:b/>
          <w:bCs/>
        </w:rPr>
        <w:t>Los 10 puntos técnicos más relevantes para el asesor fiscal</w:t>
      </w:r>
    </w:p>
    <w:p w14:paraId="7E26C681" w14:textId="77777777" w:rsidR="007B2DD7" w:rsidRPr="007B2DD7" w:rsidRDefault="007B2DD7" w:rsidP="007B2DD7">
      <w:pPr>
        <w:jc w:val="both"/>
      </w:pPr>
      <w:r w:rsidRPr="007B2DD7">
        <w:rPr>
          <w:b/>
          <w:bCs/>
        </w:rPr>
        <w:t>1. El costo comprobado de adquisición de acciones no se presume, se prueba con documentación que acredite el pago efectivo</w:t>
      </w:r>
      <w:r w:rsidRPr="007B2DD7">
        <w:br/>
        <w:t xml:space="preserve">La ganancia por enajenación de acciones se determina restando del precio de venta el costo comprobado de adquisición actualizado. Las actas de asamblea son </w:t>
      </w:r>
      <w:proofErr w:type="gramStart"/>
      <w:r w:rsidRPr="007B2DD7">
        <w:t>necesarias</w:t>
      </w:r>
      <w:proofErr w:type="gramEnd"/>
      <w:r w:rsidRPr="007B2DD7">
        <w:t xml:space="preserve"> pero no suficientes. Se requiere documentación que demuestre el flujo de efectivo.</w:t>
      </w:r>
    </w:p>
    <w:p w14:paraId="309A2FF6" w14:textId="77777777" w:rsidR="007B2DD7" w:rsidRPr="007B2DD7" w:rsidRDefault="007B2DD7" w:rsidP="007B2DD7">
      <w:pPr>
        <w:jc w:val="both"/>
      </w:pPr>
      <w:r w:rsidRPr="007B2DD7">
        <w:rPr>
          <w:i/>
          <w:iCs/>
        </w:rPr>
        <w:t>Fundamento:</w:t>
      </w:r>
      <w:r w:rsidRPr="007B2DD7">
        <w:t> Artículo 24 de la LISR (vigente en 2012); artículo 25 de la LISR.</w:t>
      </w:r>
    </w:p>
    <w:p w14:paraId="262EB5D4" w14:textId="77777777" w:rsidR="007B2DD7" w:rsidRPr="007B2DD7" w:rsidRDefault="007B2DD7" w:rsidP="007B2DD7">
      <w:pPr>
        <w:jc w:val="both"/>
      </w:pPr>
      <w:r w:rsidRPr="007B2DD7">
        <w:rPr>
          <w:b/>
          <w:bCs/>
        </w:rPr>
        <w:t>2. Las cartas del banco que describen transacciones específicas pueden ser prueba suficiente, incluso sin estados de cuenta originales</w:t>
      </w:r>
      <w:r w:rsidRPr="007B2DD7">
        <w:br/>
        <w:t xml:space="preserve">Si las cartas del banco detallan transferencias que coinciden con pólizas contables y actas de asamblea, esa </w:t>
      </w:r>
      <w:proofErr w:type="spellStart"/>
      <w:r w:rsidRPr="007B2DD7">
        <w:t>adminiculación</w:t>
      </w:r>
      <w:proofErr w:type="spellEnd"/>
      <w:r w:rsidRPr="007B2DD7">
        <w:t xml:space="preserve"> puede generar convicción suficiente.</w:t>
      </w:r>
    </w:p>
    <w:p w14:paraId="6902481A" w14:textId="77777777" w:rsidR="007B2DD7" w:rsidRPr="007B2DD7" w:rsidRDefault="007B2DD7" w:rsidP="007B2DD7">
      <w:pPr>
        <w:jc w:val="both"/>
      </w:pPr>
      <w:r w:rsidRPr="007B2DD7">
        <w:rPr>
          <w:i/>
          <w:iCs/>
        </w:rPr>
        <w:t>Fundamento:</w:t>
      </w:r>
      <w:r w:rsidRPr="007B2DD7">
        <w:t> Artículo 46, fracción I de la LFCA; jurisprudencia 2a./J. 161/2019 (10a.) de la SCJN.</w:t>
      </w:r>
    </w:p>
    <w:p w14:paraId="1794EF3B" w14:textId="77777777" w:rsidR="007B2DD7" w:rsidRPr="007B2DD7" w:rsidRDefault="007B2DD7" w:rsidP="007B2DD7">
      <w:pPr>
        <w:jc w:val="both"/>
      </w:pPr>
      <w:r w:rsidRPr="007B2DD7">
        <w:rPr>
          <w:b/>
          <w:bCs/>
        </w:rPr>
        <w:t>3. La obligación de conservar documentación por "todo el tiempo que subsista la sociedad" no puede volverse excesiva ni imposible de cumplir</w:t>
      </w:r>
      <w:r w:rsidRPr="007B2DD7">
        <w:br/>
        <w:t>Si el contribuyente demuestra diligencia razonable y que es imposible obtener el documento original (ej. el banco ya no conserva registros de hace más de 10 años), otras pruebas adminiculadas pueden suplir la ausencia.</w:t>
      </w:r>
    </w:p>
    <w:p w14:paraId="47AA5F7C" w14:textId="77777777" w:rsidR="007B2DD7" w:rsidRPr="007B2DD7" w:rsidRDefault="007B2DD7" w:rsidP="007B2DD7">
      <w:pPr>
        <w:jc w:val="both"/>
      </w:pPr>
      <w:r w:rsidRPr="007B2DD7">
        <w:rPr>
          <w:i/>
          <w:iCs/>
        </w:rPr>
        <w:t>Fundamento:</w:t>
      </w:r>
      <w:r w:rsidRPr="007B2DD7">
        <w:t> Artículo 30, fracción II, inciso c del CFF; artículo 40 de la LFCA.</w:t>
      </w:r>
    </w:p>
    <w:p w14:paraId="6E1DE299" w14:textId="77777777" w:rsidR="007B2DD7" w:rsidRPr="007B2DD7" w:rsidRDefault="007B2DD7" w:rsidP="007B2DD7">
      <w:pPr>
        <w:jc w:val="both"/>
      </w:pPr>
      <w:r w:rsidRPr="007B2DD7">
        <w:rPr>
          <w:b/>
          <w:bCs/>
        </w:rPr>
        <w:lastRenderedPageBreak/>
        <w:t>4. Una reducción de capital que no implique un reembolso pagado a los accionistas no debe disminuir el costo fiscal</w:t>
      </w:r>
      <w:r w:rsidRPr="007B2DD7">
        <w:br/>
        <w:t>Una reducción puramente contable (absorción de pérdidas, eliminación de partidas negativas), sin salida de recursos hacia el accionista, no afecta el costo fiscal de las acciones.</w:t>
      </w:r>
    </w:p>
    <w:p w14:paraId="0B8AFD86" w14:textId="77777777" w:rsidR="007B2DD7" w:rsidRPr="007B2DD7" w:rsidRDefault="007B2DD7" w:rsidP="007B2DD7">
      <w:pPr>
        <w:jc w:val="both"/>
      </w:pPr>
      <w:r w:rsidRPr="007B2DD7">
        <w:rPr>
          <w:i/>
          <w:iCs/>
        </w:rPr>
        <w:t>Fundamento:</w:t>
      </w:r>
      <w:r w:rsidRPr="007B2DD7">
        <w:t> Artículo 89 de la LISR; artículo 25 de la LISR.</w:t>
      </w:r>
    </w:p>
    <w:p w14:paraId="6E2CAD8E" w14:textId="77777777" w:rsidR="007B2DD7" w:rsidRPr="007B2DD7" w:rsidRDefault="007B2DD7" w:rsidP="007B2DD7">
      <w:pPr>
        <w:jc w:val="both"/>
      </w:pPr>
      <w:r w:rsidRPr="007B2DD7">
        <w:rPr>
          <w:b/>
          <w:bCs/>
        </w:rPr>
        <w:t>5. La exigencia excesiva de documentación por parte del SAT puede ser considerada desproporcionada</w:t>
      </w:r>
      <w:r w:rsidRPr="007B2DD7">
        <w:br/>
        <w:t>Si el contribuyente ya proporcionó pruebas adminiculadas que generan certeza y demostró que el banco ya no conserva los registros, el SAT no puede exigir lo imposible.</w:t>
      </w:r>
    </w:p>
    <w:p w14:paraId="430B2369" w14:textId="77777777" w:rsidR="007B2DD7" w:rsidRPr="007B2DD7" w:rsidRDefault="007B2DD7" w:rsidP="007B2DD7">
      <w:pPr>
        <w:jc w:val="both"/>
      </w:pPr>
      <w:r w:rsidRPr="007B2DD7">
        <w:rPr>
          <w:i/>
          <w:iCs/>
        </w:rPr>
        <w:t>Fundamento:</w:t>
      </w:r>
      <w:r w:rsidRPr="007B2DD7">
        <w:t> Artículo 40 de la LFCA; artículo 46, fracción I de la LFCA.</w:t>
      </w:r>
    </w:p>
    <w:p w14:paraId="1D5A52AE" w14:textId="77777777" w:rsidR="007B2DD7" w:rsidRPr="007B2DD7" w:rsidRDefault="007B2DD7" w:rsidP="007B2DD7">
      <w:pPr>
        <w:jc w:val="both"/>
      </w:pPr>
      <w:r w:rsidRPr="007B2DD7">
        <w:rPr>
          <w:b/>
          <w:bCs/>
        </w:rPr>
        <w:t>6. La carga de la prueba recae en el contribuyente, pero el SAT no puede negarse a valorar pruebas que, en su conjunto, demuestran el hecho</w:t>
      </w:r>
      <w:r w:rsidRPr="007B2DD7">
        <w:br/>
        <w:t>La autoridad debe valorar todas las pruebas, no solo las que le convienen. Si el contribuyente demuestra el hecho con otros medios, el SAT no puede ignorarlos.</w:t>
      </w:r>
    </w:p>
    <w:p w14:paraId="2D22A764" w14:textId="77777777" w:rsidR="007B2DD7" w:rsidRPr="007B2DD7" w:rsidRDefault="007B2DD7" w:rsidP="007B2DD7">
      <w:pPr>
        <w:jc w:val="both"/>
      </w:pPr>
      <w:r w:rsidRPr="007B2DD7">
        <w:rPr>
          <w:i/>
          <w:iCs/>
        </w:rPr>
        <w:t>Fundamento:</w:t>
      </w:r>
      <w:r w:rsidRPr="007B2DD7">
        <w:t> Artículo 40 de la LFCA; artículo 46 de la LFCA.</w:t>
      </w:r>
    </w:p>
    <w:p w14:paraId="257C7A6D" w14:textId="77777777" w:rsidR="007B2DD7" w:rsidRPr="007B2DD7" w:rsidRDefault="007B2DD7" w:rsidP="007B2DD7">
      <w:pPr>
        <w:jc w:val="both"/>
      </w:pPr>
      <w:r w:rsidRPr="007B2DD7">
        <w:rPr>
          <w:b/>
          <w:bCs/>
        </w:rPr>
        <w:t>7. La prueba pericial contable es inidónea para determinar el alcance de una norma jurídica</w:t>
      </w:r>
      <w:r w:rsidRPr="007B2DD7">
        <w:br/>
        <w:t>Su utilidad se limita a explicar cuestiones técnicas de la contabilidad, no a interpretar si el SAT aplicó correctamente la ley. Un perito contable no puede decir si el SAT aplicó bien la ley; solo puede explicar cómo se registró contablemente una operación.</w:t>
      </w:r>
    </w:p>
    <w:p w14:paraId="33716BEF" w14:textId="77777777" w:rsidR="007B2DD7" w:rsidRPr="007B2DD7" w:rsidRDefault="007B2DD7" w:rsidP="007B2DD7">
      <w:pPr>
        <w:jc w:val="both"/>
      </w:pPr>
      <w:r w:rsidRPr="007B2DD7">
        <w:rPr>
          <w:i/>
          <w:iCs/>
        </w:rPr>
        <w:t>Fundamento:</w:t>
      </w:r>
      <w:r w:rsidRPr="007B2DD7">
        <w:t> Jurisprudencia VIII-J-SS-48 del TFJA; artículo 46, fracción III de la LFCA.</w:t>
      </w:r>
    </w:p>
    <w:p w14:paraId="21467C7A" w14:textId="77777777" w:rsidR="007B2DD7" w:rsidRPr="007B2DD7" w:rsidRDefault="007B2DD7" w:rsidP="007B2DD7">
      <w:pPr>
        <w:jc w:val="both"/>
      </w:pPr>
      <w:r w:rsidRPr="007B2DD7">
        <w:rPr>
          <w:b/>
          <w:bCs/>
        </w:rPr>
        <w:t>8. La pérdida en la enajenación de acciones es deducible siempre que se acredite el costo comprobado de adquisición actualizado</w:t>
      </w:r>
      <w:r w:rsidRPr="007B2DD7">
        <w:br/>
        <w:t>Acreditar el costo no es sinónimo de deducir automáticamente la pérdida. Su deducibilidad depende de cumplir con las reglas de precios de transferencia y partes relacionadas (artículo 32, fracción XVII de la LISR).</w:t>
      </w:r>
    </w:p>
    <w:p w14:paraId="28222731" w14:textId="77777777" w:rsidR="007B2DD7" w:rsidRPr="007B2DD7" w:rsidRDefault="007B2DD7" w:rsidP="007B2DD7">
      <w:pPr>
        <w:jc w:val="both"/>
      </w:pPr>
      <w:r w:rsidRPr="007B2DD7">
        <w:rPr>
          <w:i/>
          <w:iCs/>
        </w:rPr>
        <w:t>Fundamento:</w:t>
      </w:r>
      <w:r w:rsidRPr="007B2DD7">
        <w:t> Artículo 32, fracción XVII de la LISR; artículo 25 de la LISR.</w:t>
      </w:r>
    </w:p>
    <w:p w14:paraId="41465898" w14:textId="77777777" w:rsidR="007B2DD7" w:rsidRPr="007B2DD7" w:rsidRDefault="007B2DD7" w:rsidP="007B2DD7">
      <w:pPr>
        <w:jc w:val="both"/>
      </w:pPr>
      <w:r w:rsidRPr="007B2DD7">
        <w:rPr>
          <w:b/>
          <w:bCs/>
        </w:rPr>
        <w:t>9. La nulidad de una resolución puede ser "para efectos", ordenando al SAT emitir un nuevo acto que considere las pruebas aportadas</w:t>
      </w:r>
      <w:r w:rsidRPr="007B2DD7">
        <w:br/>
        <w:t xml:space="preserve">No toda nulidad es lisa y llana. La nulidad para efectos (artículo 52, fracción II de la LFCA) instruye al SAT a emitir una nueva resolución respetando el costo fiscal probado, pero el resto de </w:t>
      </w:r>
      <w:proofErr w:type="gramStart"/>
      <w:r w:rsidRPr="007B2DD7">
        <w:t>irregularidades</w:t>
      </w:r>
      <w:proofErr w:type="gramEnd"/>
      <w:r w:rsidRPr="007B2DD7">
        <w:t xml:space="preserve"> pueden subsistir.</w:t>
      </w:r>
    </w:p>
    <w:p w14:paraId="42C1983C" w14:textId="77777777" w:rsidR="007B2DD7" w:rsidRPr="007B2DD7" w:rsidRDefault="007B2DD7" w:rsidP="007B2DD7">
      <w:pPr>
        <w:jc w:val="both"/>
      </w:pPr>
      <w:r w:rsidRPr="007B2DD7">
        <w:rPr>
          <w:i/>
          <w:iCs/>
        </w:rPr>
        <w:lastRenderedPageBreak/>
        <w:t>Fundamento:</w:t>
      </w:r>
      <w:r w:rsidRPr="007B2DD7">
        <w:t> Artículo 52, fracción II de la LFCA.</w:t>
      </w:r>
    </w:p>
    <w:p w14:paraId="17FA078C" w14:textId="77777777" w:rsidR="007B2DD7" w:rsidRPr="007B2DD7" w:rsidRDefault="007B2DD7" w:rsidP="007B2DD7">
      <w:pPr>
        <w:jc w:val="both"/>
      </w:pPr>
      <w:r w:rsidRPr="007B2DD7">
        <w:rPr>
          <w:b/>
          <w:bCs/>
        </w:rPr>
        <w:t>10. La diferencia entre capital fijo y capital variable es crucial</w:t>
      </w:r>
      <w:r w:rsidRPr="007B2DD7">
        <w:br/>
        <w:t>Si la empresa es de capital fijo (S.A. de C.F.), la falta de acta extraordinaria protocolizada sí invalida el aumento. Si es de capital variable (S.A. de C.V.), basta con el libro de registro de variaciones de capital.</w:t>
      </w:r>
    </w:p>
    <w:p w14:paraId="6E003FDA" w14:textId="77777777" w:rsidR="007B2DD7" w:rsidRPr="007B2DD7" w:rsidRDefault="007B2DD7" w:rsidP="007B2DD7">
      <w:pPr>
        <w:jc w:val="both"/>
      </w:pPr>
      <w:r w:rsidRPr="007B2DD7">
        <w:rPr>
          <w:i/>
          <w:iCs/>
        </w:rPr>
        <w:t>Fundamento:</w:t>
      </w:r>
      <w:r w:rsidRPr="007B2DD7">
        <w:t> Artículos 182 y 194 de la LGSM (capital fijo); artículos 213 a 219 de la LGSM (capital variable).</w:t>
      </w:r>
    </w:p>
    <w:p w14:paraId="1A9E7EAA" w14:textId="77777777" w:rsidR="007B2DD7" w:rsidRPr="007B2DD7" w:rsidRDefault="007B2DD7" w:rsidP="007B2DD7">
      <w:pPr>
        <w:jc w:val="both"/>
      </w:pPr>
      <w:r w:rsidRPr="007B2DD7">
        <w:rPr>
          <w:b/>
          <w:bCs/>
        </w:rPr>
        <w:t>Fundamento legal completo del caso</w:t>
      </w:r>
    </w:p>
    <w:p w14:paraId="4D6E0BF6" w14:textId="77777777" w:rsidR="007B2DD7" w:rsidRPr="007B2DD7" w:rsidRDefault="007B2DD7" w:rsidP="007B2DD7">
      <w:pPr>
        <w:jc w:val="both"/>
      </w:pPr>
      <w:r w:rsidRPr="007B2DD7">
        <w:rPr>
          <w:i/>
          <w:iCs/>
        </w:rPr>
        <w:t>Legislación aplicable:</w:t>
      </w:r>
      <w:r w:rsidRPr="007B2DD7">
        <w:t> Artículos 24, 25, 89, 32 fracción XVII de la LISR; artículo 30 fracción II inciso c del CFF; artículos 40, 46, 52 fracción II de la LFCA.</w:t>
      </w:r>
    </w:p>
    <w:p w14:paraId="11CDABCB" w14:textId="77777777" w:rsidR="007B2DD7" w:rsidRPr="00762372" w:rsidRDefault="007B2DD7" w:rsidP="007B2DD7">
      <w:pPr>
        <w:jc w:val="both"/>
        <w:rPr>
          <w:lang w:val="fr-FR"/>
        </w:rPr>
      </w:pPr>
      <w:r w:rsidRPr="007B2DD7">
        <w:rPr>
          <w:i/>
          <w:iCs/>
        </w:rPr>
        <w:t>Jurisprudencia:</w:t>
      </w:r>
      <w:r w:rsidRPr="007B2DD7">
        <w:t xml:space="preserve"> VIII-J-SS-48 del TFJA; 2a./J. </w:t>
      </w:r>
      <w:r w:rsidRPr="00762372">
        <w:rPr>
          <w:lang w:val="fr-FR"/>
        </w:rPr>
        <w:t>161/2019 (10a.); 2a./J. 73/2013 (10a.) de la SCJN.</w:t>
      </w:r>
    </w:p>
    <w:p w14:paraId="1A4452E8" w14:textId="77777777" w:rsidR="007B2DD7" w:rsidRPr="007B2DD7" w:rsidRDefault="007B2DD7" w:rsidP="007B2DD7">
      <w:pPr>
        <w:jc w:val="both"/>
      </w:pPr>
      <w:r w:rsidRPr="007B2DD7">
        <w:rPr>
          <w:b/>
          <w:bCs/>
        </w:rPr>
        <w:t>Referencia al expediente completo</w:t>
      </w:r>
      <w:r w:rsidRPr="007B2DD7">
        <w:br/>
        <w:t>El expediente 17/22-ERF-01-4 puede ser consultado en el TFJA o SISE.</w:t>
      </w:r>
    </w:p>
    <w:p w14:paraId="4A2D3EAF" w14:textId="77777777" w:rsidR="007B2DD7" w:rsidRPr="007B2DD7" w:rsidRDefault="007B2DD7" w:rsidP="007B2DD7">
      <w:pPr>
        <w:jc w:val="both"/>
      </w:pPr>
      <w:proofErr w:type="spellStart"/>
      <w:r w:rsidRPr="007B2DD7">
        <w:rPr>
          <w:b/>
          <w:bCs/>
        </w:rPr>
        <w:t>Checklist</w:t>
      </w:r>
      <w:proofErr w:type="spellEnd"/>
      <w:r w:rsidRPr="007B2DD7">
        <w:rPr>
          <w:b/>
          <w:bCs/>
        </w:rPr>
        <w:t xml:space="preserve"> de defensa para el asesor fiscal</w:t>
      </w:r>
    </w:p>
    <w:p w14:paraId="44CAA673" w14:textId="77777777" w:rsidR="007B2DD7" w:rsidRPr="007B2DD7" w:rsidRDefault="007B2DD7" w:rsidP="007B2DD7">
      <w:pPr>
        <w:numPr>
          <w:ilvl w:val="0"/>
          <w:numId w:val="17"/>
        </w:numPr>
        <w:jc w:val="both"/>
      </w:pPr>
      <w:r w:rsidRPr="007B2DD7">
        <w:t>Reconstruir el historial de aumentos de capital desde la fundación de la empresa. Para cada aportación, verificar: estado de cuenta bancario, póliza contable, acta de asamblea.</w:t>
      </w:r>
    </w:p>
    <w:p w14:paraId="2D6072AE" w14:textId="77777777" w:rsidR="007B2DD7" w:rsidRPr="007B2DD7" w:rsidRDefault="007B2DD7" w:rsidP="007B2DD7">
      <w:pPr>
        <w:numPr>
          <w:ilvl w:val="0"/>
          <w:numId w:val="17"/>
        </w:numPr>
        <w:jc w:val="both"/>
      </w:pPr>
      <w:r w:rsidRPr="007B2DD7">
        <w:t>Guardar los estados de cuenta bancarios de los aumentos de capital por toda la vida de la empresa. Digitalizar y respaldar en la nube.</w:t>
      </w:r>
    </w:p>
    <w:p w14:paraId="681C3C13" w14:textId="77777777" w:rsidR="007B2DD7" w:rsidRPr="007B2DD7" w:rsidRDefault="007B2DD7" w:rsidP="007B2DD7">
      <w:pPr>
        <w:numPr>
          <w:ilvl w:val="0"/>
          <w:numId w:val="17"/>
        </w:numPr>
        <w:jc w:val="both"/>
      </w:pPr>
      <w:r w:rsidRPr="007B2DD7">
        <w:t>Si planea vender su empresa, hacer una auditoría de su costo fiscal con al menos un año de anticipación.</w:t>
      </w:r>
    </w:p>
    <w:p w14:paraId="1E398DF4" w14:textId="77777777" w:rsidR="007B2DD7" w:rsidRPr="007B2DD7" w:rsidRDefault="007B2DD7" w:rsidP="007B2DD7">
      <w:pPr>
        <w:numPr>
          <w:ilvl w:val="0"/>
          <w:numId w:val="17"/>
        </w:numPr>
        <w:jc w:val="both"/>
      </w:pPr>
      <w:r w:rsidRPr="007B2DD7">
        <w:t>Si el banco ya no conserva los estados de cuenta originales, obtener carta del banco que describa las transacciones específicas. Adminicular con pólizas contables y actas.</w:t>
      </w:r>
    </w:p>
    <w:p w14:paraId="21079672" w14:textId="77777777" w:rsidR="007B2DD7" w:rsidRPr="007B2DD7" w:rsidRDefault="007B2DD7" w:rsidP="007B2DD7">
      <w:pPr>
        <w:numPr>
          <w:ilvl w:val="0"/>
          <w:numId w:val="17"/>
        </w:numPr>
        <w:jc w:val="both"/>
      </w:pPr>
      <w:r w:rsidRPr="007B2DD7">
        <w:t>No confiar solo en las actas notariales. Para el costo fiscal, lo que vale son los comprobantes de pago: transferencias, cheques, estados de cuenta.</w:t>
      </w:r>
    </w:p>
    <w:p w14:paraId="3B234DDC" w14:textId="77777777" w:rsidR="007B2DD7" w:rsidRPr="007B2DD7" w:rsidRDefault="007B2DD7" w:rsidP="007B2DD7">
      <w:pPr>
        <w:numPr>
          <w:ilvl w:val="0"/>
          <w:numId w:val="17"/>
        </w:numPr>
        <w:jc w:val="both"/>
      </w:pPr>
      <w:r w:rsidRPr="007B2DD7">
        <w:t>Si la empresa realizó reducciones de capital sin reembolso de dinero (absorción de pérdidas), impugnar cualquier disminución del costo fiscal por ese concepto (artículo 89 LISR).</w:t>
      </w:r>
    </w:p>
    <w:p w14:paraId="546EBE79" w14:textId="77777777" w:rsidR="007B2DD7" w:rsidRPr="007B2DD7" w:rsidRDefault="007B2DD7" w:rsidP="007B2DD7">
      <w:pPr>
        <w:numPr>
          <w:ilvl w:val="0"/>
          <w:numId w:val="17"/>
        </w:numPr>
        <w:jc w:val="both"/>
      </w:pPr>
      <w:r w:rsidRPr="007B2DD7">
        <w:lastRenderedPageBreak/>
        <w:t>Si el SAT exige documentos imposibles de obtener, documentar la imposibilidad y ofrecer pruebas adminiculadas alternativas.</w:t>
      </w:r>
    </w:p>
    <w:p w14:paraId="378E01B9" w14:textId="77777777" w:rsidR="007B2DD7" w:rsidRPr="007B2DD7" w:rsidRDefault="007B2DD7" w:rsidP="007B2DD7">
      <w:pPr>
        <w:numPr>
          <w:ilvl w:val="0"/>
          <w:numId w:val="17"/>
        </w:numPr>
        <w:jc w:val="both"/>
      </w:pPr>
      <w:r w:rsidRPr="007B2DD7">
        <w:t>Si ofrece prueba pericial contable, limitarla a explicar la mecánica de los registros contables; no pedir opinión sobre la interpretación de la ley (jurisprudencia VIII-J-SS-48).</w:t>
      </w:r>
    </w:p>
    <w:p w14:paraId="5DE4E0E9" w14:textId="77777777" w:rsidR="007B2DD7" w:rsidRPr="007B2DD7" w:rsidRDefault="007B2DD7" w:rsidP="007B2DD7">
      <w:pPr>
        <w:jc w:val="both"/>
      </w:pPr>
      <w:r w:rsidRPr="007B2DD7">
        <w:rPr>
          <w:b/>
          <w:bCs/>
        </w:rPr>
        <w:t>Nota final para el asesor fiscal:</w:t>
      </w:r>
      <w:r w:rsidRPr="007B2DD7">
        <w:t> El costo fiscal de las acciones no se presume. Se prueba. Y se prueba con documentación idónea: estados de cuenta bancarios, transferencias, pólizas contables. Las actas notariales son necesarias, pero no suficientes. El acta prueba la asamblea, la decisión, las firmas. No prueba que el dinero entró. La documentación del costo fiscal es eterna (artículo 30, fracción II, inciso c del CFF). No aplica la regla de los cinco años. Si su cliente no guardó los estados de cuenta de los aumentos de capital de hace décadas, el SAT puede desconocer su costo fiscal. Y cuando venda sus acciones, el SAT le cobrará impuestos sobre el precio total de venta, no sobre la ganancia. Guarde sus comprobantes de pago para siempre.</w:t>
      </w:r>
    </w:p>
    <w:p w14:paraId="6FB4DAAA" w14:textId="77777777" w:rsidR="00762372" w:rsidRPr="00762372" w:rsidRDefault="00762372" w:rsidP="00762372">
      <w:pPr>
        <w:jc w:val="both"/>
        <w:rPr>
          <w:b/>
          <w:bCs/>
        </w:rPr>
      </w:pPr>
      <w:r w:rsidRPr="00762372">
        <w:rPr>
          <w:b/>
          <w:bCs/>
        </w:rPr>
        <w:t>Apéndice 13 – Capítulo 13</w:t>
      </w:r>
    </w:p>
    <w:p w14:paraId="08359C74" w14:textId="77777777" w:rsidR="00762372" w:rsidRPr="00762372" w:rsidRDefault="00762372" w:rsidP="00762372">
      <w:pPr>
        <w:jc w:val="both"/>
      </w:pPr>
      <w:r w:rsidRPr="00762372">
        <w:rPr>
          <w:b/>
          <w:bCs/>
        </w:rPr>
        <w:t>El SAT no revisa una empresa: revisa a toda su familia como un solo contribuyente (el riesgo de consolidación invisible)</w:t>
      </w:r>
    </w:p>
    <w:p w14:paraId="0BBFC8D0" w14:textId="77777777" w:rsidR="00762372" w:rsidRPr="00762372" w:rsidRDefault="00762372" w:rsidP="00762372">
      <w:pPr>
        <w:jc w:val="both"/>
      </w:pPr>
      <w:r w:rsidRPr="00762372">
        <w:rPr>
          <w:b/>
          <w:bCs/>
        </w:rPr>
        <w:t>Expediente:</w:t>
      </w:r>
      <w:r w:rsidRPr="00762372">
        <w:t> 75/21-ERF-01-7/1871/23-PL-02-04 del Tribunal Federal de Justicia Administrativa (Pleno Jurisdiccional de la Sala Superior)</w:t>
      </w:r>
    </w:p>
    <w:p w14:paraId="57878FA7" w14:textId="77777777" w:rsidR="00762372" w:rsidRPr="00762372" w:rsidRDefault="00762372" w:rsidP="00762372">
      <w:pPr>
        <w:jc w:val="both"/>
      </w:pPr>
      <w:r w:rsidRPr="00762372">
        <w:rPr>
          <w:b/>
          <w:bCs/>
        </w:rPr>
        <w:t>Los 10 puntos técnicos más relevantes para el asesor fiscal</w:t>
      </w:r>
    </w:p>
    <w:p w14:paraId="069EED70" w14:textId="77777777" w:rsidR="00762372" w:rsidRPr="00762372" w:rsidRDefault="00762372" w:rsidP="00762372">
      <w:pPr>
        <w:jc w:val="both"/>
      </w:pPr>
      <w:r w:rsidRPr="00762372">
        <w:rPr>
          <w:b/>
          <w:bCs/>
        </w:rPr>
        <w:t>1. La autoridad fiscal está vinculada por los términos y limitaciones que ella misma establece en el oficio de inicio</w:t>
      </w:r>
      <w:r w:rsidRPr="00762372">
        <w:br/>
        <w:t>Si la autoridad excluyó expresamente las "operaciones con partes relacionadas" de la revisión, no puede después determinar un crédito fiscal basado precisamente en el análisis de precios de transferencia.</w:t>
      </w:r>
    </w:p>
    <w:p w14:paraId="1A078727" w14:textId="77777777" w:rsidR="00762372" w:rsidRPr="00762372" w:rsidRDefault="00762372" w:rsidP="00762372">
      <w:pPr>
        <w:jc w:val="both"/>
      </w:pPr>
      <w:r w:rsidRPr="00762372">
        <w:rPr>
          <w:i/>
          <w:iCs/>
        </w:rPr>
        <w:t>Fundamento:</w:t>
      </w:r>
      <w:r w:rsidRPr="00762372">
        <w:t> Artículo 16 constitucional; artículo 48 del CFF.</w:t>
      </w:r>
    </w:p>
    <w:p w14:paraId="2DD8B61D" w14:textId="77777777" w:rsidR="00762372" w:rsidRPr="00762372" w:rsidRDefault="00762372" w:rsidP="00762372">
      <w:pPr>
        <w:jc w:val="both"/>
      </w:pPr>
      <w:r w:rsidRPr="00762372">
        <w:rPr>
          <w:b/>
          <w:bCs/>
        </w:rPr>
        <w:t>2. La exclusión de materias en el oficio de inicio no es un mero requisito formal; es una limitante material a las facultades de la autoridad</w:t>
      </w:r>
      <w:r w:rsidRPr="00762372">
        <w:br/>
        <w:t>La autoridad no puede decir al inicio que no revisará ciertos temas y luego basar el crédito fiscal en esos temas. La exclusión es vinculante.</w:t>
      </w:r>
    </w:p>
    <w:p w14:paraId="6DCF534B" w14:textId="77777777" w:rsidR="00762372" w:rsidRPr="00762372" w:rsidRDefault="00762372" w:rsidP="00762372">
      <w:pPr>
        <w:jc w:val="both"/>
      </w:pPr>
      <w:r w:rsidRPr="00762372">
        <w:rPr>
          <w:i/>
          <w:iCs/>
        </w:rPr>
        <w:t>Fundamento:</w:t>
      </w:r>
      <w:r w:rsidRPr="00762372">
        <w:t> Artículo 48 del CFF; artículo 16 constitucional.</w:t>
      </w:r>
    </w:p>
    <w:p w14:paraId="45BB5F81" w14:textId="77777777" w:rsidR="00762372" w:rsidRPr="00762372" w:rsidRDefault="00762372" w:rsidP="00762372">
      <w:pPr>
        <w:jc w:val="both"/>
      </w:pPr>
      <w:r w:rsidRPr="00762372">
        <w:rPr>
          <w:b/>
          <w:bCs/>
        </w:rPr>
        <w:lastRenderedPageBreak/>
        <w:t>3. La falta de un requisito formal no invalida el derecho sustancial si el contribuyente acredita el cumplimiento material del esquema</w:t>
      </w:r>
      <w:r w:rsidRPr="00762372">
        <w:br/>
        <w:t>Si el contribuyente presentó un escrito, obtuvo resolución favorable, realizó los pagos y generó líneas de captura autorizadas, la formalidad del "aviso" cede ante la sustancia del cumplimiento.</w:t>
      </w:r>
    </w:p>
    <w:p w14:paraId="404BAA0F" w14:textId="77777777" w:rsidR="00762372" w:rsidRPr="00762372" w:rsidRDefault="00762372" w:rsidP="00762372">
      <w:pPr>
        <w:jc w:val="both"/>
      </w:pPr>
      <w:r w:rsidRPr="00762372">
        <w:rPr>
          <w:i/>
          <w:iCs/>
        </w:rPr>
        <w:t>Fundamento:</w:t>
      </w:r>
      <w:r w:rsidRPr="00762372">
        <w:t> Artículo Segundo, fracción IX del Decreto de 2016; artículo 5 del CFF (sustancia económica).</w:t>
      </w:r>
    </w:p>
    <w:p w14:paraId="31C7E541" w14:textId="77777777" w:rsidR="00762372" w:rsidRPr="00762372" w:rsidRDefault="00762372" w:rsidP="00762372">
      <w:pPr>
        <w:jc w:val="both"/>
      </w:pPr>
      <w:r w:rsidRPr="00762372">
        <w:rPr>
          <w:b/>
          <w:bCs/>
        </w:rPr>
        <w:t>4. La nulidad de la determinación principal arrastra la nulidad de los accesorios (multas, recargos y actualizaciones) derivados de esos conceptos</w:t>
      </w:r>
      <w:r w:rsidRPr="00762372">
        <w:br/>
        <w:t>El principio de que "lo accesorio sigue la suerte de lo principal" es aplicable en materia fiscal. Si la deuda principal desaparece, los accesorios también.</w:t>
      </w:r>
    </w:p>
    <w:p w14:paraId="5CB2C65A" w14:textId="77777777" w:rsidR="00762372" w:rsidRPr="00762372" w:rsidRDefault="00762372" w:rsidP="00762372">
      <w:pPr>
        <w:jc w:val="both"/>
      </w:pPr>
      <w:r w:rsidRPr="00762372">
        <w:rPr>
          <w:i/>
          <w:iCs/>
        </w:rPr>
        <w:t>Fundamento:</w:t>
      </w:r>
      <w:r w:rsidRPr="00762372">
        <w:t> Artículo 76 del CFF; principio de accesoriedad.</w:t>
      </w:r>
    </w:p>
    <w:p w14:paraId="51705F6F" w14:textId="77777777" w:rsidR="00762372" w:rsidRPr="00762372" w:rsidRDefault="00762372" w:rsidP="00762372">
      <w:pPr>
        <w:jc w:val="both"/>
      </w:pPr>
      <w:r w:rsidRPr="00762372">
        <w:rPr>
          <w:b/>
          <w:bCs/>
        </w:rPr>
        <w:t>5. Para que opere la exclusión de materias en un oficio de revisión, no es necesario que el contribuyente haya acreditado o no su cumplimiento</w:t>
      </w:r>
      <w:r w:rsidRPr="00762372">
        <w:br/>
        <w:t>El vicio es de origen, no de fondo. La nulidad es lisa y llana respecto de los conceptos excluidos. No importa si el contribuyente tenía o no la razón; la autoridad actuó sin facultades.</w:t>
      </w:r>
    </w:p>
    <w:p w14:paraId="5F09FF03" w14:textId="77777777" w:rsidR="00762372" w:rsidRPr="00762372" w:rsidRDefault="00762372" w:rsidP="00762372">
      <w:pPr>
        <w:jc w:val="both"/>
      </w:pPr>
      <w:r w:rsidRPr="00762372">
        <w:rPr>
          <w:i/>
          <w:iCs/>
        </w:rPr>
        <w:t>Fundamento:</w:t>
      </w:r>
      <w:r w:rsidRPr="00762372">
        <w:t> Artículo 16 constitucional; artículo 48 del CFF.</w:t>
      </w:r>
    </w:p>
    <w:p w14:paraId="1D890031" w14:textId="77777777" w:rsidR="00762372" w:rsidRPr="00762372" w:rsidRDefault="00762372" w:rsidP="00762372">
      <w:pPr>
        <w:jc w:val="both"/>
      </w:pPr>
      <w:r w:rsidRPr="00762372">
        <w:rPr>
          <w:b/>
          <w:bCs/>
        </w:rPr>
        <w:t>6. La ley no exige el pago total del ISR diferido como requisito previo para amortizar pérdidas por enajenación de acciones en la desconsolidación</w:t>
      </w:r>
      <w:r w:rsidRPr="00762372">
        <w:br/>
        <w:t>Solo establece un esquema de pagos en parcialidades (5 o 10 años). La exigencia de pago total fue una interpretación ilegal y excesiva.</w:t>
      </w:r>
    </w:p>
    <w:p w14:paraId="2BD91312" w14:textId="77777777" w:rsidR="00762372" w:rsidRPr="00762372" w:rsidRDefault="00762372" w:rsidP="00762372">
      <w:pPr>
        <w:jc w:val="both"/>
      </w:pPr>
      <w:r w:rsidRPr="00762372">
        <w:rPr>
          <w:i/>
          <w:iCs/>
        </w:rPr>
        <w:t>Fundamento:</w:t>
      </w:r>
      <w:r w:rsidRPr="00762372">
        <w:t> Artículo 5 del CFF; artículo 70-A de la LISR; Noveno Transitorio de 2014.</w:t>
      </w:r>
    </w:p>
    <w:p w14:paraId="41BD6704" w14:textId="77777777" w:rsidR="00762372" w:rsidRPr="00762372" w:rsidRDefault="00762372" w:rsidP="00762372">
      <w:pPr>
        <w:jc w:val="both"/>
      </w:pPr>
      <w:r w:rsidRPr="00762372">
        <w:rPr>
          <w:b/>
          <w:bCs/>
        </w:rPr>
        <w:t>7. Una resolución favorable dictada por el SAT no puede ser desconocida por la misma autoridad en un procedimiento diverso mientras no haya sido revocada mediante juicio de lesividad</w:t>
      </w:r>
      <w:r w:rsidRPr="00762372">
        <w:br/>
        <w:t>La autoridad no puede, en una auditoría posterior, ignorar su propio acto administrativo favorable. Si considera que es ilegal, debe promover el juicio de lesividad (artículo 27, fracción II de la LFCA).</w:t>
      </w:r>
    </w:p>
    <w:p w14:paraId="1A25D740" w14:textId="77777777" w:rsidR="00762372" w:rsidRPr="00762372" w:rsidRDefault="00762372" w:rsidP="00762372">
      <w:pPr>
        <w:jc w:val="both"/>
      </w:pPr>
      <w:r w:rsidRPr="00762372">
        <w:rPr>
          <w:i/>
          <w:iCs/>
        </w:rPr>
        <w:t>Fundamento:</w:t>
      </w:r>
      <w:r w:rsidRPr="00762372">
        <w:t> Artículo 27, fracción II de la LFCA; artículo 14 constitucional.</w:t>
      </w:r>
    </w:p>
    <w:p w14:paraId="38BF8113" w14:textId="77777777" w:rsidR="00762372" w:rsidRPr="00762372" w:rsidRDefault="00762372" w:rsidP="00762372">
      <w:pPr>
        <w:jc w:val="both"/>
      </w:pPr>
      <w:r w:rsidRPr="00762372">
        <w:rPr>
          <w:b/>
          <w:bCs/>
        </w:rPr>
        <w:t>8. En materia de consolidación fiscal, la pérdida por enajenación de acciones puede ser amortizada sin que el ISR diferido esté totalmente pagado, siempre que se cumpla con el esquema de pago autorizado</w:t>
      </w:r>
      <w:r w:rsidRPr="00762372">
        <w:br/>
      </w:r>
      <w:r w:rsidRPr="00762372">
        <w:lastRenderedPageBreak/>
        <w:t>El régimen de consolidación permite diferir el pago, no eliminarlo. Exigir el pago total sería un doble beneficio para el fisco.</w:t>
      </w:r>
    </w:p>
    <w:p w14:paraId="25C7930A" w14:textId="77777777" w:rsidR="00762372" w:rsidRPr="00762372" w:rsidRDefault="00762372" w:rsidP="00762372">
      <w:pPr>
        <w:jc w:val="both"/>
      </w:pPr>
      <w:r w:rsidRPr="00762372">
        <w:rPr>
          <w:i/>
          <w:iCs/>
        </w:rPr>
        <w:t>Fundamento:</w:t>
      </w:r>
      <w:r w:rsidRPr="00762372">
        <w:t> Artículo 70-A de la LISR; artículo 71-A de la LISR.</w:t>
      </w:r>
    </w:p>
    <w:p w14:paraId="7460B801" w14:textId="77777777" w:rsidR="00762372" w:rsidRPr="00762372" w:rsidRDefault="00762372" w:rsidP="00762372">
      <w:pPr>
        <w:jc w:val="both"/>
      </w:pPr>
      <w:r w:rsidRPr="00762372">
        <w:rPr>
          <w:b/>
          <w:bCs/>
        </w:rPr>
        <w:t xml:space="preserve">9. Las pruebas consistentes en líneas de captura, recibos bancarios y acuses de declaración son valorables en el juicio contencioso </w:t>
      </w:r>
      <w:proofErr w:type="gramStart"/>
      <w:r w:rsidRPr="00762372">
        <w:rPr>
          <w:b/>
          <w:bCs/>
        </w:rPr>
        <w:t>administrativo</w:t>
      </w:r>
      <w:proofErr w:type="gramEnd"/>
      <w:r w:rsidRPr="00762372">
        <w:rPr>
          <w:b/>
          <w:bCs/>
        </w:rPr>
        <w:t xml:space="preserve"> aunque no obren en el expediente administrativo original</w:t>
      </w:r>
      <w:r w:rsidRPr="00762372">
        <w:br/>
        <w:t>Se trata de hechos supervenientes (pagos realizados durante el juicio) y de documentos que ya obraban en poder de la autoridad (artículo 2, fracción VI de la Ley de Derechos del Contribuyente).</w:t>
      </w:r>
    </w:p>
    <w:p w14:paraId="3D7FE23E" w14:textId="77777777" w:rsidR="00762372" w:rsidRPr="00762372" w:rsidRDefault="00762372" w:rsidP="00762372">
      <w:pPr>
        <w:jc w:val="both"/>
      </w:pPr>
      <w:r w:rsidRPr="00762372">
        <w:rPr>
          <w:i/>
          <w:iCs/>
        </w:rPr>
        <w:t>Fundamento:</w:t>
      </w:r>
      <w:r w:rsidRPr="00762372">
        <w:t> Artículo 46 de la LFCA; artículo 2, fracción VI de la Ley de Derechos del Contribuyente.</w:t>
      </w:r>
    </w:p>
    <w:p w14:paraId="6E17434E" w14:textId="77777777" w:rsidR="00762372" w:rsidRPr="00762372" w:rsidRDefault="00762372" w:rsidP="00762372">
      <w:pPr>
        <w:jc w:val="both"/>
      </w:pPr>
      <w:r w:rsidRPr="00762372">
        <w:rPr>
          <w:b/>
          <w:bCs/>
        </w:rPr>
        <w:t>10. La nulidad "lisa y llana" procede cuando la autoridad actúa sin facultades, pero las determinaciones no impugnadas subsisten</w:t>
      </w:r>
      <w:r w:rsidRPr="00762372">
        <w:br/>
        <w:t>Si el contribuyente no impugnó ciertos conceptos, esos se confirman. El SAT deberá emitir una nueva resolución excluyendo los conceptos anulados, pero podrá mantener los no impugnados.</w:t>
      </w:r>
    </w:p>
    <w:p w14:paraId="0D7DFEED" w14:textId="77777777" w:rsidR="00762372" w:rsidRPr="00762372" w:rsidRDefault="00762372" w:rsidP="00762372">
      <w:pPr>
        <w:jc w:val="both"/>
      </w:pPr>
      <w:r w:rsidRPr="00762372">
        <w:rPr>
          <w:i/>
          <w:iCs/>
        </w:rPr>
        <w:t>Fundamento:</w:t>
      </w:r>
      <w:r w:rsidRPr="00762372">
        <w:t> Artículo 50, cuarto párrafo de la LFCA; artículo 52, fracción II de la LFCA.</w:t>
      </w:r>
    </w:p>
    <w:p w14:paraId="35A979AE" w14:textId="77777777" w:rsidR="00762372" w:rsidRPr="00762372" w:rsidRDefault="00762372" w:rsidP="00762372">
      <w:pPr>
        <w:jc w:val="both"/>
      </w:pPr>
      <w:r w:rsidRPr="00762372">
        <w:rPr>
          <w:b/>
          <w:bCs/>
        </w:rPr>
        <w:t>Fundamento legal completo del caso</w:t>
      </w:r>
    </w:p>
    <w:p w14:paraId="41ADC8CD" w14:textId="77777777" w:rsidR="00762372" w:rsidRPr="00762372" w:rsidRDefault="00762372" w:rsidP="00762372">
      <w:pPr>
        <w:jc w:val="both"/>
      </w:pPr>
      <w:r w:rsidRPr="00762372">
        <w:rPr>
          <w:i/>
          <w:iCs/>
        </w:rPr>
        <w:t>Legislación aplicable:</w:t>
      </w:r>
      <w:r w:rsidRPr="00762372">
        <w:t> Artículo 16 constitucional; artículos 48, 5 del CFF; artículos 179, 180, 70-A, 71-A de la LISR; artículo Segundo fracción IX del Decreto de 2016; artículos 27 fracción II, 46, 50 cuarto párrafo, 52 fracción II de la LFCA.</w:t>
      </w:r>
    </w:p>
    <w:p w14:paraId="42FD29FA" w14:textId="77777777" w:rsidR="00762372" w:rsidRPr="00762372" w:rsidRDefault="00762372" w:rsidP="00762372">
      <w:pPr>
        <w:jc w:val="both"/>
      </w:pPr>
      <w:r w:rsidRPr="00762372">
        <w:rPr>
          <w:i/>
          <w:iCs/>
        </w:rPr>
        <w:t>Jurisprudencia:</w:t>
      </w:r>
      <w:r w:rsidRPr="00762372">
        <w:t> Tesis 2a. X/2003; P./J. 16/2018 (10a.) de la SCJN.</w:t>
      </w:r>
    </w:p>
    <w:p w14:paraId="05403CEE" w14:textId="77777777" w:rsidR="00762372" w:rsidRPr="00762372" w:rsidRDefault="00762372" w:rsidP="00762372">
      <w:pPr>
        <w:jc w:val="both"/>
      </w:pPr>
      <w:r w:rsidRPr="00762372">
        <w:rPr>
          <w:b/>
          <w:bCs/>
        </w:rPr>
        <w:t>Referencia al expediente completo</w:t>
      </w:r>
      <w:r w:rsidRPr="00762372">
        <w:br/>
        <w:t>El expediente 75/21-ERF-01-7/1871/23-PL-02-04 puede ser consultado en el TFJA o SISE.</w:t>
      </w:r>
    </w:p>
    <w:p w14:paraId="0C6E3986" w14:textId="77777777" w:rsidR="00762372" w:rsidRPr="00762372" w:rsidRDefault="00762372" w:rsidP="00762372">
      <w:pPr>
        <w:jc w:val="both"/>
      </w:pPr>
      <w:proofErr w:type="spellStart"/>
      <w:r w:rsidRPr="00762372">
        <w:rPr>
          <w:b/>
          <w:bCs/>
        </w:rPr>
        <w:t>Checklist</w:t>
      </w:r>
      <w:proofErr w:type="spellEnd"/>
      <w:r w:rsidRPr="00762372">
        <w:rPr>
          <w:b/>
          <w:bCs/>
        </w:rPr>
        <w:t xml:space="preserve"> de defensa para el asesor fiscal</w:t>
      </w:r>
    </w:p>
    <w:p w14:paraId="7BA192F5" w14:textId="77777777" w:rsidR="00762372" w:rsidRPr="00762372" w:rsidRDefault="00762372" w:rsidP="00762372">
      <w:pPr>
        <w:numPr>
          <w:ilvl w:val="0"/>
          <w:numId w:val="18"/>
        </w:numPr>
        <w:jc w:val="both"/>
      </w:pPr>
      <w:r w:rsidRPr="00762372">
        <w:t>Identificar el grupo familiar: todas las empresas controladas por el contribuyente, su cónyuge, hijos, hermanos o familiares hasta cuarto grado.</w:t>
      </w:r>
    </w:p>
    <w:p w14:paraId="008FB393" w14:textId="77777777" w:rsidR="00762372" w:rsidRPr="00762372" w:rsidRDefault="00762372" w:rsidP="00762372">
      <w:pPr>
        <w:numPr>
          <w:ilvl w:val="0"/>
          <w:numId w:val="18"/>
        </w:numPr>
        <w:jc w:val="both"/>
      </w:pPr>
      <w:r w:rsidRPr="00762372">
        <w:t>Documentar todas las operaciones entre familiares como si fueran con terceros: contrato escrito, precio determinado por método de precios de transferencia con estudio de comparabilidad, factura clara, pago bancario trazable.</w:t>
      </w:r>
    </w:p>
    <w:p w14:paraId="23E8B78A" w14:textId="77777777" w:rsidR="00762372" w:rsidRPr="00762372" w:rsidRDefault="00762372" w:rsidP="00762372">
      <w:pPr>
        <w:numPr>
          <w:ilvl w:val="0"/>
          <w:numId w:val="18"/>
        </w:numPr>
        <w:jc w:val="both"/>
      </w:pPr>
      <w:r w:rsidRPr="00762372">
        <w:lastRenderedPageBreak/>
        <w:t>Guardar copia de todos los oficios de inicio de auditoría. Leer la sección donde el SAT señala "lo que no será objeto de revisión". Esa exclusión es su mejor defensa.</w:t>
      </w:r>
    </w:p>
    <w:p w14:paraId="31D5F842" w14:textId="77777777" w:rsidR="00762372" w:rsidRPr="00762372" w:rsidRDefault="00762372" w:rsidP="00762372">
      <w:pPr>
        <w:numPr>
          <w:ilvl w:val="0"/>
          <w:numId w:val="18"/>
        </w:numPr>
        <w:jc w:val="both"/>
      </w:pPr>
      <w:r w:rsidRPr="00762372">
        <w:t>Si el SAT emitió una resolución favorable (como autorización de pago en parcialidades), guardarla. El SAT no puede desconocerla unilateralmente sin juicio de lesividad.</w:t>
      </w:r>
    </w:p>
    <w:p w14:paraId="78A1DA1F" w14:textId="77777777" w:rsidR="00762372" w:rsidRPr="00762372" w:rsidRDefault="00762372" w:rsidP="00762372">
      <w:pPr>
        <w:numPr>
          <w:ilvl w:val="0"/>
          <w:numId w:val="18"/>
        </w:numPr>
        <w:jc w:val="both"/>
      </w:pPr>
      <w:r w:rsidRPr="00762372">
        <w:t>Si el SAT determina un crédito fiscal basado en una materia excluida en el oficio de inicio, impugnar de inmediato. La nulidad será lisa y llana.</w:t>
      </w:r>
    </w:p>
    <w:p w14:paraId="7439CD29" w14:textId="77777777" w:rsidR="00762372" w:rsidRPr="00762372" w:rsidRDefault="00762372" w:rsidP="00762372">
      <w:pPr>
        <w:numPr>
          <w:ilvl w:val="0"/>
          <w:numId w:val="18"/>
        </w:numPr>
        <w:jc w:val="both"/>
      </w:pPr>
      <w:r w:rsidRPr="00762372">
        <w:t>Si tiene operaciones recurrentes entre empresas del grupo, formalizar un contrato marco con políticas de precios de transferencia y plazos de pago.</w:t>
      </w:r>
    </w:p>
    <w:p w14:paraId="688083B8" w14:textId="77777777" w:rsidR="00762372" w:rsidRPr="00762372" w:rsidRDefault="00762372" w:rsidP="00762372">
      <w:pPr>
        <w:numPr>
          <w:ilvl w:val="0"/>
          <w:numId w:val="18"/>
        </w:numPr>
        <w:jc w:val="both"/>
      </w:pPr>
      <w:r w:rsidRPr="00762372">
        <w:t>Si el SAT inicia revisión a una empresa del grupo, asumir que revisará a todas. Preparar documentación de todas las empresas, no solo de la auditada.</w:t>
      </w:r>
    </w:p>
    <w:p w14:paraId="254A245A" w14:textId="77777777" w:rsidR="00762372" w:rsidRPr="00762372" w:rsidRDefault="00762372" w:rsidP="00762372">
      <w:pPr>
        <w:jc w:val="both"/>
      </w:pPr>
      <w:r w:rsidRPr="00762372">
        <w:rPr>
          <w:b/>
          <w:bCs/>
        </w:rPr>
        <w:t>Nota final para el asesor fiscal:</w:t>
      </w:r>
      <w:r w:rsidRPr="00762372">
        <w:t> El SAT ve a la familia como un solo contribuyente. Dividir el negocio entre hijos no divide el riesgo fiscal. Si hay control familiar, hay consolidación fiscal. El padre que es presidente del consejo de administración de todas las empresas del grupo es el imán que une a todas para efectos fiscales. El SAT analiza el control real, no la propiedad formal. Documente todas las operaciones entre empresas del grupo como si fueran con extraños. Contrato escrito, precio de mercado, pago bancario trazable. No confíe en que "como es mi hijo, no hay problema". Para el SAT, sí hay problema. Y la carga de la prueba de que el precio es de mercado recae en usted.</w:t>
      </w:r>
    </w:p>
    <w:p w14:paraId="286169DD" w14:textId="77777777" w:rsidR="00762372" w:rsidRPr="00762372" w:rsidRDefault="00000000" w:rsidP="00762372">
      <w:pPr>
        <w:jc w:val="both"/>
      </w:pPr>
      <w:r>
        <w:pict w14:anchorId="02BE8825">
          <v:rect id="_x0000_i1040" style="width:0;height:.75pt" o:hralign="center" o:hrstd="t" o:hr="t" fillcolor="#a0a0a0" stroked="f"/>
        </w:pict>
      </w:r>
    </w:p>
    <w:p w14:paraId="3C26FC9B" w14:textId="77777777" w:rsidR="00762372" w:rsidRPr="00762372" w:rsidRDefault="00762372" w:rsidP="00762372">
      <w:pPr>
        <w:jc w:val="both"/>
        <w:rPr>
          <w:b/>
          <w:bCs/>
        </w:rPr>
      </w:pPr>
      <w:r w:rsidRPr="00762372">
        <w:rPr>
          <w:b/>
          <w:bCs/>
        </w:rPr>
        <w:t>Apéndice 14 – Capítulo 14</w:t>
      </w:r>
    </w:p>
    <w:p w14:paraId="3EB59E6D" w14:textId="77777777" w:rsidR="00762372" w:rsidRPr="00762372" w:rsidRDefault="00762372" w:rsidP="00762372">
      <w:pPr>
        <w:jc w:val="both"/>
      </w:pPr>
      <w:r w:rsidRPr="00762372">
        <w:rPr>
          <w:b/>
          <w:bCs/>
        </w:rPr>
        <w:t>Facturar $100M en consultoría inmobiliaria sin tener un solo consultor = listado negro del SAT: la razón de negocios que nunca existió</w:t>
      </w:r>
    </w:p>
    <w:p w14:paraId="588B8673" w14:textId="77777777" w:rsidR="00762372" w:rsidRPr="00762372" w:rsidRDefault="00762372" w:rsidP="00762372">
      <w:pPr>
        <w:jc w:val="both"/>
      </w:pPr>
      <w:r w:rsidRPr="00762372">
        <w:rPr>
          <w:b/>
          <w:bCs/>
        </w:rPr>
        <w:t>Expediente:</w:t>
      </w:r>
      <w:r w:rsidRPr="00762372">
        <w:t> 10231/21-17-08-4 del Tribunal Federal de Justicia Administrativa (Octava Sala Regional)</w:t>
      </w:r>
    </w:p>
    <w:p w14:paraId="7BB1D539" w14:textId="77777777" w:rsidR="00762372" w:rsidRPr="00762372" w:rsidRDefault="00762372" w:rsidP="00762372">
      <w:pPr>
        <w:jc w:val="both"/>
      </w:pPr>
      <w:r w:rsidRPr="00762372">
        <w:rPr>
          <w:b/>
          <w:bCs/>
        </w:rPr>
        <w:t>Los 10 puntos técnicos más relevantes para el asesor fiscal</w:t>
      </w:r>
    </w:p>
    <w:p w14:paraId="704DD7AD" w14:textId="77777777" w:rsidR="00762372" w:rsidRPr="00762372" w:rsidRDefault="00762372" w:rsidP="00762372">
      <w:pPr>
        <w:jc w:val="both"/>
      </w:pPr>
      <w:r w:rsidRPr="00762372">
        <w:rPr>
          <w:b/>
          <w:bCs/>
        </w:rPr>
        <w:t>1. En el procedimiento 69-B del CFF, la carga del contribuyente es demostrar capacidad operativa suficiente e idónea</w:t>
      </w:r>
      <w:r w:rsidRPr="00762372">
        <w:br/>
        <w:t>No requiere probar la materialidad de cada operación, pero sí que su estructura (activos, personal, infraestructura) le permitía realizarlas.</w:t>
      </w:r>
    </w:p>
    <w:p w14:paraId="7557FE4E" w14:textId="77777777" w:rsidR="00762372" w:rsidRPr="00762372" w:rsidRDefault="00762372" w:rsidP="00762372">
      <w:pPr>
        <w:jc w:val="both"/>
      </w:pPr>
      <w:r w:rsidRPr="00762372">
        <w:rPr>
          <w:i/>
          <w:iCs/>
        </w:rPr>
        <w:lastRenderedPageBreak/>
        <w:t>Fundamento:</w:t>
      </w:r>
      <w:r w:rsidRPr="00762372">
        <w:t> Artículo 69-B del CFF; artículo 5-A del CFF.</w:t>
      </w:r>
    </w:p>
    <w:p w14:paraId="4BC3FD48" w14:textId="77777777" w:rsidR="00762372" w:rsidRPr="00762372" w:rsidRDefault="00762372" w:rsidP="00762372">
      <w:pPr>
        <w:jc w:val="both"/>
      </w:pPr>
      <w:r w:rsidRPr="00762372">
        <w:rPr>
          <w:b/>
          <w:bCs/>
        </w:rPr>
        <w:t>2. Para determinar la capacidad operativa, la autoridad valora la proporcionalidad entre activos/personal y la naturaleza, volumen y complejidad de las operaciones</w:t>
      </w:r>
      <w:r w:rsidRPr="00762372">
        <w:br/>
        <w:t>No se requiere "ausencia absoluta" de activos; basta con que sean insuficientes o no idóneos para el tipo de servicios facturados.</w:t>
      </w:r>
    </w:p>
    <w:p w14:paraId="38D8923E" w14:textId="77777777" w:rsidR="00762372" w:rsidRPr="00762372" w:rsidRDefault="00762372" w:rsidP="00762372">
      <w:pPr>
        <w:jc w:val="both"/>
      </w:pPr>
      <w:r w:rsidRPr="00762372">
        <w:rPr>
          <w:i/>
          <w:iCs/>
        </w:rPr>
        <w:t>Fundamento:</w:t>
      </w:r>
      <w:r w:rsidRPr="00762372">
        <w:t> Artículo 69-B del CFF; artículo 28 del CFF.</w:t>
      </w:r>
    </w:p>
    <w:p w14:paraId="676F1B41" w14:textId="77777777" w:rsidR="00762372" w:rsidRPr="00762372" w:rsidRDefault="00762372" w:rsidP="00762372">
      <w:pPr>
        <w:jc w:val="both"/>
      </w:pPr>
      <w:r w:rsidRPr="00762372">
        <w:rPr>
          <w:b/>
          <w:bCs/>
        </w:rPr>
        <w:t>3. La actualización de actividades ante el RFC después de las operaciones no subsana la falta de capacidad operativa previa</w:t>
      </w:r>
      <w:r w:rsidRPr="00762372">
        <w:br/>
        <w:t>No se puede facturar servicios en octubre de 2017 si la empresa no tenía registrada esa actividad ante el RFC hasta abril de 2018.</w:t>
      </w:r>
    </w:p>
    <w:p w14:paraId="2C757870" w14:textId="77777777" w:rsidR="00762372" w:rsidRPr="00762372" w:rsidRDefault="00762372" w:rsidP="00762372">
      <w:pPr>
        <w:jc w:val="both"/>
      </w:pPr>
      <w:r w:rsidRPr="00762372">
        <w:rPr>
          <w:i/>
          <w:iCs/>
        </w:rPr>
        <w:t>Fundamento:</w:t>
      </w:r>
      <w:r w:rsidRPr="00762372">
        <w:t> Artículo 27 del CFF; artículo 29 del CFF.</w:t>
      </w:r>
    </w:p>
    <w:p w14:paraId="319A22C7" w14:textId="77777777" w:rsidR="00762372" w:rsidRPr="00762372" w:rsidRDefault="00762372" w:rsidP="00762372">
      <w:pPr>
        <w:jc w:val="both"/>
      </w:pPr>
      <w:r w:rsidRPr="00762372">
        <w:rPr>
          <w:b/>
          <w:bCs/>
        </w:rPr>
        <w:t>4. Para acreditar la capacidad del personal, no basta con mostrar que se tenían trabajadores. Se requiere demostrar conocimientos técnicos (cédulas profesionales, currículums, contratos individuales)</w:t>
      </w:r>
      <w:r w:rsidRPr="00762372">
        <w:br/>
        <w:t>Tener personal no es suficiente. Se necesita probar que ese personal tiene los conocimientos técnicos para realizar los servicios facturados.</w:t>
      </w:r>
    </w:p>
    <w:p w14:paraId="0134E7B7" w14:textId="77777777" w:rsidR="00762372" w:rsidRPr="00762372" w:rsidRDefault="00762372" w:rsidP="00762372">
      <w:pPr>
        <w:jc w:val="both"/>
      </w:pPr>
      <w:r w:rsidRPr="00762372">
        <w:rPr>
          <w:i/>
          <w:iCs/>
        </w:rPr>
        <w:t>Fundamento:</w:t>
      </w:r>
      <w:r w:rsidRPr="00762372">
        <w:t> Artículo 69-B del CFF; artículo 40 de la LFCA.</w:t>
      </w:r>
    </w:p>
    <w:p w14:paraId="65AA0C87" w14:textId="77777777" w:rsidR="00762372" w:rsidRPr="00762372" w:rsidRDefault="00762372" w:rsidP="00762372">
      <w:pPr>
        <w:jc w:val="both"/>
      </w:pPr>
      <w:r w:rsidRPr="00762372">
        <w:rPr>
          <w:b/>
          <w:bCs/>
        </w:rPr>
        <w:t>5. La falta de localización consistente en el domicilio fiscal (asistencia ocasional, sin horario fijo) es un indicio válido de falta de infraestructura</w:t>
      </w:r>
      <w:r w:rsidRPr="00762372">
        <w:br/>
        <w:t>Una empresa que factura volúmenes cuantiosos debe tener un domicilio fiscal operativo, con horario fijo, empleados presentes, mobiliario adecuado.</w:t>
      </w:r>
    </w:p>
    <w:p w14:paraId="47AF87F6" w14:textId="77777777" w:rsidR="00762372" w:rsidRPr="00762372" w:rsidRDefault="00762372" w:rsidP="00762372">
      <w:pPr>
        <w:jc w:val="both"/>
      </w:pPr>
      <w:r w:rsidRPr="00762372">
        <w:rPr>
          <w:i/>
          <w:iCs/>
        </w:rPr>
        <w:t>Fundamento:</w:t>
      </w:r>
      <w:r w:rsidRPr="00762372">
        <w:t> Artículo 48 del CFF; artículo 42 del CFF.</w:t>
      </w:r>
    </w:p>
    <w:p w14:paraId="33FFC368" w14:textId="77777777" w:rsidR="00762372" w:rsidRPr="00762372" w:rsidRDefault="00762372" w:rsidP="00762372">
      <w:pPr>
        <w:jc w:val="both"/>
      </w:pPr>
      <w:r w:rsidRPr="00762372">
        <w:rPr>
          <w:b/>
          <w:bCs/>
        </w:rPr>
        <w:t>6. Los contratos de arrendamiento (documentos privados) no son prueba suficiente de infraestructura si no se adminiculan con recibos de servicios, registros de entrada/salida, o constancias de uso efectivo</w:t>
      </w:r>
      <w:r w:rsidRPr="00762372">
        <w:br/>
        <w:t>Un contrato de arrendamiento prueba que se firmó un contrato. No prueba que la empresa realmente ocupó el inmueble, que pagó la renta, que tenía luz, agua, internet.</w:t>
      </w:r>
    </w:p>
    <w:p w14:paraId="75F83ADB" w14:textId="77777777" w:rsidR="00762372" w:rsidRPr="00762372" w:rsidRDefault="00762372" w:rsidP="00762372">
      <w:pPr>
        <w:jc w:val="both"/>
      </w:pPr>
      <w:r w:rsidRPr="00762372">
        <w:rPr>
          <w:i/>
          <w:iCs/>
        </w:rPr>
        <w:t>Fundamento:</w:t>
      </w:r>
      <w:r w:rsidRPr="00762372">
        <w:t> Artículo 46, fracción I de la LFCA; artículo 40 de la LFCA.</w:t>
      </w:r>
    </w:p>
    <w:p w14:paraId="4EF6C7BD" w14:textId="77777777" w:rsidR="00762372" w:rsidRPr="00762372" w:rsidRDefault="00762372" w:rsidP="00762372">
      <w:pPr>
        <w:jc w:val="both"/>
      </w:pPr>
      <w:r w:rsidRPr="00762372">
        <w:rPr>
          <w:b/>
          <w:bCs/>
        </w:rPr>
        <w:t>7. Los "entregables" (presentaciones PowerPoint, capturas de pantalla) no acreditan la materialidad si no se demuestra que fueron efectivamente entregados al cliente, revisados o validados</w:t>
      </w:r>
      <w:r w:rsidRPr="00762372">
        <w:br/>
        <w:t>Se necesitan correos, acuses de recibo, constancias de comunicación que acrediten la entrega efectiva.</w:t>
      </w:r>
    </w:p>
    <w:p w14:paraId="6C5971F4" w14:textId="77777777" w:rsidR="00762372" w:rsidRPr="00762372" w:rsidRDefault="00762372" w:rsidP="00762372">
      <w:pPr>
        <w:jc w:val="both"/>
      </w:pPr>
      <w:r w:rsidRPr="00762372">
        <w:rPr>
          <w:i/>
          <w:iCs/>
        </w:rPr>
        <w:lastRenderedPageBreak/>
        <w:t>Fundamento:</w:t>
      </w:r>
      <w:r w:rsidRPr="00762372">
        <w:t> Artículo 69-B del CFF; artículo 40 de la LFCA.</w:t>
      </w:r>
    </w:p>
    <w:p w14:paraId="3E7584BE" w14:textId="77777777" w:rsidR="00762372" w:rsidRPr="00762372" w:rsidRDefault="00762372" w:rsidP="00762372">
      <w:pPr>
        <w:jc w:val="both"/>
      </w:pPr>
      <w:r w:rsidRPr="00762372">
        <w:rPr>
          <w:b/>
          <w:bCs/>
        </w:rPr>
        <w:t>8. La "razón de negocios" (artículo 5-A del CFF) puede ser considerada como elemento adicional para determinar la inexistencia de una operación, siempre que no sea el único elemento</w:t>
      </w:r>
      <w:r w:rsidRPr="00762372">
        <w:br/>
        <w:t>Si una operación no tiene un propósito económico real (solo busca un beneficio fiscal), puede ser reclamada. Pero debe adminicularse con otros indicios.</w:t>
      </w:r>
    </w:p>
    <w:p w14:paraId="3D724477" w14:textId="77777777" w:rsidR="00762372" w:rsidRPr="00762372" w:rsidRDefault="00762372" w:rsidP="00762372">
      <w:pPr>
        <w:jc w:val="both"/>
      </w:pPr>
      <w:r w:rsidRPr="00762372">
        <w:rPr>
          <w:i/>
          <w:iCs/>
        </w:rPr>
        <w:t>Fundamento:</w:t>
      </w:r>
      <w:r w:rsidRPr="00762372">
        <w:t> Artículo 5-A del CFF.</w:t>
      </w:r>
    </w:p>
    <w:p w14:paraId="63B96218" w14:textId="77777777" w:rsidR="00762372" w:rsidRPr="00762372" w:rsidRDefault="00762372" w:rsidP="00762372">
      <w:pPr>
        <w:jc w:val="both"/>
      </w:pPr>
      <w:r w:rsidRPr="00762372">
        <w:rPr>
          <w:b/>
          <w:bCs/>
        </w:rPr>
        <w:t>9. El cómputo de plazos en el procedimiento 69-B del CFF debe hacerse conforme a los artículos 12 y 13 del CFF: los plazos en días son hábiles</w:t>
      </w:r>
      <w:r w:rsidRPr="00762372">
        <w:br/>
        <w:t>Se excluyen sábados, domingos y feriados. La notificación por publicación en el DOF surte efectos al día siguiente de la publicación.</w:t>
      </w:r>
    </w:p>
    <w:p w14:paraId="59F51CE4" w14:textId="77777777" w:rsidR="00762372" w:rsidRPr="00762372" w:rsidRDefault="00762372" w:rsidP="00762372">
      <w:pPr>
        <w:jc w:val="both"/>
      </w:pPr>
      <w:r w:rsidRPr="00762372">
        <w:rPr>
          <w:i/>
          <w:iCs/>
        </w:rPr>
        <w:t>Fundamento:</w:t>
      </w:r>
      <w:r w:rsidRPr="00762372">
        <w:t> Artículos 12 y 13 del CFF.</w:t>
      </w:r>
    </w:p>
    <w:p w14:paraId="2B623F6E" w14:textId="77777777" w:rsidR="00762372" w:rsidRPr="00762372" w:rsidRDefault="00762372" w:rsidP="00762372">
      <w:pPr>
        <w:jc w:val="both"/>
      </w:pPr>
      <w:r w:rsidRPr="00762372">
        <w:rPr>
          <w:b/>
          <w:bCs/>
        </w:rPr>
        <w:t>10. Los conceptos de impugnación y pruebas ofrecidas en la ampliación de demanda deben estar directamente relacionados con la causa de la ampliación</w:t>
      </w:r>
      <w:r w:rsidRPr="00762372">
        <w:br/>
        <w:t>Si la ampliación es para impugnar la confirmativa ficta, no se pueden ofrecer pruebas sobre el fondo del acto original (capacidad operativa). Esas pruebas serían extemporáneas.</w:t>
      </w:r>
    </w:p>
    <w:p w14:paraId="73282850" w14:textId="77777777" w:rsidR="00762372" w:rsidRPr="00762372" w:rsidRDefault="00762372" w:rsidP="00762372">
      <w:pPr>
        <w:jc w:val="both"/>
      </w:pPr>
      <w:r w:rsidRPr="00762372">
        <w:rPr>
          <w:i/>
          <w:iCs/>
        </w:rPr>
        <w:t>Fundamento:</w:t>
      </w:r>
      <w:r w:rsidRPr="00762372">
        <w:t> Artículo 46 de la LFCA; jurisprudencia 2a./J. 73/2013 (10a.) de la SCJN.</w:t>
      </w:r>
    </w:p>
    <w:p w14:paraId="669F7E98" w14:textId="77777777" w:rsidR="00762372" w:rsidRPr="00762372" w:rsidRDefault="00762372" w:rsidP="00762372">
      <w:pPr>
        <w:jc w:val="both"/>
      </w:pPr>
      <w:r w:rsidRPr="00762372">
        <w:rPr>
          <w:b/>
          <w:bCs/>
        </w:rPr>
        <w:t>Fundamento legal completo del caso</w:t>
      </w:r>
    </w:p>
    <w:p w14:paraId="0FC87F0A" w14:textId="77777777" w:rsidR="00762372" w:rsidRPr="00762372" w:rsidRDefault="00762372" w:rsidP="00762372">
      <w:pPr>
        <w:jc w:val="both"/>
      </w:pPr>
      <w:r w:rsidRPr="00762372">
        <w:rPr>
          <w:i/>
          <w:iCs/>
        </w:rPr>
        <w:t>Legislación aplicable:</w:t>
      </w:r>
      <w:r w:rsidRPr="00762372">
        <w:t> Artículo 69-B, 5-A, 27, 29, 28, 42, 48, 12, 13 del CFF; artículos 40, 46 fracción I de la LFCA.</w:t>
      </w:r>
    </w:p>
    <w:p w14:paraId="19BE52BD" w14:textId="77777777" w:rsidR="00762372" w:rsidRPr="00762372" w:rsidRDefault="00762372" w:rsidP="00762372">
      <w:pPr>
        <w:jc w:val="both"/>
      </w:pPr>
      <w:r w:rsidRPr="00762372">
        <w:rPr>
          <w:i/>
          <w:iCs/>
        </w:rPr>
        <w:t>Jurisprudencia:</w:t>
      </w:r>
      <w:r w:rsidRPr="00762372">
        <w:t> 2a./J. 73/2013 (10a.) de la SCJN; VIII-J-2aS-62 del TFJA.</w:t>
      </w:r>
    </w:p>
    <w:p w14:paraId="3578E7AA" w14:textId="77777777" w:rsidR="00762372" w:rsidRPr="00762372" w:rsidRDefault="00762372" w:rsidP="00762372">
      <w:pPr>
        <w:jc w:val="both"/>
      </w:pPr>
      <w:r w:rsidRPr="00762372">
        <w:rPr>
          <w:b/>
          <w:bCs/>
        </w:rPr>
        <w:t>Referencia al expediente completo</w:t>
      </w:r>
      <w:r w:rsidRPr="00762372">
        <w:br/>
        <w:t>El expediente 10231/21-17-08-4 puede ser consultado en el TFJA o SISE.</w:t>
      </w:r>
    </w:p>
    <w:p w14:paraId="7A5C37C6" w14:textId="77777777" w:rsidR="00762372" w:rsidRPr="00762372" w:rsidRDefault="00762372" w:rsidP="00762372">
      <w:pPr>
        <w:jc w:val="both"/>
      </w:pPr>
      <w:proofErr w:type="spellStart"/>
      <w:r w:rsidRPr="00762372">
        <w:rPr>
          <w:b/>
          <w:bCs/>
        </w:rPr>
        <w:t>Checklist</w:t>
      </w:r>
      <w:proofErr w:type="spellEnd"/>
      <w:r w:rsidRPr="00762372">
        <w:rPr>
          <w:b/>
          <w:bCs/>
        </w:rPr>
        <w:t xml:space="preserve"> de defensa para el asesor fiscal</w:t>
      </w:r>
    </w:p>
    <w:p w14:paraId="3ED4B106" w14:textId="77777777" w:rsidR="00762372" w:rsidRPr="00762372" w:rsidRDefault="00762372" w:rsidP="00762372">
      <w:pPr>
        <w:numPr>
          <w:ilvl w:val="0"/>
          <w:numId w:val="19"/>
        </w:numPr>
        <w:jc w:val="both"/>
      </w:pPr>
      <w:r w:rsidRPr="00762372">
        <w:t>Revisar la congruencia entre la actividad preponderante del cliente y lo que factura. Si diversifica, primero actualizar actividades ante el RFC, contratar personal calificado, adquirir activos necesarios.</w:t>
      </w:r>
    </w:p>
    <w:p w14:paraId="00980408" w14:textId="77777777" w:rsidR="00762372" w:rsidRPr="00762372" w:rsidRDefault="00762372" w:rsidP="00762372">
      <w:pPr>
        <w:numPr>
          <w:ilvl w:val="0"/>
          <w:numId w:val="19"/>
        </w:numPr>
        <w:jc w:val="both"/>
      </w:pPr>
      <w:r w:rsidRPr="00762372">
        <w:t>Documentar la materialidad de los servicios: correos electrónicos de negociación, actas de juntas, acuses de recibo de entregables, constancias de validación del cliente, bitácoras, reportes de avance.</w:t>
      </w:r>
    </w:p>
    <w:p w14:paraId="62DF5A01" w14:textId="77777777" w:rsidR="00762372" w:rsidRPr="00762372" w:rsidRDefault="00762372" w:rsidP="00762372">
      <w:pPr>
        <w:numPr>
          <w:ilvl w:val="0"/>
          <w:numId w:val="19"/>
        </w:numPr>
        <w:jc w:val="both"/>
      </w:pPr>
      <w:r w:rsidRPr="00762372">
        <w:lastRenderedPageBreak/>
        <w:t>Si el SAT inicia un procedimiento 69-B, actuar rápido: 15 días (más 5 de prórroga) para desvirtuar la presunción. Reunir todas las pruebas de capacidad operativa.</w:t>
      </w:r>
    </w:p>
    <w:p w14:paraId="2D8CD3EC" w14:textId="77777777" w:rsidR="00762372" w:rsidRPr="00762372" w:rsidRDefault="00762372" w:rsidP="00762372">
      <w:pPr>
        <w:numPr>
          <w:ilvl w:val="0"/>
          <w:numId w:val="19"/>
        </w:numPr>
        <w:jc w:val="both"/>
      </w:pPr>
      <w:r w:rsidRPr="00762372">
        <w:t>Mantener el domicilio fiscal activo y verificable: horario fijo, empleados presentes, mobiliario adecuado al volumen de operaciones.</w:t>
      </w:r>
    </w:p>
    <w:p w14:paraId="0EAAD7D5" w14:textId="77777777" w:rsidR="00762372" w:rsidRPr="00762372" w:rsidRDefault="00762372" w:rsidP="00762372">
      <w:pPr>
        <w:numPr>
          <w:ilvl w:val="0"/>
          <w:numId w:val="19"/>
        </w:numPr>
        <w:jc w:val="both"/>
      </w:pPr>
      <w:r w:rsidRPr="00762372">
        <w:t xml:space="preserve">No confiar en que "el cliente me pagó, por lo </w:t>
      </w:r>
      <w:proofErr w:type="gramStart"/>
      <w:r w:rsidRPr="00762372">
        <w:t>tanto</w:t>
      </w:r>
      <w:proofErr w:type="gramEnd"/>
      <w:r w:rsidRPr="00762372">
        <w:t xml:space="preserve"> existe". El pago no es prueba de materialidad. La prueba de materialidad es independiente del comprobante de pago.</w:t>
      </w:r>
    </w:p>
    <w:p w14:paraId="4B26CAB7" w14:textId="77777777" w:rsidR="00762372" w:rsidRPr="00762372" w:rsidRDefault="00762372" w:rsidP="00762372">
      <w:pPr>
        <w:numPr>
          <w:ilvl w:val="0"/>
          <w:numId w:val="19"/>
        </w:numPr>
        <w:jc w:val="both"/>
      </w:pPr>
      <w:r w:rsidRPr="00762372">
        <w:t>Si el SAT publica el listado 69-B, impugnar dentro del plazo. La publicación en el DOF tiene efectos de notificación personal. El plazo para impugnar es corto.</w:t>
      </w:r>
    </w:p>
    <w:p w14:paraId="2A3B9B22" w14:textId="77777777" w:rsidR="00762372" w:rsidRPr="00762372" w:rsidRDefault="00762372" w:rsidP="00762372">
      <w:pPr>
        <w:numPr>
          <w:ilvl w:val="0"/>
          <w:numId w:val="19"/>
        </w:numPr>
        <w:jc w:val="both"/>
      </w:pPr>
      <w:r w:rsidRPr="00762372">
        <w:t>Para servicios profesionales, asegurarse de que el personal tenga cédulas profesionales y currículums que acrediten su experiencia.</w:t>
      </w:r>
    </w:p>
    <w:p w14:paraId="4BBB3A39" w14:textId="77777777" w:rsidR="00762372" w:rsidRPr="00762372" w:rsidRDefault="00762372" w:rsidP="00762372">
      <w:pPr>
        <w:jc w:val="both"/>
      </w:pPr>
      <w:r w:rsidRPr="00762372">
        <w:rPr>
          <w:b/>
          <w:bCs/>
        </w:rPr>
        <w:t>Nota final para el asesor fiscal:</w:t>
      </w:r>
      <w:r w:rsidRPr="00762372">
        <w:t> El artículo 69-B del CFF es una herramienta poderosa del SAT para presumir operaciones inexistentes cuando el contribuyente no cuenta con activos, personal o infraestructura suficiente e idónea para realizar las operaciones que factura. La carga de la prueba es del contribuyente. No es el SAT quien tiene que probar la inexistencia; es el contribuyente quien tiene que probar la existencia y su capacidad operativa. El error más común es confiar en que el contrato y las facturas son suficientes. No lo son. Se necesita materialidad: correos, acuses de recibo, constancias de validación, bitácoras. El segundo error común es no mantener el domicilio fiscal activo y verificable. Si el SAT va y encuentra un domicilio fantasma (asistencia ocasional, sin horario fijo, sin mobiliario), eso es un indicio grave. La lección es clara: si no hay materialidad, no hay deducción.</w:t>
      </w:r>
    </w:p>
    <w:p w14:paraId="68B5727F" w14:textId="77777777" w:rsidR="00762372" w:rsidRPr="00762372" w:rsidRDefault="00000000" w:rsidP="00762372">
      <w:pPr>
        <w:jc w:val="both"/>
      </w:pPr>
      <w:r>
        <w:pict w14:anchorId="6279A4D1">
          <v:rect id="_x0000_i1041" style="width:0;height:.75pt" o:hralign="center" o:hrstd="t" o:hr="t" fillcolor="#a0a0a0" stroked="f"/>
        </w:pict>
      </w:r>
    </w:p>
    <w:p w14:paraId="13F67185" w14:textId="77777777" w:rsidR="00762372" w:rsidRPr="00762372" w:rsidRDefault="00762372" w:rsidP="00762372">
      <w:pPr>
        <w:jc w:val="both"/>
        <w:rPr>
          <w:b/>
          <w:bCs/>
        </w:rPr>
      </w:pPr>
      <w:r w:rsidRPr="00762372">
        <w:rPr>
          <w:b/>
          <w:bCs/>
        </w:rPr>
        <w:t>Apéndice 15 – Capítulo 15</w:t>
      </w:r>
    </w:p>
    <w:p w14:paraId="706DA6B2" w14:textId="77777777" w:rsidR="00762372" w:rsidRPr="00762372" w:rsidRDefault="00762372" w:rsidP="00762372">
      <w:pPr>
        <w:jc w:val="both"/>
      </w:pPr>
      <w:r w:rsidRPr="00762372">
        <w:rPr>
          <w:b/>
          <w:bCs/>
        </w:rPr>
        <w:t>La multa de $33M que nadie espera: la Ley Antilavado también aplica a empresarios honestos</w:t>
      </w:r>
    </w:p>
    <w:p w14:paraId="39A10163" w14:textId="77777777" w:rsidR="00762372" w:rsidRPr="00762372" w:rsidRDefault="00762372" w:rsidP="00762372">
      <w:pPr>
        <w:jc w:val="both"/>
      </w:pPr>
      <w:r w:rsidRPr="00762372">
        <w:rPr>
          <w:b/>
          <w:bCs/>
        </w:rPr>
        <w:t>Expediente:</w:t>
      </w:r>
      <w:r w:rsidRPr="00762372">
        <w:t> 5510/25-07-02-6 del Tribunal Federal de Justicia Administrativa (Segunda Sala Regional en Jalisco)</w:t>
      </w:r>
    </w:p>
    <w:p w14:paraId="70BEFD37" w14:textId="77777777" w:rsidR="00762372" w:rsidRPr="00762372" w:rsidRDefault="00762372" w:rsidP="00762372">
      <w:pPr>
        <w:jc w:val="both"/>
      </w:pPr>
      <w:r w:rsidRPr="00762372">
        <w:rPr>
          <w:b/>
          <w:bCs/>
        </w:rPr>
        <w:t>Los 10 puntos técnicos más relevantes para el asesor fiscal</w:t>
      </w:r>
    </w:p>
    <w:p w14:paraId="6A052768" w14:textId="77777777" w:rsidR="00762372" w:rsidRPr="00762372" w:rsidRDefault="00762372" w:rsidP="00762372">
      <w:pPr>
        <w:jc w:val="both"/>
      </w:pPr>
      <w:r w:rsidRPr="00762372">
        <w:rPr>
          <w:b/>
          <w:bCs/>
        </w:rPr>
        <w:t>1. En los procedimientos de verificación y sanción de la Ley Antilavado, si el sujeto obligado no presenta pruebas en los plazos otorgados, precluye su derecho a ofrecerlas posteriormente</w:t>
      </w:r>
      <w:r w:rsidRPr="00762372">
        <w:br/>
        <w:t xml:space="preserve">La preclusión es implacable. Si el cliente no presenta sus pruebas en el procedimiento </w:t>
      </w:r>
      <w:r w:rsidRPr="00762372">
        <w:lastRenderedPageBreak/>
        <w:t>administrativo, no podrá presentarlas después en el recurso de revisión ni en el juicio (salvo pruebas supervenientes).</w:t>
      </w:r>
    </w:p>
    <w:p w14:paraId="62C5A782" w14:textId="77777777" w:rsidR="00762372" w:rsidRPr="00762372" w:rsidRDefault="00762372" w:rsidP="00762372">
      <w:pPr>
        <w:jc w:val="both"/>
      </w:pPr>
      <w:r w:rsidRPr="00762372">
        <w:rPr>
          <w:i/>
          <w:iCs/>
        </w:rPr>
        <w:t>Fundamento:</w:t>
      </w:r>
      <w:r w:rsidRPr="00762372">
        <w:t> Artículo 96 de la LFPA; artículo 40 de la LFCA.</w:t>
      </w:r>
    </w:p>
    <w:p w14:paraId="53B80130" w14:textId="77777777" w:rsidR="00762372" w:rsidRPr="00762372" w:rsidRDefault="00762372" w:rsidP="00762372">
      <w:pPr>
        <w:jc w:val="both"/>
      </w:pPr>
      <w:r w:rsidRPr="00762372">
        <w:rPr>
          <w:b/>
          <w:bCs/>
        </w:rPr>
        <w:t>2. El principio de litis abierta no implica una nueva oportunidad para ofrecer pruebas que debieron exhibirse en el procedimiento de origen</w:t>
      </w:r>
      <w:r w:rsidRPr="00762372">
        <w:br/>
        <w:t>La litis abierta permite nuevos conceptos de impugnación, no extiende el plazo probatorio para pruebas preexistentes no aportadas oportunamente.</w:t>
      </w:r>
    </w:p>
    <w:p w14:paraId="55127BE8" w14:textId="77777777" w:rsidR="00762372" w:rsidRPr="00762372" w:rsidRDefault="00762372" w:rsidP="00762372">
      <w:pPr>
        <w:jc w:val="both"/>
      </w:pPr>
      <w:r w:rsidRPr="00762372">
        <w:rPr>
          <w:i/>
          <w:iCs/>
        </w:rPr>
        <w:t>Fundamento:</w:t>
      </w:r>
      <w:r w:rsidRPr="00762372">
        <w:t> Jurisprudencia 2a./J.73/2013 (10a.) de la SCJN; artículo 1 de la LFCA.</w:t>
      </w:r>
    </w:p>
    <w:p w14:paraId="41285B95" w14:textId="77777777" w:rsidR="00762372" w:rsidRPr="00762372" w:rsidRDefault="00762372" w:rsidP="00762372">
      <w:pPr>
        <w:jc w:val="both"/>
      </w:pPr>
      <w:r w:rsidRPr="00762372">
        <w:rPr>
          <w:b/>
          <w:bCs/>
        </w:rPr>
        <w:t>3. El beneficio de no sanción por primera infracción (artículo 55 de la LFPIORPI) se aplica por UNA SOLA infracción, aunque se hayan presentado múltiples avisos extemporáneos</w:t>
      </w:r>
      <w:r w:rsidRPr="00762372">
        <w:br/>
        <w:t>Si el cliente presentó 45 avisos extemporáneos, el beneficio aplica solo a una de esas 45 infracciones. Las demás se pagan.</w:t>
      </w:r>
    </w:p>
    <w:p w14:paraId="444E36F9" w14:textId="77777777" w:rsidR="00762372" w:rsidRPr="00762372" w:rsidRDefault="00762372" w:rsidP="00762372">
      <w:pPr>
        <w:jc w:val="both"/>
      </w:pPr>
      <w:r w:rsidRPr="00762372">
        <w:rPr>
          <w:i/>
          <w:iCs/>
        </w:rPr>
        <w:t>Fundamento:</w:t>
      </w:r>
      <w:r w:rsidRPr="00762372">
        <w:t> Artículo 55 de la LFPIORPI.</w:t>
      </w:r>
    </w:p>
    <w:p w14:paraId="079FD21E" w14:textId="77777777" w:rsidR="00762372" w:rsidRPr="00762372" w:rsidRDefault="00762372" w:rsidP="00762372">
      <w:pPr>
        <w:jc w:val="both"/>
      </w:pPr>
      <w:r w:rsidRPr="00762372">
        <w:rPr>
          <w:b/>
          <w:bCs/>
        </w:rPr>
        <w:t>4. El reconocimiento expreso de la falta se satisface con el cumplimiento extemporáneo voluntario previo al inicio de la verificación</w:t>
      </w:r>
      <w:r w:rsidRPr="00762372">
        <w:br/>
        <w:t>Presentar el aviso tarde pero antes de la verificación constituye reconocimiento tácito de la omisión. Pero el beneficio solo aplica a una infracción.</w:t>
      </w:r>
    </w:p>
    <w:p w14:paraId="194C6C58" w14:textId="77777777" w:rsidR="00762372" w:rsidRPr="00762372" w:rsidRDefault="00762372" w:rsidP="00762372">
      <w:pPr>
        <w:jc w:val="both"/>
      </w:pPr>
      <w:r w:rsidRPr="00762372">
        <w:rPr>
          <w:i/>
          <w:iCs/>
        </w:rPr>
        <w:t>Fundamento:</w:t>
      </w:r>
      <w:r w:rsidRPr="00762372">
        <w:t> Tesis I.6o.A.11 A (11a.) de la SCJN; artículo 55 de la LFPIORPI.</w:t>
      </w:r>
    </w:p>
    <w:p w14:paraId="23E51C3A" w14:textId="77777777" w:rsidR="00762372" w:rsidRPr="00762372" w:rsidRDefault="00762372" w:rsidP="00762372">
      <w:pPr>
        <w:jc w:val="both"/>
      </w:pPr>
      <w:r w:rsidRPr="00762372">
        <w:rPr>
          <w:b/>
          <w:bCs/>
        </w:rPr>
        <w:t>5. Los avisos deben contener TODOS los datos del formato oficial (artículo 24 de la LFPIORPI y Anexo 15)</w:t>
      </w:r>
      <w:r w:rsidRPr="00762372">
        <w:br/>
        <w:t>La falta de teléfono o correo electrónico del cliente constituye incumplimiento sancionable. La presentación extemporánea no excusa los requisitos formales.</w:t>
      </w:r>
    </w:p>
    <w:p w14:paraId="27788FA6" w14:textId="77777777" w:rsidR="00762372" w:rsidRPr="00762372" w:rsidRDefault="00762372" w:rsidP="00762372">
      <w:pPr>
        <w:jc w:val="both"/>
      </w:pPr>
      <w:r w:rsidRPr="00762372">
        <w:rPr>
          <w:i/>
          <w:iCs/>
        </w:rPr>
        <w:t>Fundamento:</w:t>
      </w:r>
      <w:r w:rsidRPr="00762372">
        <w:t> Artículo 24 de la LFPIORPI; Anexo 15 de la LFPIORPI; artículo 53, fracción IV de la LFPIORPI.</w:t>
      </w:r>
    </w:p>
    <w:p w14:paraId="572B9E15" w14:textId="77777777" w:rsidR="00762372" w:rsidRPr="00762372" w:rsidRDefault="00762372" w:rsidP="00762372">
      <w:pPr>
        <w:jc w:val="both"/>
      </w:pPr>
      <w:r w:rsidRPr="00762372">
        <w:rPr>
          <w:b/>
          <w:bCs/>
        </w:rPr>
        <w:t>6. La autoridad puede requerir estados de cuenta bancarios, auxiliares contables, balanzas y catálogos de cuentas durante la verificación</w:t>
      </w:r>
      <w:r w:rsidRPr="00762372">
        <w:br/>
        <w:t>Siempre que estén directamente relacionados con la actividad vulnerable. No es una exigencia excesiva; es parte de las facultades de verificación del SAT en materia antilavado.</w:t>
      </w:r>
    </w:p>
    <w:p w14:paraId="3F5C701C" w14:textId="77777777" w:rsidR="00762372" w:rsidRPr="00762372" w:rsidRDefault="00762372" w:rsidP="00762372">
      <w:pPr>
        <w:jc w:val="both"/>
      </w:pPr>
      <w:r w:rsidRPr="00762372">
        <w:rPr>
          <w:i/>
          <w:iCs/>
        </w:rPr>
        <w:t>Fundamento:</w:t>
      </w:r>
      <w:r w:rsidRPr="00762372">
        <w:t> Artículos 25 y 34 de la LFPIORPI.</w:t>
      </w:r>
    </w:p>
    <w:p w14:paraId="5845ABE6" w14:textId="77777777" w:rsidR="00762372" w:rsidRPr="00762372" w:rsidRDefault="00762372" w:rsidP="00762372">
      <w:pPr>
        <w:jc w:val="both"/>
      </w:pPr>
      <w:r w:rsidRPr="00762372">
        <w:rPr>
          <w:b/>
          <w:bCs/>
        </w:rPr>
        <w:lastRenderedPageBreak/>
        <w:t>7. Para la actividad vulnerable de arrendamiento, se acumulan TODAS las operaciones de un mismo cliente en un periodo de seis meses, sin necesidad de que sean del mismo inmueble</w:t>
      </w:r>
      <w:r w:rsidRPr="00762372">
        <w:br/>
        <w:t>No importa si son departamentos diferentes, propiedades diferentes, contratos diferentes. Es la misma persona. Todas las rentas se suman.</w:t>
      </w:r>
    </w:p>
    <w:p w14:paraId="03E08C92" w14:textId="77777777" w:rsidR="00762372" w:rsidRPr="00762372" w:rsidRDefault="00762372" w:rsidP="00762372">
      <w:pPr>
        <w:jc w:val="both"/>
      </w:pPr>
      <w:r w:rsidRPr="00762372">
        <w:rPr>
          <w:i/>
          <w:iCs/>
        </w:rPr>
        <w:t>Fundamento:</w:t>
      </w:r>
      <w:r w:rsidRPr="00762372">
        <w:t> Artículo 17, fracción XV, penúltimo párrafo de la LFPIORPI; artículo 31 del Reglamento de la LFPIORPI.</w:t>
      </w:r>
    </w:p>
    <w:p w14:paraId="587D73BC" w14:textId="77777777" w:rsidR="00762372" w:rsidRPr="00762372" w:rsidRDefault="00762372" w:rsidP="00762372">
      <w:pPr>
        <w:jc w:val="both"/>
      </w:pPr>
      <w:r w:rsidRPr="00762372">
        <w:rPr>
          <w:b/>
          <w:bCs/>
        </w:rPr>
        <w:t>8. La multa mínima (10,000 UMA por infracción) no requiere motivación adicional sobre gravedad o capacidad económica</w:t>
      </w:r>
      <w:r w:rsidRPr="00762372">
        <w:br/>
        <w:t>La multa mínima es el piso legal. El SAT no necesita justificar por qué aplicó el mínimo; solo necesita justificar la existencia de la infracción.</w:t>
      </w:r>
    </w:p>
    <w:p w14:paraId="5FCDE410" w14:textId="77777777" w:rsidR="00762372" w:rsidRPr="00762372" w:rsidRDefault="00762372" w:rsidP="00762372">
      <w:pPr>
        <w:jc w:val="both"/>
      </w:pPr>
      <w:r w:rsidRPr="00762372">
        <w:rPr>
          <w:i/>
          <w:iCs/>
        </w:rPr>
        <w:t>Fundamento:</w:t>
      </w:r>
      <w:r w:rsidRPr="00762372">
        <w:t> Artículo 53, fracciones VI y VII de la LFPIORPI; jurisprudencia 2a./J. 127/99 de la SCJN.</w:t>
      </w:r>
    </w:p>
    <w:p w14:paraId="78B321CF" w14:textId="77777777" w:rsidR="00762372" w:rsidRPr="00762372" w:rsidRDefault="00762372" w:rsidP="00762372">
      <w:pPr>
        <w:jc w:val="both"/>
      </w:pPr>
      <w:r w:rsidRPr="00762372">
        <w:rPr>
          <w:b/>
          <w:bCs/>
        </w:rPr>
        <w:t>9. Las pruebas supervenientes son las que nacen después del procedimiento</w:t>
      </w:r>
      <w:r w:rsidRPr="00762372">
        <w:br/>
        <w:t>Una inspección ocular para verificar una plataforma digital no es superveniente si el hecho ya existía y el interesado lo conocía durante la verificación.</w:t>
      </w:r>
    </w:p>
    <w:p w14:paraId="0B2506E7" w14:textId="77777777" w:rsidR="00762372" w:rsidRPr="00762372" w:rsidRDefault="00762372" w:rsidP="00762372">
      <w:pPr>
        <w:jc w:val="both"/>
      </w:pPr>
      <w:r w:rsidRPr="00762372">
        <w:rPr>
          <w:i/>
          <w:iCs/>
        </w:rPr>
        <w:t>Fundamento:</w:t>
      </w:r>
      <w:r w:rsidRPr="00762372">
        <w:t> Artículo 46 de la LFCA; artículo 96 de la LFPA.</w:t>
      </w:r>
    </w:p>
    <w:p w14:paraId="26867368" w14:textId="77777777" w:rsidR="00762372" w:rsidRPr="00762372" w:rsidRDefault="00762372" w:rsidP="00762372">
      <w:pPr>
        <w:jc w:val="both"/>
      </w:pPr>
      <w:r w:rsidRPr="00762372">
        <w:rPr>
          <w:b/>
          <w:bCs/>
        </w:rPr>
        <w:t>10. Un error material en la suma total de las multas (error aritmético) anula parcialmente la resolución, ordenando corregir la cifra, pero no invalida las multas individuales</w:t>
      </w:r>
      <w:r w:rsidRPr="00762372">
        <w:br/>
        <w:t>Un error aritmético en la suma no invalida las multas individuales. La autoridad puede corregir la suma. El contribuyente no puede alegar que todas las multas son nulas porque la suma está mal calculada.</w:t>
      </w:r>
    </w:p>
    <w:p w14:paraId="0F062C0F" w14:textId="77777777" w:rsidR="00762372" w:rsidRPr="00762372" w:rsidRDefault="00762372" w:rsidP="00762372">
      <w:pPr>
        <w:jc w:val="both"/>
      </w:pPr>
      <w:r w:rsidRPr="00762372">
        <w:rPr>
          <w:i/>
          <w:iCs/>
        </w:rPr>
        <w:t>Fundamento:</w:t>
      </w:r>
      <w:r w:rsidRPr="00762372">
        <w:t> Artículo 16 constitucional; tesis "error aritmético no invalida el acto".</w:t>
      </w:r>
    </w:p>
    <w:p w14:paraId="7AD4F5AA" w14:textId="77777777" w:rsidR="00762372" w:rsidRPr="00762372" w:rsidRDefault="00762372" w:rsidP="00762372">
      <w:pPr>
        <w:jc w:val="both"/>
      </w:pPr>
      <w:r w:rsidRPr="00762372">
        <w:rPr>
          <w:b/>
          <w:bCs/>
        </w:rPr>
        <w:t>Fundamento legal completo del caso</w:t>
      </w:r>
    </w:p>
    <w:p w14:paraId="56E18021" w14:textId="77777777" w:rsidR="00762372" w:rsidRPr="00762372" w:rsidRDefault="00762372" w:rsidP="00762372">
      <w:pPr>
        <w:jc w:val="both"/>
      </w:pPr>
      <w:r w:rsidRPr="00762372">
        <w:rPr>
          <w:i/>
          <w:iCs/>
        </w:rPr>
        <w:t>Legislación aplicable:</w:t>
      </w:r>
      <w:r w:rsidRPr="00762372">
        <w:t> Artículo 55, 24, 53 fracciones VI y VII, 17 fracción XV, 25, 34 de la LFPIORPI; artículo 31 de su Reglamento; artículos 96 de la LFPA, 40, 46 de la LFCA.</w:t>
      </w:r>
    </w:p>
    <w:p w14:paraId="23FD581E" w14:textId="77777777" w:rsidR="00762372" w:rsidRPr="00762372" w:rsidRDefault="00762372" w:rsidP="00762372">
      <w:pPr>
        <w:jc w:val="both"/>
      </w:pPr>
      <w:r w:rsidRPr="00762372">
        <w:rPr>
          <w:i/>
          <w:iCs/>
        </w:rPr>
        <w:t>Jurisprudencia:</w:t>
      </w:r>
      <w:r w:rsidRPr="00762372">
        <w:t> 2a./J.73/2013 (10a.); 2a./J. 127/99 de la SCJN; tesis I.6o.A.11 A (11a.).</w:t>
      </w:r>
    </w:p>
    <w:p w14:paraId="492A407A" w14:textId="77777777" w:rsidR="00762372" w:rsidRPr="00762372" w:rsidRDefault="00762372" w:rsidP="00762372">
      <w:pPr>
        <w:jc w:val="both"/>
      </w:pPr>
      <w:r w:rsidRPr="00762372">
        <w:rPr>
          <w:b/>
          <w:bCs/>
        </w:rPr>
        <w:t>Referencia al expediente completo</w:t>
      </w:r>
      <w:r w:rsidRPr="00762372">
        <w:br/>
        <w:t>El expediente 5510/25-07-02-6 puede ser consultado en el TFJA o SISE.</w:t>
      </w:r>
    </w:p>
    <w:p w14:paraId="74F87065" w14:textId="77777777" w:rsidR="00762372" w:rsidRPr="00762372" w:rsidRDefault="00762372" w:rsidP="00762372">
      <w:pPr>
        <w:jc w:val="both"/>
      </w:pPr>
      <w:proofErr w:type="spellStart"/>
      <w:r w:rsidRPr="00762372">
        <w:rPr>
          <w:b/>
          <w:bCs/>
        </w:rPr>
        <w:t>Checklist</w:t>
      </w:r>
      <w:proofErr w:type="spellEnd"/>
      <w:r w:rsidRPr="00762372">
        <w:rPr>
          <w:b/>
          <w:bCs/>
        </w:rPr>
        <w:t xml:space="preserve"> de defensa para el asesor fiscal</w:t>
      </w:r>
    </w:p>
    <w:p w14:paraId="79FCB7FE" w14:textId="77777777" w:rsidR="00762372" w:rsidRPr="00762372" w:rsidRDefault="00762372" w:rsidP="00762372">
      <w:pPr>
        <w:numPr>
          <w:ilvl w:val="0"/>
          <w:numId w:val="20"/>
        </w:numPr>
        <w:jc w:val="both"/>
      </w:pPr>
      <w:r w:rsidRPr="00762372">
        <w:lastRenderedPageBreak/>
        <w:t>Revisar si la actividad del cliente está considerada como vulnerable: arrendamiento de inmuebles, enajenación de inmuebles, servicios de notarios, construcción, compraventa de vehículos, emisión de tarjetas de servicios, etc.</w:t>
      </w:r>
    </w:p>
    <w:p w14:paraId="6F2B7B4A" w14:textId="77777777" w:rsidR="00762372" w:rsidRPr="00762372" w:rsidRDefault="00762372" w:rsidP="00762372">
      <w:pPr>
        <w:numPr>
          <w:ilvl w:val="0"/>
          <w:numId w:val="20"/>
        </w:numPr>
        <w:jc w:val="both"/>
      </w:pPr>
      <w:r w:rsidRPr="00762372">
        <w:t>Verificar si supera los umbrales: para arrendamiento, si el valor mensual supera 1,605 UMA, o si acumula rentas de un mismo cliente en seis meses que superen 3,210 UMA.</w:t>
      </w:r>
    </w:p>
    <w:p w14:paraId="7225B500" w14:textId="77777777" w:rsidR="00762372" w:rsidRPr="00762372" w:rsidRDefault="00762372" w:rsidP="00762372">
      <w:pPr>
        <w:numPr>
          <w:ilvl w:val="0"/>
          <w:numId w:val="20"/>
        </w:numPr>
        <w:jc w:val="both"/>
      </w:pPr>
      <w:r w:rsidRPr="00762372">
        <w:t>Revisar plazos: los avisos deben presentarse el día 17 del mes siguiente. Si se presentan fuera de plazo, ya hay infracción.</w:t>
      </w:r>
    </w:p>
    <w:p w14:paraId="2B9DA93A" w14:textId="77777777" w:rsidR="00762372" w:rsidRPr="00762372" w:rsidRDefault="00762372" w:rsidP="00762372">
      <w:pPr>
        <w:numPr>
          <w:ilvl w:val="0"/>
          <w:numId w:val="20"/>
        </w:numPr>
        <w:jc w:val="both"/>
      </w:pPr>
      <w:r w:rsidRPr="00762372">
        <w:t>Integrar expedientes de clientes hoy: copia de identificación oficial, comprobante de domicilio (antigüedad no mayor a tres meses), instrumento que acredite poderes (para persona moral), constancia sobre dueño beneficiario.</w:t>
      </w:r>
    </w:p>
    <w:p w14:paraId="5A71E305" w14:textId="77777777" w:rsidR="00762372" w:rsidRPr="00762372" w:rsidRDefault="00762372" w:rsidP="00762372">
      <w:pPr>
        <w:numPr>
          <w:ilvl w:val="0"/>
          <w:numId w:val="20"/>
        </w:numPr>
        <w:jc w:val="both"/>
      </w:pPr>
      <w:r w:rsidRPr="00762372">
        <w:t>Si el SAT verifica, no esperar para presentar pruebas. El auditor dará plazos; usarlos. No guardar nada para después.</w:t>
      </w:r>
    </w:p>
    <w:p w14:paraId="5E1F258F" w14:textId="77777777" w:rsidR="00762372" w:rsidRPr="00762372" w:rsidRDefault="00762372" w:rsidP="00762372">
      <w:pPr>
        <w:numPr>
          <w:ilvl w:val="0"/>
          <w:numId w:val="20"/>
        </w:numPr>
        <w:jc w:val="both"/>
      </w:pPr>
      <w:r w:rsidRPr="00762372">
        <w:t>Si presenta avisos extemporáneos, no asumir que el beneficio de primera infracción cubre todos. Aplica solo a UNA infracción.</w:t>
      </w:r>
    </w:p>
    <w:p w14:paraId="6BF0CA9E" w14:textId="77777777" w:rsidR="00762372" w:rsidRPr="00762372" w:rsidRDefault="00762372" w:rsidP="00762372">
      <w:pPr>
        <w:numPr>
          <w:ilvl w:val="0"/>
          <w:numId w:val="20"/>
        </w:numPr>
        <w:jc w:val="both"/>
      </w:pPr>
      <w:r w:rsidRPr="00762372">
        <w:t>Llenar avisos con TODOS los datos del formato oficial. No omitir teléfono, correo electrónico o cualquier otro campo.</w:t>
      </w:r>
    </w:p>
    <w:p w14:paraId="0F9A1047" w14:textId="77777777" w:rsidR="00762372" w:rsidRPr="00762372" w:rsidRDefault="00762372" w:rsidP="00762372">
      <w:pPr>
        <w:numPr>
          <w:ilvl w:val="0"/>
          <w:numId w:val="20"/>
        </w:numPr>
        <w:jc w:val="both"/>
      </w:pPr>
      <w:r w:rsidRPr="00762372">
        <w:t>Para arrendamiento, acumular todas las operaciones de un mismo cliente en seis meses, sin importar si son inmuebles diferentes.</w:t>
      </w:r>
    </w:p>
    <w:p w14:paraId="246F3775" w14:textId="77777777" w:rsidR="00762372" w:rsidRPr="00762372" w:rsidRDefault="00762372" w:rsidP="00762372">
      <w:pPr>
        <w:jc w:val="both"/>
      </w:pPr>
      <w:r w:rsidRPr="00762372">
        <w:rPr>
          <w:b/>
          <w:bCs/>
        </w:rPr>
        <w:t>Nota final para el asesor fiscal:</w:t>
      </w:r>
      <w:r w:rsidRPr="00762372">
        <w:t> La Ley Antilavado (LFPIORPI) no es solo para narcotraficantes o grandes capos. Aplica a cualquier persona que realice actividades vulnerables. Si su cliente renta un local comercial, puede estar obligado a presentar avisos ante la Unidad de Inteligencia Financiera. El error más común es ignorar la existencia de la ley. Su cliente paga sus impuestos, cree que todo está en orden, pero nunca ha oído hablar de la LFPIORPI. El SAT llega, verifica, y encuentra 45 avisos no presentados. Multa: 45 x $868,800 = $39 millones. El beneficio de primera infracción aplica solo a una. Las multas confirmadas pueden superar los $33 millones. El segundo error común es no presentar pruebas en el procedimiento. La ley castiga severamente la presentación tardía de pruebas. La preclusión es implacable. La prevención es la única defensa.</w:t>
      </w:r>
    </w:p>
    <w:p w14:paraId="2CC58427" w14:textId="77777777" w:rsidR="00FF31F5" w:rsidRPr="00FF31F5" w:rsidRDefault="00FF31F5" w:rsidP="00FF31F5">
      <w:pPr>
        <w:jc w:val="both"/>
        <w:rPr>
          <w:b/>
          <w:bCs/>
        </w:rPr>
      </w:pPr>
      <w:r w:rsidRPr="00FF31F5">
        <w:rPr>
          <w:b/>
          <w:bCs/>
        </w:rPr>
        <w:t>Apéndice 16 – Capítulo 16</w:t>
      </w:r>
    </w:p>
    <w:p w14:paraId="306BA316" w14:textId="77777777" w:rsidR="00FF31F5" w:rsidRPr="00FF31F5" w:rsidRDefault="00FF31F5" w:rsidP="00FF31F5">
      <w:pPr>
        <w:jc w:val="both"/>
      </w:pPr>
      <w:r w:rsidRPr="00FF31F5">
        <w:rPr>
          <w:b/>
          <w:bCs/>
        </w:rPr>
        <w:lastRenderedPageBreak/>
        <w:t>Pagar $200M de impuestos que no debía... y que el SAT lo tenga por desistido por "formato incorrecto": integraciones especiales</w:t>
      </w:r>
    </w:p>
    <w:p w14:paraId="2C5C5172" w14:textId="77777777" w:rsidR="00FF31F5" w:rsidRPr="00FF31F5" w:rsidRDefault="00FF31F5" w:rsidP="00FF31F5">
      <w:pPr>
        <w:jc w:val="both"/>
      </w:pPr>
      <w:r w:rsidRPr="00FF31F5">
        <w:rPr>
          <w:b/>
          <w:bCs/>
        </w:rPr>
        <w:t>Expediente:</w:t>
      </w:r>
      <w:r w:rsidRPr="00FF31F5">
        <w:t> 21/234-24-01-02-02-OL/21/55-S2-10-3 del Tribunal Federal de Justicia Administrativa (Segunda Sección de la Sala Superior)</w:t>
      </w:r>
    </w:p>
    <w:p w14:paraId="6CAD3CB5" w14:textId="77777777" w:rsidR="00FF31F5" w:rsidRPr="00FF31F5" w:rsidRDefault="00FF31F5" w:rsidP="00FF31F5">
      <w:pPr>
        <w:jc w:val="both"/>
      </w:pPr>
      <w:r w:rsidRPr="00FF31F5">
        <w:rPr>
          <w:b/>
          <w:bCs/>
        </w:rPr>
        <w:t>Los 10 puntos técnicos más relevantes para el asesor fiscal</w:t>
      </w:r>
    </w:p>
    <w:p w14:paraId="4CFED1BB" w14:textId="77777777" w:rsidR="00FF31F5" w:rsidRPr="00FF31F5" w:rsidRDefault="00FF31F5" w:rsidP="00FF31F5">
      <w:pPr>
        <w:jc w:val="both"/>
      </w:pPr>
      <w:r w:rsidRPr="00FF31F5">
        <w:rPr>
          <w:b/>
          <w:bCs/>
        </w:rPr>
        <w:t>1. El Acuerdo Conclusivo es ley entre las partes</w:t>
      </w:r>
      <w:r w:rsidRPr="00FF31F5">
        <w:br/>
        <w:t>El artículo 69-H del CFF prohíbe a la autoridad fiscal desconocer los hechos u omisiones que fueron materia del acuerdo. Si el SAT acordó un rubro, no puede después requerir información para recalcular todo el ISR del ejercicio.</w:t>
      </w:r>
    </w:p>
    <w:p w14:paraId="66C0D503" w14:textId="77777777" w:rsidR="00FF31F5" w:rsidRPr="00FF31F5" w:rsidRDefault="00FF31F5" w:rsidP="00FF31F5">
      <w:pPr>
        <w:jc w:val="both"/>
      </w:pPr>
      <w:r w:rsidRPr="00FF31F5">
        <w:rPr>
          <w:i/>
          <w:iCs/>
        </w:rPr>
        <w:t>Fundamento:</w:t>
      </w:r>
      <w:r w:rsidRPr="00FF31F5">
        <w:t> Artículo 69-H del CFF; artículo 69-G del CFF.</w:t>
      </w:r>
    </w:p>
    <w:p w14:paraId="0EB8CB61" w14:textId="77777777" w:rsidR="00FF31F5" w:rsidRPr="00FF31F5" w:rsidRDefault="00FF31F5" w:rsidP="00FF31F5">
      <w:pPr>
        <w:jc w:val="both"/>
      </w:pPr>
      <w:r w:rsidRPr="00FF31F5">
        <w:rPr>
          <w:b/>
          <w:bCs/>
        </w:rPr>
        <w:t>2. El desistimiento en devoluciones (artículo 22, sexto párrafo, CFF) sólo procede por OMISIÓN ABSOLUTA, no por cumplimiento parcial</w:t>
      </w:r>
      <w:r w:rsidRPr="00FF31F5">
        <w:br/>
        <w:t>Si el contribuyente entregó algo (aunque sea parcial o en formato incorrecto), no hay omisión absoluta. El SAT debió hacer un segundo requerimiento o resolver de fondo.</w:t>
      </w:r>
    </w:p>
    <w:p w14:paraId="625F024E" w14:textId="77777777" w:rsidR="00FF31F5" w:rsidRPr="00FF31F5" w:rsidRDefault="00FF31F5" w:rsidP="00FF31F5">
      <w:pPr>
        <w:jc w:val="both"/>
      </w:pPr>
      <w:r w:rsidRPr="00FF31F5">
        <w:rPr>
          <w:i/>
          <w:iCs/>
        </w:rPr>
        <w:t>Fundamento:</w:t>
      </w:r>
      <w:r w:rsidRPr="00FF31F5">
        <w:t> Artículo 22, sexto párrafo del CFF.</w:t>
      </w:r>
    </w:p>
    <w:p w14:paraId="71E861C5" w14:textId="77777777" w:rsidR="00FF31F5" w:rsidRPr="00FF31F5" w:rsidRDefault="00FF31F5" w:rsidP="00FF31F5">
      <w:pPr>
        <w:jc w:val="both"/>
      </w:pPr>
      <w:r w:rsidRPr="00FF31F5">
        <w:rPr>
          <w:b/>
          <w:bCs/>
        </w:rPr>
        <w:t>3. El SAT no puede exigir "integraciones especiales" (formatos de tabla específicos)</w:t>
      </w:r>
      <w:r w:rsidRPr="00FF31F5">
        <w:br/>
        <w:t>El artículo 28 del CFF define la contabilidad de manera genérica. El contribuyente no está obligado a rehacer su contabilidad en el formato que al SAT se le ocurra.</w:t>
      </w:r>
    </w:p>
    <w:p w14:paraId="7AFBB0EF" w14:textId="77777777" w:rsidR="00FF31F5" w:rsidRPr="00FF31F5" w:rsidRDefault="00FF31F5" w:rsidP="00FF31F5">
      <w:pPr>
        <w:jc w:val="both"/>
      </w:pPr>
      <w:r w:rsidRPr="00FF31F5">
        <w:rPr>
          <w:i/>
          <w:iCs/>
        </w:rPr>
        <w:t>Fundamento:</w:t>
      </w:r>
      <w:r w:rsidRPr="00FF31F5">
        <w:t> Artículo 28 del CFF; jurisprudencia IX-P-1aS-9 del TFJA.</w:t>
      </w:r>
    </w:p>
    <w:p w14:paraId="24BFB018" w14:textId="77777777" w:rsidR="00FF31F5" w:rsidRPr="00FF31F5" w:rsidRDefault="00FF31F5" w:rsidP="00FF31F5">
      <w:pPr>
        <w:jc w:val="both"/>
      </w:pPr>
      <w:r w:rsidRPr="00FF31F5">
        <w:rPr>
          <w:b/>
          <w:bCs/>
        </w:rPr>
        <w:t>4. El contrato de apertura de cuenta bancaria no es necesario si el estado de cuenta ya acredita la titularidad y la CLABE</w:t>
      </w:r>
      <w:r w:rsidRPr="00FF31F5">
        <w:br/>
        <w:t>La CLABE identifica al banco, cuenta y titular. El estado de cuenta simple, adminiculado con la CLABE, es suficiente para acreditar la titularidad de la cuenta.</w:t>
      </w:r>
    </w:p>
    <w:p w14:paraId="68D35884" w14:textId="77777777" w:rsidR="00FF31F5" w:rsidRPr="00FF31F5" w:rsidRDefault="00FF31F5" w:rsidP="00FF31F5">
      <w:pPr>
        <w:jc w:val="both"/>
      </w:pPr>
      <w:r w:rsidRPr="00FF31F5">
        <w:rPr>
          <w:i/>
          <w:iCs/>
        </w:rPr>
        <w:t>Fundamento:</w:t>
      </w:r>
      <w:r w:rsidRPr="00FF31F5">
        <w:t> Artículo 46, fracción VI de la LFCA (hechos notorios); página web de la CONDUSEF.</w:t>
      </w:r>
    </w:p>
    <w:p w14:paraId="0EF7AAF4" w14:textId="77777777" w:rsidR="00FF31F5" w:rsidRPr="00FF31F5" w:rsidRDefault="00FF31F5" w:rsidP="00FF31F5">
      <w:pPr>
        <w:jc w:val="both"/>
      </w:pPr>
      <w:r w:rsidRPr="00FF31F5">
        <w:rPr>
          <w:b/>
          <w:bCs/>
        </w:rPr>
        <w:t>5. La prueba pericial contradictoria impide la condena a la devolución</w:t>
      </w:r>
      <w:r w:rsidRPr="00FF31F5">
        <w:br/>
        <w:t>Si los peritos (actor, SAT, tercero) opinan distinto, el Tribunal no puede determinar con certeza si existió pago indebido. En lugar de adivinar, ordena a la autoridad resolver el fondo (nulidad para efectos).</w:t>
      </w:r>
    </w:p>
    <w:p w14:paraId="4E6614CD" w14:textId="77777777" w:rsidR="00FF31F5" w:rsidRPr="00FF31F5" w:rsidRDefault="00FF31F5" w:rsidP="00FF31F5">
      <w:pPr>
        <w:jc w:val="both"/>
      </w:pPr>
      <w:r w:rsidRPr="00FF31F5">
        <w:rPr>
          <w:i/>
          <w:iCs/>
        </w:rPr>
        <w:t>Fundamento:</w:t>
      </w:r>
      <w:r w:rsidRPr="00FF31F5">
        <w:t> Artículo 52, fracción II de la LFCA; artículo 46, fracción III de la LFCA.</w:t>
      </w:r>
    </w:p>
    <w:p w14:paraId="3D38E539" w14:textId="77777777" w:rsidR="00FF31F5" w:rsidRPr="00FF31F5" w:rsidRDefault="00FF31F5" w:rsidP="00FF31F5">
      <w:pPr>
        <w:jc w:val="both"/>
      </w:pPr>
      <w:r w:rsidRPr="00FF31F5">
        <w:rPr>
          <w:b/>
          <w:bCs/>
        </w:rPr>
        <w:lastRenderedPageBreak/>
        <w:t>6. El perito de la actora pierde credibilidad por basarse en documentación que no obraba en autos</w:t>
      </w:r>
      <w:r w:rsidRPr="00FF31F5">
        <w:br/>
        <w:t xml:space="preserve">El perito debe limitarse a lo que obra en autos. Si se basa en documentos </w:t>
      </w:r>
      <w:proofErr w:type="spellStart"/>
      <w:r w:rsidRPr="00FF31F5">
        <w:t>extra-autos</w:t>
      </w:r>
      <w:proofErr w:type="spellEnd"/>
      <w:r w:rsidRPr="00FF31F5">
        <w:t>, su dictamen será desestimado porque la contraparte no puede controvertirlos.</w:t>
      </w:r>
    </w:p>
    <w:p w14:paraId="4ABE9300" w14:textId="77777777" w:rsidR="00FF31F5" w:rsidRPr="00FF31F5" w:rsidRDefault="00FF31F5" w:rsidP="00FF31F5">
      <w:pPr>
        <w:jc w:val="both"/>
      </w:pPr>
      <w:r w:rsidRPr="00FF31F5">
        <w:rPr>
          <w:i/>
          <w:iCs/>
        </w:rPr>
        <w:t>Fundamento:</w:t>
      </w:r>
      <w:r w:rsidRPr="00FF31F5">
        <w:t> Artículo 46, fracción III de la LFCA; artículo 40 de la LFCA.</w:t>
      </w:r>
    </w:p>
    <w:p w14:paraId="0C1A31EF" w14:textId="77777777" w:rsidR="00FF31F5" w:rsidRPr="00FF31F5" w:rsidRDefault="00FF31F5" w:rsidP="00FF31F5">
      <w:pPr>
        <w:jc w:val="both"/>
      </w:pPr>
      <w:r w:rsidRPr="00FF31F5">
        <w:rPr>
          <w:b/>
          <w:bCs/>
        </w:rPr>
        <w:t>7. La distinción entre "pago de lo indebido" y "saldo a favor" es crucial</w:t>
      </w:r>
      <w:r w:rsidRPr="00FF31F5">
        <w:br/>
        <w:t>Pago indebido: se pagó una cantidad no exigible (error). Saldo a favor: deriva de la mecánica del impuesto. La confusión afecta la prueba pericial.</w:t>
      </w:r>
    </w:p>
    <w:p w14:paraId="63FA4383" w14:textId="77777777" w:rsidR="00FF31F5" w:rsidRPr="00FF31F5" w:rsidRDefault="00FF31F5" w:rsidP="00FF31F5">
      <w:pPr>
        <w:jc w:val="both"/>
      </w:pPr>
      <w:r w:rsidRPr="00FF31F5">
        <w:rPr>
          <w:i/>
          <w:iCs/>
        </w:rPr>
        <w:t>Fundamento:</w:t>
      </w:r>
      <w:r w:rsidRPr="00FF31F5">
        <w:t> Artículo 22 del CFF; artículo 6 del CFF.</w:t>
      </w:r>
    </w:p>
    <w:p w14:paraId="12FCE072" w14:textId="77777777" w:rsidR="00FF31F5" w:rsidRPr="00FF31F5" w:rsidRDefault="00FF31F5" w:rsidP="00FF31F5">
      <w:pPr>
        <w:jc w:val="both"/>
      </w:pPr>
      <w:r w:rsidRPr="00FF31F5">
        <w:rPr>
          <w:b/>
          <w:bCs/>
        </w:rPr>
        <w:t>8. El segundo requerimiento del artículo 22 del CFF no es obligatorio, pero su ausencia no justifica el desistimiento si hubo cumplimiento parcial</w:t>
      </w:r>
      <w:r w:rsidRPr="00FF31F5">
        <w:br/>
        <w:t>Aunque el SAT no esté obligado a hacer un segundo requerimiento, al no haber omisión absoluta, el desistimiento fue ilegal. El SAT debió resolver el fondo.</w:t>
      </w:r>
    </w:p>
    <w:p w14:paraId="0A3B1F74" w14:textId="77777777" w:rsidR="00FF31F5" w:rsidRPr="00FF31F5" w:rsidRDefault="00FF31F5" w:rsidP="00FF31F5">
      <w:pPr>
        <w:jc w:val="both"/>
      </w:pPr>
      <w:r w:rsidRPr="00FF31F5">
        <w:rPr>
          <w:i/>
          <w:iCs/>
        </w:rPr>
        <w:t>Fundamento:</w:t>
      </w:r>
      <w:r w:rsidRPr="00FF31F5">
        <w:t> Artículo 22, sexto párrafo del CFF.</w:t>
      </w:r>
    </w:p>
    <w:p w14:paraId="193254CC" w14:textId="77777777" w:rsidR="00FF31F5" w:rsidRPr="00FF31F5" w:rsidRDefault="00FF31F5" w:rsidP="00FF31F5">
      <w:pPr>
        <w:jc w:val="both"/>
      </w:pPr>
      <w:r w:rsidRPr="00FF31F5">
        <w:rPr>
          <w:b/>
          <w:bCs/>
        </w:rPr>
        <w:t>9. La confesión de la autoridad (en el Acuerdo Conclusivo) hace prueba plena en su contra</w:t>
      </w:r>
      <w:r w:rsidRPr="00FF31F5">
        <w:br/>
        <w:t>Una vez que el SAT reconoce un hecho (ej. "esta cantidad no debió pagarse"), no puede después desconocerlo. El Acuerdo Conclusivo es un acto jurídico que obliga a la autoridad.</w:t>
      </w:r>
    </w:p>
    <w:p w14:paraId="3AEBDDAB" w14:textId="77777777" w:rsidR="00FF31F5" w:rsidRPr="00FF31F5" w:rsidRDefault="00FF31F5" w:rsidP="00FF31F5">
      <w:pPr>
        <w:jc w:val="both"/>
      </w:pPr>
      <w:r w:rsidRPr="00FF31F5">
        <w:rPr>
          <w:i/>
          <w:iCs/>
        </w:rPr>
        <w:t>Fundamento:</w:t>
      </w:r>
      <w:r w:rsidRPr="00FF31F5">
        <w:t> Artículo 46, fracción I de la LFCA; artículo 69-H del CFF.</w:t>
      </w:r>
    </w:p>
    <w:p w14:paraId="05A3AE82" w14:textId="77777777" w:rsidR="00FF31F5" w:rsidRPr="00FF31F5" w:rsidRDefault="00FF31F5" w:rsidP="00FF31F5">
      <w:pPr>
        <w:jc w:val="both"/>
      </w:pPr>
      <w:r w:rsidRPr="00FF31F5">
        <w:rPr>
          <w:b/>
          <w:bCs/>
        </w:rPr>
        <w:t>10. El Tribunal no puede suplir las deficiencias de la prueba pericial</w:t>
      </w:r>
      <w:r w:rsidRPr="00FF31F5">
        <w:br/>
        <w:t>Aunque el procedimiento del SAT fue ilegal (desistimiento), si el contribuyente no acredita el monto del pago indebido con certeza, la devolución no procede. La carga de la prueba del monto es del contribuyente.</w:t>
      </w:r>
    </w:p>
    <w:p w14:paraId="736A6C58" w14:textId="77777777" w:rsidR="00FF31F5" w:rsidRPr="00FF31F5" w:rsidRDefault="00FF31F5" w:rsidP="00FF31F5">
      <w:pPr>
        <w:jc w:val="both"/>
      </w:pPr>
      <w:r w:rsidRPr="00FF31F5">
        <w:rPr>
          <w:i/>
          <w:iCs/>
        </w:rPr>
        <w:t>Fundamento:</w:t>
      </w:r>
      <w:r w:rsidRPr="00FF31F5">
        <w:t> Artículo 40 de la LFCA; artículo 52, fracción II de la LFCA.</w:t>
      </w:r>
    </w:p>
    <w:p w14:paraId="54CB51DF" w14:textId="77777777" w:rsidR="00FF31F5" w:rsidRPr="00FF31F5" w:rsidRDefault="00FF31F5" w:rsidP="00FF31F5">
      <w:pPr>
        <w:jc w:val="both"/>
      </w:pPr>
      <w:r w:rsidRPr="00FF31F5">
        <w:rPr>
          <w:b/>
          <w:bCs/>
        </w:rPr>
        <w:t>Fundamento legal completo del caso</w:t>
      </w:r>
    </w:p>
    <w:p w14:paraId="1710B30D" w14:textId="77777777" w:rsidR="00FF31F5" w:rsidRPr="00FF31F5" w:rsidRDefault="00FF31F5" w:rsidP="00FF31F5">
      <w:pPr>
        <w:jc w:val="both"/>
      </w:pPr>
      <w:r w:rsidRPr="00FF31F5">
        <w:rPr>
          <w:i/>
          <w:iCs/>
        </w:rPr>
        <w:t>Legislación aplicable:</w:t>
      </w:r>
      <w:r w:rsidRPr="00FF31F5">
        <w:t> Artículos 69-H, 69-G, 22 sexto párrafo, 28, 6 del CFF; artículos 46 fracciones I, III, VI, 40, 52 fracción II de la LFCA.</w:t>
      </w:r>
    </w:p>
    <w:p w14:paraId="76B1C7CC" w14:textId="77777777" w:rsidR="00FF31F5" w:rsidRPr="00FF31F5" w:rsidRDefault="00FF31F5" w:rsidP="00FF31F5">
      <w:pPr>
        <w:jc w:val="both"/>
      </w:pPr>
      <w:r w:rsidRPr="00FF31F5">
        <w:rPr>
          <w:i/>
          <w:iCs/>
        </w:rPr>
        <w:t>Jurisprudencia:</w:t>
      </w:r>
      <w:r w:rsidRPr="00FF31F5">
        <w:t> IX-P-1aS-9 del TFJA; P./J. 16/2018 (10a.); 2a./J. 73/2013 (10a.) de la SCJN.</w:t>
      </w:r>
    </w:p>
    <w:p w14:paraId="1D4AC14A" w14:textId="77777777" w:rsidR="00FF31F5" w:rsidRPr="00FF31F5" w:rsidRDefault="00FF31F5" w:rsidP="00FF31F5">
      <w:pPr>
        <w:jc w:val="both"/>
      </w:pPr>
      <w:r w:rsidRPr="00FF31F5">
        <w:rPr>
          <w:b/>
          <w:bCs/>
        </w:rPr>
        <w:lastRenderedPageBreak/>
        <w:t>Referencia al expediente completo</w:t>
      </w:r>
      <w:r w:rsidRPr="00FF31F5">
        <w:br/>
        <w:t>El expediente 21/234-24-01-02-02-OL/21/55-S2-10-3 puede ser consultado en el TFJA o SISE.</w:t>
      </w:r>
    </w:p>
    <w:p w14:paraId="57E6082D" w14:textId="77777777" w:rsidR="00FF31F5" w:rsidRPr="00FF31F5" w:rsidRDefault="00FF31F5" w:rsidP="00FF31F5">
      <w:pPr>
        <w:jc w:val="both"/>
      </w:pPr>
      <w:proofErr w:type="spellStart"/>
      <w:r w:rsidRPr="00FF31F5">
        <w:rPr>
          <w:b/>
          <w:bCs/>
        </w:rPr>
        <w:t>Checklist</w:t>
      </w:r>
      <w:proofErr w:type="spellEnd"/>
      <w:r w:rsidRPr="00FF31F5">
        <w:rPr>
          <w:b/>
          <w:bCs/>
        </w:rPr>
        <w:t xml:space="preserve"> de defensa para el asesor fiscal</w:t>
      </w:r>
    </w:p>
    <w:p w14:paraId="2ED48D73" w14:textId="77777777" w:rsidR="00FF31F5" w:rsidRPr="00FF31F5" w:rsidRDefault="00FF31F5" w:rsidP="00FF31F5">
      <w:pPr>
        <w:numPr>
          <w:ilvl w:val="0"/>
          <w:numId w:val="21"/>
        </w:numPr>
        <w:jc w:val="both"/>
      </w:pPr>
      <w:r w:rsidRPr="00FF31F5">
        <w:t>Si el SAT requiere información en un formato específico ("integraciones especiales"), no asumir que está obligado a cumplir con ese formato. La ley define la contabilidad de manera genérica (artículo 28 del CFF). Impugnar con jurisprudencia IX-P-1aS-9.</w:t>
      </w:r>
    </w:p>
    <w:p w14:paraId="2B434C38" w14:textId="77777777" w:rsidR="00FF31F5" w:rsidRPr="00FF31F5" w:rsidRDefault="00FF31F5" w:rsidP="00FF31F5">
      <w:pPr>
        <w:numPr>
          <w:ilvl w:val="0"/>
          <w:numId w:val="21"/>
        </w:numPr>
        <w:jc w:val="both"/>
      </w:pPr>
      <w:r w:rsidRPr="00FF31F5">
        <w:t>Si el SAT tiene por desistido al contribuyente, revisar: ¿hubo OMISIÓN ABSOLUTA o solo cumplimiento parcial? Si entregó algo, no hay omisión absoluta. Impugnar.</w:t>
      </w:r>
    </w:p>
    <w:p w14:paraId="4FCFD935" w14:textId="77777777" w:rsidR="00FF31F5" w:rsidRPr="00FF31F5" w:rsidRDefault="00FF31F5" w:rsidP="00FF31F5">
      <w:pPr>
        <w:numPr>
          <w:ilvl w:val="0"/>
          <w:numId w:val="21"/>
        </w:numPr>
        <w:jc w:val="both"/>
      </w:pPr>
      <w:r w:rsidRPr="00FF31F5">
        <w:t>Si tiene un Acuerdo Conclusivo sobre el mismo ejercicio, usarlo como escudo. El SAT no puede desconocer lo acordado (artículo 69-H del CFF).</w:t>
      </w:r>
    </w:p>
    <w:p w14:paraId="73CCB06D" w14:textId="77777777" w:rsidR="00FF31F5" w:rsidRPr="00FF31F5" w:rsidRDefault="00FF31F5" w:rsidP="00FF31F5">
      <w:pPr>
        <w:numPr>
          <w:ilvl w:val="0"/>
          <w:numId w:val="21"/>
        </w:numPr>
        <w:jc w:val="both"/>
      </w:pPr>
      <w:r w:rsidRPr="00FF31F5">
        <w:t>Guardar copias de TODO lo que se entregue al SAT. El día que el SAT diga "no entregó", usted tiene la prueba de que sí.</w:t>
      </w:r>
    </w:p>
    <w:p w14:paraId="0E992E33" w14:textId="77777777" w:rsidR="00FF31F5" w:rsidRPr="00FF31F5" w:rsidRDefault="00FF31F5" w:rsidP="00FF31F5">
      <w:pPr>
        <w:numPr>
          <w:ilvl w:val="0"/>
          <w:numId w:val="21"/>
        </w:numPr>
        <w:jc w:val="both"/>
      </w:pPr>
      <w:r w:rsidRPr="00FF31F5">
        <w:t>Si va a solicitar devolución por pago indebido, asegurar prueba pericial: que el perito tenga acceso a TODA la contabilidad y que su dictamen sea claro, fundamentado y basado en el expediente.</w:t>
      </w:r>
    </w:p>
    <w:p w14:paraId="258E23E2" w14:textId="77777777" w:rsidR="00FF31F5" w:rsidRPr="00FF31F5" w:rsidRDefault="00FF31F5" w:rsidP="00FF31F5">
      <w:pPr>
        <w:numPr>
          <w:ilvl w:val="0"/>
          <w:numId w:val="21"/>
        </w:numPr>
        <w:jc w:val="both"/>
      </w:pPr>
      <w:r w:rsidRPr="00FF31F5">
        <w:t>Si el SAT exige un documento específico (ej. contrato de apertura de cuenta), pero ya acreditó el hecho con otro documento (estado de cuenta + CLABE), impugnar la exigencia como desproporcionada.</w:t>
      </w:r>
    </w:p>
    <w:p w14:paraId="59036845" w14:textId="77777777" w:rsidR="00FF31F5" w:rsidRPr="00FF31F5" w:rsidRDefault="00FF31F5" w:rsidP="00FF31F5">
      <w:pPr>
        <w:jc w:val="both"/>
      </w:pPr>
      <w:r w:rsidRPr="00FF31F5">
        <w:rPr>
          <w:b/>
          <w:bCs/>
        </w:rPr>
        <w:t>Nota final para el asesor fiscal:</w:t>
      </w:r>
      <w:r w:rsidRPr="00FF31F5">
        <w:t> Este caso enseña que el formato no es lo importante. Lo importante es la sustancia. El SAT no puede esconderse detrás de exigencias de formato para evitar resolver el fondo de una solicitud de devolución. Si el SAT le exige una integración especial (una tabla con columnas específicas), no se deje intimidar: la ley no se lo exige. Impugne. El Tribunal le dará la razón. La lección más importante es que el desistimiento por incumplimiento solo procede por OMISIÓN ABSOLUTA. Si su cliente entregó algo (aunque sea parcial o en formato incorrecto), no hay omisión absoluta. El SAT debió hacer un segundo requerimiento o resolver de fondo. Si el SAT desiste, impugne.</w:t>
      </w:r>
    </w:p>
    <w:p w14:paraId="72C410BB" w14:textId="77777777" w:rsidR="00FF31F5" w:rsidRPr="00FF31F5" w:rsidRDefault="00000000" w:rsidP="00FF31F5">
      <w:pPr>
        <w:jc w:val="both"/>
      </w:pPr>
      <w:r>
        <w:pict w14:anchorId="172C6E23">
          <v:rect id="_x0000_i1042" style="width:0;height:.75pt" o:hralign="center" o:hrstd="t" o:hr="t" fillcolor="#a0a0a0" stroked="f"/>
        </w:pict>
      </w:r>
    </w:p>
    <w:p w14:paraId="66C2C4D3" w14:textId="77777777" w:rsidR="00FF31F5" w:rsidRPr="00FF31F5" w:rsidRDefault="00FF31F5" w:rsidP="00FF31F5">
      <w:pPr>
        <w:jc w:val="both"/>
        <w:rPr>
          <w:b/>
          <w:bCs/>
        </w:rPr>
      </w:pPr>
      <w:r w:rsidRPr="00FF31F5">
        <w:rPr>
          <w:b/>
          <w:bCs/>
        </w:rPr>
        <w:t>Apéndice 17 – Capítulo 17</w:t>
      </w:r>
    </w:p>
    <w:p w14:paraId="5905CC42" w14:textId="77777777" w:rsidR="00FF31F5" w:rsidRPr="00FF31F5" w:rsidRDefault="00FF31F5" w:rsidP="00FF31F5">
      <w:pPr>
        <w:jc w:val="both"/>
      </w:pPr>
      <w:r w:rsidRPr="00FF31F5">
        <w:rPr>
          <w:b/>
          <w:bCs/>
        </w:rPr>
        <w:lastRenderedPageBreak/>
        <w:t>El precio que no era de mercado: partes relacionadas y la trampa del APA que no vincula</w:t>
      </w:r>
    </w:p>
    <w:p w14:paraId="4E79F89C" w14:textId="77777777" w:rsidR="00FF31F5" w:rsidRPr="00FF31F5" w:rsidRDefault="00FF31F5" w:rsidP="00FF31F5">
      <w:pPr>
        <w:jc w:val="both"/>
      </w:pPr>
      <w:r w:rsidRPr="00FF31F5">
        <w:rPr>
          <w:b/>
          <w:bCs/>
        </w:rPr>
        <w:t>Expediente:</w:t>
      </w:r>
      <w:r w:rsidRPr="00FF31F5">
        <w:t> 5878/21-17-09-6/1640/24-PL-09-04 del Tribunal Federal de Justicia Administrativa (Pleno Jurisdiccional de la Sala Superior)</w:t>
      </w:r>
    </w:p>
    <w:p w14:paraId="38436372" w14:textId="77777777" w:rsidR="00FF31F5" w:rsidRPr="00FF31F5" w:rsidRDefault="00FF31F5" w:rsidP="00FF31F5">
      <w:pPr>
        <w:jc w:val="both"/>
      </w:pPr>
      <w:r w:rsidRPr="00FF31F5">
        <w:rPr>
          <w:b/>
          <w:bCs/>
        </w:rPr>
        <w:t>Los 10 puntos técnicos más relevantes para el asesor fiscal</w:t>
      </w:r>
    </w:p>
    <w:p w14:paraId="0C4AE00A" w14:textId="77777777" w:rsidR="00FF31F5" w:rsidRPr="00FF31F5" w:rsidRDefault="00FF31F5" w:rsidP="00FF31F5">
      <w:pPr>
        <w:jc w:val="both"/>
      </w:pPr>
      <w:r w:rsidRPr="00FF31F5">
        <w:rPr>
          <w:b/>
          <w:bCs/>
        </w:rPr>
        <w:t>1. La respuesta a una consulta sobre precios de transferencia (APA unilateral, artículo 34-A del CFF) no es una resolución definitiva impugnable</w:t>
      </w:r>
      <w:r w:rsidRPr="00FF31F5">
        <w:br/>
        <w:t>Su naturaleza es la de una </w:t>
      </w:r>
      <w:r w:rsidRPr="00FF31F5">
        <w:rPr>
          <w:b/>
          <w:bCs/>
        </w:rPr>
        <w:t>opinión técnica</w:t>
      </w:r>
      <w:r w:rsidRPr="00FF31F5">
        <w:t> que no crea, modifica o extingue una situación jurídica concreta. No cumple el requisito del artículo 3 de la Ley Orgánica del TFJA.</w:t>
      </w:r>
    </w:p>
    <w:p w14:paraId="2F818805" w14:textId="77777777" w:rsidR="00FF31F5" w:rsidRPr="00FF31F5" w:rsidRDefault="00FF31F5" w:rsidP="00FF31F5">
      <w:pPr>
        <w:jc w:val="both"/>
      </w:pPr>
      <w:r w:rsidRPr="00FF31F5">
        <w:rPr>
          <w:i/>
          <w:iCs/>
        </w:rPr>
        <w:t>Fundamento:</w:t>
      </w:r>
      <w:r w:rsidRPr="00FF31F5">
        <w:t> Artículo 34-A del CFF; artículo 3 de la Ley Orgánica del TFJA.</w:t>
      </w:r>
    </w:p>
    <w:p w14:paraId="174BFDFD" w14:textId="77777777" w:rsidR="00FF31F5" w:rsidRPr="00FF31F5" w:rsidRDefault="00FF31F5" w:rsidP="00FF31F5">
      <w:pPr>
        <w:jc w:val="both"/>
      </w:pPr>
      <w:r w:rsidRPr="00FF31F5">
        <w:rPr>
          <w:b/>
          <w:bCs/>
        </w:rPr>
        <w:t>2. El artículo 34, párrafo cuarto del CFF es claro: las respuestas a consultas no son obligatorias para los particulares y sólo son impugnables cuando la autoridad aplique sus criterios en una resolución definitiva</w:t>
      </w:r>
      <w:r w:rsidRPr="00FF31F5">
        <w:br/>
        <w:t>El particular no está obligado a seguir el criterio de la consulta. El acto no afecta su interés jurídico. El momento para impugnar es después, si el SAT aplica ese criterio en una auditoría.</w:t>
      </w:r>
    </w:p>
    <w:p w14:paraId="595B820A" w14:textId="77777777" w:rsidR="00FF31F5" w:rsidRPr="00FF31F5" w:rsidRDefault="00FF31F5" w:rsidP="00FF31F5">
      <w:pPr>
        <w:jc w:val="both"/>
      </w:pPr>
      <w:r w:rsidRPr="00FF31F5">
        <w:rPr>
          <w:i/>
          <w:iCs/>
        </w:rPr>
        <w:t>Fundamento:</w:t>
      </w:r>
      <w:r w:rsidRPr="00FF31F5">
        <w:t> Artículo 34, párrafo cuarto del CFF.</w:t>
      </w:r>
    </w:p>
    <w:p w14:paraId="26989D24" w14:textId="77777777" w:rsidR="00FF31F5" w:rsidRPr="00FF31F5" w:rsidRDefault="00FF31F5" w:rsidP="00FF31F5">
      <w:pPr>
        <w:jc w:val="both"/>
      </w:pPr>
      <w:r w:rsidRPr="00FF31F5">
        <w:rPr>
          <w:b/>
          <w:bCs/>
        </w:rPr>
        <w:t>3. El juicio contencioso administrativo federal procede únicamente contra resoluciones definitivas, no contra opiniones o respuestas a consultas</w:t>
      </w:r>
      <w:r w:rsidRPr="00FF31F5">
        <w:br/>
        <w:t>No existe una acción contenciosa administrativa contra todo acto de la Administración Pública. La respuesta a un APA unilateral no es una resolución definitiva.</w:t>
      </w:r>
    </w:p>
    <w:p w14:paraId="47D129F2" w14:textId="77777777" w:rsidR="00FF31F5" w:rsidRPr="00FF31F5" w:rsidRDefault="00FF31F5" w:rsidP="00FF31F5">
      <w:pPr>
        <w:jc w:val="both"/>
      </w:pPr>
      <w:r w:rsidRPr="00FF31F5">
        <w:rPr>
          <w:i/>
          <w:iCs/>
        </w:rPr>
        <w:t>Fundamento:</w:t>
      </w:r>
      <w:r w:rsidRPr="00FF31F5">
        <w:t> Artículo 3 de la Ley Orgánica del TFJA; tesis 2a. X/2003 de la SCJN.</w:t>
      </w:r>
    </w:p>
    <w:p w14:paraId="3E4307C6" w14:textId="77777777" w:rsidR="00FF31F5" w:rsidRPr="00FF31F5" w:rsidRDefault="00FF31F5" w:rsidP="00FF31F5">
      <w:pPr>
        <w:jc w:val="both"/>
      </w:pPr>
      <w:r w:rsidRPr="00FF31F5">
        <w:rPr>
          <w:b/>
          <w:bCs/>
        </w:rPr>
        <w:t>4. El hecho de que la autoridad mencionara la posibilidad de impugnar el acto no convierte una opinión no vinculante en una resolución definitiva impugnable</w:t>
      </w:r>
      <w:r w:rsidRPr="00FF31F5">
        <w:br/>
        <w:t>La procedencia de la vía es un presupuesto procesal de orden público que debe ser analizado de oficio, independientemente de lo que la autoridad haya escrito.</w:t>
      </w:r>
    </w:p>
    <w:p w14:paraId="2C8E0F1F" w14:textId="77777777" w:rsidR="00FF31F5" w:rsidRPr="00FF31F5" w:rsidRDefault="00FF31F5" w:rsidP="00FF31F5">
      <w:pPr>
        <w:jc w:val="both"/>
      </w:pPr>
      <w:r w:rsidRPr="00FF31F5">
        <w:rPr>
          <w:i/>
          <w:iCs/>
        </w:rPr>
        <w:t>Fundamento:</w:t>
      </w:r>
      <w:r w:rsidRPr="00FF31F5">
        <w:t> Jurisprudencia 1a./J.25/2005 de la SCJN; artículo 3 de la Ley Orgánica del TFJA.</w:t>
      </w:r>
    </w:p>
    <w:p w14:paraId="60E6EA15" w14:textId="77777777" w:rsidR="00FF31F5" w:rsidRPr="00FF31F5" w:rsidRDefault="00FF31F5" w:rsidP="00FF31F5">
      <w:pPr>
        <w:jc w:val="both"/>
      </w:pPr>
      <w:r w:rsidRPr="00FF31F5">
        <w:rPr>
          <w:b/>
          <w:bCs/>
        </w:rPr>
        <w:t>5. La reforma al artículo 34 del CFF (2007) eliminó el carácter vinculante de las consultas fiscales</w:t>
      </w:r>
      <w:r w:rsidRPr="00FF31F5">
        <w:br/>
        <w:t>El propósito fue evitar que el particular quedara atrapado por un criterio administrativo previo y adverso. La consulta es un mero medio de certeza, no vinculante.</w:t>
      </w:r>
    </w:p>
    <w:p w14:paraId="15AF0EF5" w14:textId="77777777" w:rsidR="00FF31F5" w:rsidRPr="00FF31F5" w:rsidRDefault="00FF31F5" w:rsidP="00FF31F5">
      <w:pPr>
        <w:jc w:val="both"/>
      </w:pPr>
      <w:r w:rsidRPr="00FF31F5">
        <w:rPr>
          <w:i/>
          <w:iCs/>
        </w:rPr>
        <w:lastRenderedPageBreak/>
        <w:t>Fundamento:</w:t>
      </w:r>
      <w:r w:rsidRPr="00FF31F5">
        <w:t> Exposición de motivos de la reforma al artículo 34 del CFF (2007).</w:t>
      </w:r>
    </w:p>
    <w:p w14:paraId="77DD92FC" w14:textId="77777777" w:rsidR="00FF31F5" w:rsidRPr="00FF31F5" w:rsidRDefault="00FF31F5" w:rsidP="00FF31F5">
      <w:pPr>
        <w:jc w:val="both"/>
      </w:pPr>
      <w:r w:rsidRPr="00FF31F5">
        <w:rPr>
          <w:b/>
          <w:bCs/>
        </w:rPr>
        <w:t>6. La falta de interés jurídico es causal de improcedencia y sobreseimiento. El acto debe irrumpir en la esfera jurídica del gobernado de manera actual y real, no potencial</w:t>
      </w:r>
      <w:r w:rsidRPr="00FF31F5">
        <w:br/>
        <w:t>Si el SAT aún no ha aplicado el criterio del APA en una auditoría, el agravio es meramente potencial. Sin afectación real, no hay interés jurídico.</w:t>
      </w:r>
    </w:p>
    <w:p w14:paraId="0A5CC06A" w14:textId="77777777" w:rsidR="00FF31F5" w:rsidRPr="00FF31F5" w:rsidRDefault="00FF31F5" w:rsidP="00FF31F5">
      <w:pPr>
        <w:jc w:val="both"/>
      </w:pPr>
      <w:r w:rsidRPr="00FF31F5">
        <w:rPr>
          <w:i/>
          <w:iCs/>
        </w:rPr>
        <w:t>Fundamento:</w:t>
      </w:r>
      <w:r w:rsidRPr="00FF31F5">
        <w:t> Artículo 8, fracción I de la LFCA; artículo 3 de la Ley Orgánica del TFJA.</w:t>
      </w:r>
    </w:p>
    <w:p w14:paraId="234E6785" w14:textId="77777777" w:rsidR="00FF31F5" w:rsidRPr="00FF31F5" w:rsidRDefault="00FF31F5" w:rsidP="00FF31F5">
      <w:pPr>
        <w:jc w:val="both"/>
      </w:pPr>
      <w:r w:rsidRPr="00FF31F5">
        <w:rPr>
          <w:b/>
          <w:bCs/>
        </w:rPr>
        <w:t>7. No existe un derecho a impugnar una metodología de precios de transferencia (APA) en abstracto</w:t>
      </w:r>
      <w:r w:rsidRPr="00FF31F5">
        <w:br/>
        <w:t>El derecho a la tutela judicial efectiva surge cuando esa metodología se traduce en un crédito fiscal líquido o en una determinación que afecte la situación fiscal.</w:t>
      </w:r>
    </w:p>
    <w:p w14:paraId="11E617F6" w14:textId="77777777" w:rsidR="00FF31F5" w:rsidRPr="00FF31F5" w:rsidRDefault="00FF31F5" w:rsidP="00FF31F5">
      <w:pPr>
        <w:jc w:val="both"/>
      </w:pPr>
      <w:r w:rsidRPr="00FF31F5">
        <w:rPr>
          <w:i/>
          <w:iCs/>
        </w:rPr>
        <w:t>Fundamento:</w:t>
      </w:r>
      <w:r w:rsidRPr="00FF31F5">
        <w:t> Artículo 8 de la LFCA; artículo 3, fracción II de la Ley Orgánica del TFJA.</w:t>
      </w:r>
    </w:p>
    <w:p w14:paraId="4331E626" w14:textId="77777777" w:rsidR="00FF31F5" w:rsidRPr="00FF31F5" w:rsidRDefault="00FF31F5" w:rsidP="00FF31F5">
      <w:pPr>
        <w:jc w:val="both"/>
      </w:pPr>
      <w:r w:rsidRPr="00FF31F5">
        <w:rPr>
          <w:b/>
          <w:bCs/>
        </w:rPr>
        <w:t>8. La carga de la prueba de la afectación al interés jurídico recae en el actor</w:t>
      </w:r>
      <w:r w:rsidRPr="00FF31F5">
        <w:br/>
        <w:t>Manifestar desacuerdo con un margen de utilidad o una metodología no es suficiente. Se necesita acreditar que se aplicó la metodología o que el SAT la requirió.</w:t>
      </w:r>
    </w:p>
    <w:p w14:paraId="6C5718F8" w14:textId="77777777" w:rsidR="00FF31F5" w:rsidRPr="00FF31F5" w:rsidRDefault="00FF31F5" w:rsidP="00FF31F5">
      <w:pPr>
        <w:jc w:val="both"/>
      </w:pPr>
      <w:r w:rsidRPr="00FF31F5">
        <w:rPr>
          <w:i/>
          <w:iCs/>
        </w:rPr>
        <w:t>Fundamento:</w:t>
      </w:r>
      <w:r w:rsidRPr="00FF31F5">
        <w:t> Artículo 40 de la LFCA; artículo 119 del CFF.</w:t>
      </w:r>
    </w:p>
    <w:p w14:paraId="6465C1C6" w14:textId="77777777" w:rsidR="00FF31F5" w:rsidRPr="00FF31F5" w:rsidRDefault="00FF31F5" w:rsidP="00FF31F5">
      <w:pPr>
        <w:jc w:val="both"/>
      </w:pPr>
      <w:r w:rsidRPr="00FF31F5">
        <w:rPr>
          <w:b/>
          <w:bCs/>
        </w:rPr>
        <w:t>9. Los procedimientos de consulta fiscal (artículo 34) y de APA (artículo 34-A) tienen como finalidad dar certeza, no crear resoluciones definitivas</w:t>
      </w:r>
      <w:r w:rsidRPr="00FF31F5">
        <w:br/>
        <w:t>Son instrumentos de colaboración, no de litigio. El APA es una herramienta de planeación, no de litigio.</w:t>
      </w:r>
    </w:p>
    <w:p w14:paraId="2EC7C77C" w14:textId="77777777" w:rsidR="00FF31F5" w:rsidRPr="00FF31F5" w:rsidRDefault="00FF31F5" w:rsidP="00FF31F5">
      <w:pPr>
        <w:jc w:val="both"/>
      </w:pPr>
      <w:r w:rsidRPr="00FF31F5">
        <w:rPr>
          <w:i/>
          <w:iCs/>
        </w:rPr>
        <w:t>Fundamento:</w:t>
      </w:r>
      <w:r w:rsidRPr="00FF31F5">
        <w:t> Exposición de motivos del artículo 34-A del CFF (1996) y del artículo 34 del CFF (2007).</w:t>
      </w:r>
    </w:p>
    <w:p w14:paraId="413CB1DE" w14:textId="77777777" w:rsidR="00FF31F5" w:rsidRPr="00FF31F5" w:rsidRDefault="00FF31F5" w:rsidP="00FF31F5">
      <w:pPr>
        <w:jc w:val="both"/>
      </w:pPr>
      <w:r w:rsidRPr="00FF31F5">
        <w:rPr>
          <w:b/>
          <w:bCs/>
        </w:rPr>
        <w:t>10. El sobreseimiento del juicio es firme y no permite entrar al estudio de fondo de la metodología de precios de transferencia</w:t>
      </w:r>
      <w:r w:rsidRPr="00FF31F5">
        <w:br/>
        <w:t>El mejor momento para discutir la metodología de un APA no es al recibir la respuesta, sino en la auditoría, cuando el SAT emita una resolución definitiva determinando un crédito fiscal.</w:t>
      </w:r>
    </w:p>
    <w:p w14:paraId="508078F9" w14:textId="77777777" w:rsidR="00FF31F5" w:rsidRPr="00FF31F5" w:rsidRDefault="00FF31F5" w:rsidP="00FF31F5">
      <w:pPr>
        <w:jc w:val="both"/>
      </w:pPr>
      <w:r w:rsidRPr="00FF31F5">
        <w:rPr>
          <w:i/>
          <w:iCs/>
        </w:rPr>
        <w:t>Fundamento:</w:t>
      </w:r>
      <w:r w:rsidRPr="00FF31F5">
        <w:t> Artículo 8, fracción I de la LFCA; artículo 3 de la Ley Orgánica del TFJA.</w:t>
      </w:r>
    </w:p>
    <w:p w14:paraId="6BADD4CD" w14:textId="77777777" w:rsidR="00FF31F5" w:rsidRPr="00FF31F5" w:rsidRDefault="00FF31F5" w:rsidP="00FF31F5">
      <w:pPr>
        <w:jc w:val="both"/>
      </w:pPr>
      <w:r w:rsidRPr="00FF31F5">
        <w:rPr>
          <w:b/>
          <w:bCs/>
        </w:rPr>
        <w:t>Fundamento legal completo del caso</w:t>
      </w:r>
    </w:p>
    <w:p w14:paraId="06C9AF57" w14:textId="77777777" w:rsidR="00FF31F5" w:rsidRPr="00FF31F5" w:rsidRDefault="00FF31F5" w:rsidP="00FF31F5">
      <w:pPr>
        <w:jc w:val="both"/>
      </w:pPr>
      <w:r w:rsidRPr="00FF31F5">
        <w:rPr>
          <w:i/>
          <w:iCs/>
        </w:rPr>
        <w:t>Legislación aplicable:</w:t>
      </w:r>
      <w:r w:rsidRPr="00FF31F5">
        <w:t> Artículos 34-A, 34 párrafo cuarto del CFF; artículo 3 de la Ley Orgánica del TFJA; artículos 8 fracción I, 40 de la LFCA; artículo 119 del CFF.</w:t>
      </w:r>
    </w:p>
    <w:p w14:paraId="0258619E" w14:textId="77777777" w:rsidR="00FF31F5" w:rsidRPr="00FF31F5" w:rsidRDefault="00FF31F5" w:rsidP="00FF31F5">
      <w:pPr>
        <w:jc w:val="both"/>
      </w:pPr>
      <w:r w:rsidRPr="00FF31F5">
        <w:rPr>
          <w:i/>
          <w:iCs/>
        </w:rPr>
        <w:lastRenderedPageBreak/>
        <w:t>Jurisprudencia:</w:t>
      </w:r>
      <w:r w:rsidRPr="00FF31F5">
        <w:t> Tesis 2a. X/2003; 1a./J.25/2005 de la SCJN; exposiciones de motivos de 1996 y 2007.</w:t>
      </w:r>
    </w:p>
    <w:p w14:paraId="13A5A90B" w14:textId="77777777" w:rsidR="00FF31F5" w:rsidRPr="00FF31F5" w:rsidRDefault="00FF31F5" w:rsidP="00FF31F5">
      <w:pPr>
        <w:jc w:val="both"/>
      </w:pPr>
      <w:r w:rsidRPr="00FF31F5">
        <w:rPr>
          <w:b/>
          <w:bCs/>
        </w:rPr>
        <w:t>Referencia al expediente completo</w:t>
      </w:r>
      <w:r w:rsidRPr="00FF31F5">
        <w:br/>
        <w:t>El expediente 5878/21-17-09-6/1640/24-PL-09-04 puede ser consultado en el TFJA o SISE.</w:t>
      </w:r>
    </w:p>
    <w:p w14:paraId="5552B8C7" w14:textId="77777777" w:rsidR="00FF31F5" w:rsidRPr="00FF31F5" w:rsidRDefault="00FF31F5" w:rsidP="00FF31F5">
      <w:pPr>
        <w:jc w:val="both"/>
      </w:pPr>
      <w:proofErr w:type="spellStart"/>
      <w:r w:rsidRPr="00FF31F5">
        <w:rPr>
          <w:b/>
          <w:bCs/>
        </w:rPr>
        <w:t>Checklist</w:t>
      </w:r>
      <w:proofErr w:type="spellEnd"/>
      <w:r w:rsidRPr="00FF31F5">
        <w:rPr>
          <w:b/>
          <w:bCs/>
        </w:rPr>
        <w:t xml:space="preserve"> de defensa para el asesor fiscal</w:t>
      </w:r>
    </w:p>
    <w:p w14:paraId="61879A75" w14:textId="77777777" w:rsidR="00FF31F5" w:rsidRPr="00FF31F5" w:rsidRDefault="00FF31F5" w:rsidP="00FF31F5">
      <w:pPr>
        <w:numPr>
          <w:ilvl w:val="0"/>
          <w:numId w:val="22"/>
        </w:numPr>
        <w:jc w:val="both"/>
      </w:pPr>
      <w:r w:rsidRPr="00FF31F5">
        <w:t>Si el cliente está pensando en solicitar un APA unilateral, explicar que NO es un blindaje. El SAT no está obligado a respetarlo (artículo 34, párrafo cuarto del CFF). Para certeza real, buscar APA bilateral o multilateral.</w:t>
      </w:r>
    </w:p>
    <w:p w14:paraId="2A3D777C" w14:textId="77777777" w:rsidR="00FF31F5" w:rsidRPr="00FF31F5" w:rsidRDefault="00FF31F5" w:rsidP="00FF31F5">
      <w:pPr>
        <w:numPr>
          <w:ilvl w:val="0"/>
          <w:numId w:val="22"/>
        </w:numPr>
        <w:jc w:val="both"/>
      </w:pPr>
      <w:r w:rsidRPr="00FF31F5">
        <w:t>Si ya recibió una resolución desfavorable del SAT en un APA, NO impugnarla. El Tribunal sobreseerá. Guardar el oficio y esperar a que determinen un crédito fiscal.</w:t>
      </w:r>
    </w:p>
    <w:p w14:paraId="131DA8FD" w14:textId="77777777" w:rsidR="00FF31F5" w:rsidRPr="00FF31F5" w:rsidRDefault="00FF31F5" w:rsidP="00FF31F5">
      <w:pPr>
        <w:numPr>
          <w:ilvl w:val="0"/>
          <w:numId w:val="22"/>
        </w:numPr>
        <w:jc w:val="both"/>
      </w:pPr>
      <w:r w:rsidRPr="00FF31F5">
        <w:t>Si ya recibió una resolución favorable, tampoco confiar. Siga manteniendo documentación de precios de transferencia como si no tuviera resolución.</w:t>
      </w:r>
    </w:p>
    <w:p w14:paraId="73E8BCB0" w14:textId="77777777" w:rsidR="00FF31F5" w:rsidRPr="00FF31F5" w:rsidRDefault="00FF31F5" w:rsidP="00FF31F5">
      <w:pPr>
        <w:numPr>
          <w:ilvl w:val="0"/>
          <w:numId w:val="22"/>
        </w:numPr>
        <w:jc w:val="both"/>
      </w:pPr>
      <w:r w:rsidRPr="00FF31F5">
        <w:t>Revisar el contrato de maquila y el estudio de precios de transferencia. Asegurarse de que la metodología sea defendible por sí misma.</w:t>
      </w:r>
    </w:p>
    <w:p w14:paraId="429B906B" w14:textId="77777777" w:rsidR="00FF31F5" w:rsidRPr="00FF31F5" w:rsidRDefault="00FF31F5" w:rsidP="00FF31F5">
      <w:pPr>
        <w:numPr>
          <w:ilvl w:val="0"/>
          <w:numId w:val="22"/>
        </w:numPr>
        <w:jc w:val="both"/>
      </w:pPr>
      <w:r w:rsidRPr="00FF31F5">
        <w:t>Documentar los precios de transferencia como si el APA no existiera: estudio de comparabilidad, análisis funcional, selección del método más apropiado (artículo 76, fracción X del CFF).</w:t>
      </w:r>
    </w:p>
    <w:p w14:paraId="650022AC" w14:textId="77777777" w:rsidR="00FF31F5" w:rsidRPr="00FF31F5" w:rsidRDefault="00FF31F5" w:rsidP="00FF31F5">
      <w:pPr>
        <w:numPr>
          <w:ilvl w:val="0"/>
          <w:numId w:val="22"/>
        </w:numPr>
        <w:jc w:val="both"/>
      </w:pPr>
      <w:r w:rsidRPr="00FF31F5">
        <w:t>Si el SAT inicia una auditoría y aplica los criterios del APA, recién ahí impugnar. El acto definitivo es la resolución que determina el crédito fiscal.</w:t>
      </w:r>
    </w:p>
    <w:p w14:paraId="513F1D77" w14:textId="77777777" w:rsidR="00FF31F5" w:rsidRPr="00FF31F5" w:rsidRDefault="00FF31F5" w:rsidP="00FF31F5">
      <w:pPr>
        <w:jc w:val="both"/>
      </w:pPr>
      <w:r w:rsidRPr="00FF31F5">
        <w:rPr>
          <w:b/>
          <w:bCs/>
        </w:rPr>
        <w:t>Nota final para el asesor fiscal:</w:t>
      </w:r>
      <w:r w:rsidRPr="00FF31F5">
        <w:t> El APA unilateral (artículo 34-A del CFF) es una espada de doble filo. Por un lado, puede dar certeza al contribuyente sobre el criterio del SAT. Por otro lado, si el criterio es desfavorable, el contribuyente no puede impugnarlo hasta que el SAT lo aplique en una auditoría. La ley es clara: las respuestas a consultas no son obligatorias para los particulares y no son resoluciones definitivas. El error más común es pensar que el APA es un "permiso" o una "aprobación" del SAT. No lo es. Es una opinión técnica. El SAT no está vinculado por su propia opinión. La lección es clara: en materia fiscal, la paciencia no es solo una virtud. Es una estrategia. No pelee opiniones. Pelee créditos fiscales.</w:t>
      </w:r>
    </w:p>
    <w:p w14:paraId="7D5A372B" w14:textId="77777777" w:rsidR="00FF31F5" w:rsidRPr="00FF31F5" w:rsidRDefault="00000000" w:rsidP="00FF31F5">
      <w:pPr>
        <w:jc w:val="both"/>
      </w:pPr>
      <w:r>
        <w:pict w14:anchorId="1E89EFE9">
          <v:rect id="_x0000_i1043" style="width:0;height:.75pt" o:hralign="center" o:hrstd="t" o:hr="t" fillcolor="#a0a0a0" stroked="f"/>
        </w:pict>
      </w:r>
    </w:p>
    <w:p w14:paraId="09035DC4" w14:textId="77777777" w:rsidR="00FF31F5" w:rsidRPr="00FF31F5" w:rsidRDefault="00FF31F5" w:rsidP="00FF31F5">
      <w:pPr>
        <w:jc w:val="both"/>
        <w:rPr>
          <w:b/>
          <w:bCs/>
        </w:rPr>
      </w:pPr>
      <w:r w:rsidRPr="00FF31F5">
        <w:rPr>
          <w:b/>
          <w:bCs/>
        </w:rPr>
        <w:t>Apéndice 18 – Capítulo 18</w:t>
      </w:r>
    </w:p>
    <w:p w14:paraId="6130E678" w14:textId="77777777" w:rsidR="00FF31F5" w:rsidRPr="00FF31F5" w:rsidRDefault="00FF31F5" w:rsidP="00FF31F5">
      <w:pPr>
        <w:jc w:val="both"/>
      </w:pPr>
      <w:r w:rsidRPr="00FF31F5">
        <w:rPr>
          <w:b/>
          <w:bCs/>
        </w:rPr>
        <w:lastRenderedPageBreak/>
        <w:t>Persona física con actividad empresarial: el SAT le exige lo mismo que a una empresa, pero sin sus herramientas - los 7 puntos ciegos</w:t>
      </w:r>
    </w:p>
    <w:p w14:paraId="2C066143" w14:textId="77777777" w:rsidR="00FF31F5" w:rsidRPr="00FF31F5" w:rsidRDefault="00FF31F5" w:rsidP="00FF31F5">
      <w:pPr>
        <w:jc w:val="both"/>
      </w:pPr>
      <w:r w:rsidRPr="00FF31F5">
        <w:rPr>
          <w:b/>
          <w:bCs/>
        </w:rPr>
        <w:t>Expediente:</w:t>
      </w:r>
      <w:r w:rsidRPr="00FF31F5">
        <w:t> 1047/22-15-01-3 del Tribunal Federal de Justicia Administrativa (Sala Regional del Sureste)</w:t>
      </w:r>
    </w:p>
    <w:p w14:paraId="0BCE0EC0" w14:textId="77777777" w:rsidR="00FF31F5" w:rsidRPr="00FF31F5" w:rsidRDefault="00FF31F5" w:rsidP="00FF31F5">
      <w:pPr>
        <w:jc w:val="both"/>
      </w:pPr>
      <w:r w:rsidRPr="00FF31F5">
        <w:rPr>
          <w:b/>
          <w:bCs/>
        </w:rPr>
        <w:t>Los 10 puntos técnicos más relevantes para el asesor fiscal</w:t>
      </w:r>
    </w:p>
    <w:p w14:paraId="7B189332" w14:textId="77777777" w:rsidR="00FF31F5" w:rsidRPr="00FF31F5" w:rsidRDefault="00FF31F5" w:rsidP="00FF31F5">
      <w:pPr>
        <w:jc w:val="both"/>
      </w:pPr>
      <w:r w:rsidRPr="00FF31F5">
        <w:rPr>
          <w:b/>
          <w:bCs/>
        </w:rPr>
        <w:t>1. La carga de la prueba para desvirtuar la presunción de ingresos por depósitos bancarios recae en el contribuyente</w:t>
      </w:r>
      <w:r w:rsidRPr="00FF31F5">
        <w:br/>
        <w:t>El artículo 59, fracción III del CFF establece que todo depósito que no corresponda a registros contables se presume ingreso. Para desvirtuarlo, se requiere documentación que acredite el origen (gasto previo, préstamo, etc.).</w:t>
      </w:r>
    </w:p>
    <w:p w14:paraId="78D3CEE2" w14:textId="77777777" w:rsidR="00FF31F5" w:rsidRPr="00FF31F5" w:rsidRDefault="00FF31F5" w:rsidP="00FF31F5">
      <w:pPr>
        <w:jc w:val="both"/>
      </w:pPr>
      <w:r w:rsidRPr="00FF31F5">
        <w:rPr>
          <w:i/>
          <w:iCs/>
        </w:rPr>
        <w:t>Fundamento:</w:t>
      </w:r>
      <w:r w:rsidRPr="00FF31F5">
        <w:t> Artículo 59, fracción III del CFF; artículo 40 de la LFCA.</w:t>
      </w:r>
    </w:p>
    <w:p w14:paraId="70B4BFB1" w14:textId="77777777" w:rsidR="00FF31F5" w:rsidRPr="00FF31F5" w:rsidRDefault="00FF31F5" w:rsidP="00FF31F5">
      <w:pPr>
        <w:jc w:val="both"/>
      </w:pPr>
      <w:r w:rsidRPr="00FF31F5">
        <w:rPr>
          <w:b/>
          <w:bCs/>
        </w:rPr>
        <w:t>2. Para que un depósito sea calificado como "reembolso", se debe probar el gasto previo y su registro contable</w:t>
      </w:r>
      <w:r w:rsidRPr="00FF31F5">
        <w:br/>
        <w:t>El término "reembolso" implica que el contribuyente pagó primero con sus propios recursos y después recibió la devolución. Sin gasto previo, no hay reembolso.</w:t>
      </w:r>
    </w:p>
    <w:p w14:paraId="612AD26C" w14:textId="77777777" w:rsidR="00FF31F5" w:rsidRPr="00FF31F5" w:rsidRDefault="00FF31F5" w:rsidP="00FF31F5">
      <w:pPr>
        <w:jc w:val="both"/>
      </w:pPr>
      <w:r w:rsidRPr="00FF31F5">
        <w:rPr>
          <w:i/>
          <w:iCs/>
        </w:rPr>
        <w:t>Fundamento:</w:t>
      </w:r>
      <w:r w:rsidRPr="00FF31F5">
        <w:t> Artículo 28 del CFF; artículo 40 de la LFCA.</w:t>
      </w:r>
    </w:p>
    <w:p w14:paraId="42D77371" w14:textId="77777777" w:rsidR="00FF31F5" w:rsidRPr="00FF31F5" w:rsidRDefault="00FF31F5" w:rsidP="00FF31F5">
      <w:pPr>
        <w:jc w:val="both"/>
      </w:pPr>
      <w:r w:rsidRPr="00FF31F5">
        <w:rPr>
          <w:b/>
          <w:bCs/>
        </w:rPr>
        <w:t>3. Las transferencias bancarias con concepto genérico no sustituyen la documentación comprobatoria</w:t>
      </w:r>
      <w:r w:rsidRPr="00FF31F5">
        <w:br/>
        <w:t>La sola etiqueta bancaria ("préstamo", "reembolso") no es prueba idónea del origen. Se necesita documentación que respalde la afirmación.</w:t>
      </w:r>
    </w:p>
    <w:p w14:paraId="5E7499B4" w14:textId="77777777" w:rsidR="00FF31F5" w:rsidRPr="00FF31F5" w:rsidRDefault="00FF31F5" w:rsidP="00FF31F5">
      <w:pPr>
        <w:jc w:val="both"/>
      </w:pPr>
      <w:r w:rsidRPr="00FF31F5">
        <w:rPr>
          <w:i/>
          <w:iCs/>
        </w:rPr>
        <w:t>Fundamento:</w:t>
      </w:r>
      <w:r w:rsidRPr="00FF31F5">
        <w:t> Artículo 46, fracción I de la LFCA; artículo 40 de la LFCA.</w:t>
      </w:r>
    </w:p>
    <w:p w14:paraId="3A397E8F" w14:textId="77777777" w:rsidR="00FF31F5" w:rsidRPr="00FF31F5" w:rsidRDefault="00FF31F5" w:rsidP="00FF31F5">
      <w:pPr>
        <w:jc w:val="both"/>
      </w:pPr>
      <w:r w:rsidRPr="00FF31F5">
        <w:rPr>
          <w:b/>
          <w:bCs/>
        </w:rPr>
        <w:t>4. Los contratos privados carecen de valor probatorio pleno si no tienen "fecha cierta" (jurisprudencia 2a./J. 161/2019)</w:t>
      </w:r>
      <w:r w:rsidRPr="00FF31F5">
        <w:br/>
        <w:t>Para que produzcan efectos frente al SAT, deben inscribirse en el Registro Público, presentarse ante notario, o acreditarse su existencia desde antes de la auditoría.</w:t>
      </w:r>
    </w:p>
    <w:p w14:paraId="4AB90A91" w14:textId="77777777" w:rsidR="00FF31F5" w:rsidRPr="00FF31F5" w:rsidRDefault="00FF31F5" w:rsidP="00FF31F5">
      <w:pPr>
        <w:jc w:val="both"/>
      </w:pPr>
      <w:r w:rsidRPr="00FF31F5">
        <w:rPr>
          <w:i/>
          <w:iCs/>
        </w:rPr>
        <w:t>Fundamento:</w:t>
      </w:r>
      <w:r w:rsidRPr="00FF31F5">
        <w:t> Jurisprudencia 2a./J. 161/2019 (10a.) de la SCJN; artículo 46 de la LFCA.</w:t>
      </w:r>
    </w:p>
    <w:p w14:paraId="37D7359E" w14:textId="77777777" w:rsidR="00FF31F5" w:rsidRPr="00FF31F5" w:rsidRDefault="00FF31F5" w:rsidP="00FF31F5">
      <w:pPr>
        <w:jc w:val="both"/>
      </w:pPr>
      <w:r w:rsidRPr="00FF31F5">
        <w:rPr>
          <w:b/>
          <w:bCs/>
        </w:rPr>
        <w:t>5. El acreditamiento del IVA exige que el bien o servicio sea "estrictamente indispensable" (artículo 5 de la LIVA en relación con el artículo 105 de la LISR)</w:t>
      </w:r>
      <w:r w:rsidRPr="00FF31F5">
        <w:br/>
        <w:t>El gasto debe estar directamente relacionado con la actividad, ser necesario para su desarrollo, y su ausencia afectaría los ingresos. La sola afirmación "es indispensable" no es suficiente.</w:t>
      </w:r>
    </w:p>
    <w:p w14:paraId="5630B92D" w14:textId="77777777" w:rsidR="00FF31F5" w:rsidRPr="00FF31F5" w:rsidRDefault="00FF31F5" w:rsidP="00FF31F5">
      <w:pPr>
        <w:jc w:val="both"/>
      </w:pPr>
      <w:r w:rsidRPr="00FF31F5">
        <w:rPr>
          <w:i/>
          <w:iCs/>
        </w:rPr>
        <w:lastRenderedPageBreak/>
        <w:t>Fundamento:</w:t>
      </w:r>
      <w:r w:rsidRPr="00FF31F5">
        <w:t> Artículo 5 de la LIVA; artículo 105 de la LISR; jurisprudencia 1a./J. 53/2020 (10a.) de la SCJN.</w:t>
      </w:r>
    </w:p>
    <w:p w14:paraId="263CD7D4" w14:textId="77777777" w:rsidR="00FF31F5" w:rsidRPr="00FF31F5" w:rsidRDefault="00FF31F5" w:rsidP="00FF31F5">
      <w:pPr>
        <w:jc w:val="both"/>
      </w:pPr>
      <w:r w:rsidRPr="00FF31F5">
        <w:rPr>
          <w:b/>
          <w:bCs/>
        </w:rPr>
        <w:t>6. La "indispensabilidad" se prueba con elementos objetivos, no con meras manifestaciones</w:t>
      </w:r>
      <w:r w:rsidRPr="00FF31F5">
        <w:br/>
        <w:t>Relación directa con la actividad, necesidad para alcanzar los fines del negocio, proporcionalidad con las operaciones, y beneficio real. La actora no señaló cómo los servicios impactaron en su facturación.</w:t>
      </w:r>
    </w:p>
    <w:p w14:paraId="0730A9C0" w14:textId="77777777" w:rsidR="00FF31F5" w:rsidRPr="00FF31F5" w:rsidRDefault="00FF31F5" w:rsidP="00FF31F5">
      <w:pPr>
        <w:jc w:val="both"/>
      </w:pPr>
      <w:r w:rsidRPr="00FF31F5">
        <w:rPr>
          <w:i/>
          <w:iCs/>
        </w:rPr>
        <w:t>Fundamento:</w:t>
      </w:r>
      <w:r w:rsidRPr="00FF31F5">
        <w:t> Artículo 105 de la LISR; jurisprudencia 1a./J. 53/2020 (10a.) de la SCJN.</w:t>
      </w:r>
    </w:p>
    <w:p w14:paraId="70ECD408" w14:textId="77777777" w:rsidR="00FF31F5" w:rsidRPr="00FF31F5" w:rsidRDefault="00FF31F5" w:rsidP="00FF31F5">
      <w:pPr>
        <w:jc w:val="both"/>
      </w:pPr>
      <w:r w:rsidRPr="00FF31F5">
        <w:rPr>
          <w:b/>
          <w:bCs/>
        </w:rPr>
        <w:t>7. La falta de vinculación entre el contrato y los entregables destruye la materialidad de la operación</w:t>
      </w:r>
      <w:r w:rsidRPr="00FF31F5">
        <w:br/>
        <w:t>Se requiere una cadena documental que conecte el acuerdo, la prestación del servicio y el pago. El contrato debe estar vinculado a los entregables y estos a las facturas.</w:t>
      </w:r>
    </w:p>
    <w:p w14:paraId="488F3A55" w14:textId="77777777" w:rsidR="00FF31F5" w:rsidRPr="00FF31F5" w:rsidRDefault="00FF31F5" w:rsidP="00FF31F5">
      <w:pPr>
        <w:jc w:val="both"/>
      </w:pPr>
      <w:r w:rsidRPr="00FF31F5">
        <w:rPr>
          <w:i/>
          <w:iCs/>
        </w:rPr>
        <w:t>Fundamento:</w:t>
      </w:r>
      <w:r w:rsidRPr="00FF31F5">
        <w:t> Artículo 69-B del CFF; artículo 40 de la LFCA.</w:t>
      </w:r>
    </w:p>
    <w:p w14:paraId="39BD996F" w14:textId="77777777" w:rsidR="00FF31F5" w:rsidRPr="00FF31F5" w:rsidRDefault="00FF31F5" w:rsidP="00FF31F5">
      <w:pPr>
        <w:jc w:val="both"/>
      </w:pPr>
      <w:r w:rsidRPr="00FF31F5">
        <w:rPr>
          <w:b/>
          <w:bCs/>
        </w:rPr>
        <w:t>8. La notificación personal con un tercero (empleado) es válida si se circunstancian los elementos objetivos</w:t>
      </w:r>
      <w:r w:rsidRPr="00FF31F5">
        <w:br/>
        <w:t>Si el acta de notificación describe el domicilio, características del inmueble, identificación de la empleada con credencial, su manifestación de ser "empleada", y ausencia del contribuyente, la notificación es legal.</w:t>
      </w:r>
    </w:p>
    <w:p w14:paraId="39B406E6" w14:textId="77777777" w:rsidR="00FF31F5" w:rsidRPr="00FF31F5" w:rsidRDefault="00FF31F5" w:rsidP="00FF31F5">
      <w:pPr>
        <w:jc w:val="both"/>
      </w:pPr>
      <w:r w:rsidRPr="00FF31F5">
        <w:rPr>
          <w:i/>
          <w:iCs/>
        </w:rPr>
        <w:t>Fundamento:</w:t>
      </w:r>
      <w:r w:rsidRPr="00FF31F5">
        <w:t> Jurisprudencia 2a./J. 82/2009; 2a./J. 85/2014 de la SCJN.</w:t>
      </w:r>
    </w:p>
    <w:p w14:paraId="4A797BA6" w14:textId="77777777" w:rsidR="00FF31F5" w:rsidRPr="00FF31F5" w:rsidRDefault="00FF31F5" w:rsidP="00FF31F5">
      <w:pPr>
        <w:jc w:val="both"/>
      </w:pPr>
      <w:r w:rsidRPr="00FF31F5">
        <w:rPr>
          <w:b/>
          <w:bCs/>
        </w:rPr>
        <w:t>9. El acta de asistencia del artículo 42, quinto párrafo del CFF no requiere plasmar por escrito los hechos u omisiones informados</w:t>
      </w:r>
      <w:r w:rsidRPr="00FF31F5">
        <w:br/>
        <w:t>Su finalidad es solo hacer constar la asistencia o inasistencia del contribuyente. Los hechos y omisiones se circunstancian en el oficio de observaciones (artículo 48 del CFF).</w:t>
      </w:r>
    </w:p>
    <w:p w14:paraId="31895DD5" w14:textId="77777777" w:rsidR="00FF31F5" w:rsidRPr="00FF31F5" w:rsidRDefault="00FF31F5" w:rsidP="00FF31F5">
      <w:pPr>
        <w:jc w:val="both"/>
      </w:pPr>
      <w:r w:rsidRPr="00FF31F5">
        <w:rPr>
          <w:i/>
          <w:iCs/>
        </w:rPr>
        <w:t>Fundamento:</w:t>
      </w:r>
      <w:r w:rsidRPr="00FF31F5">
        <w:t> Artículo 42, quinto párrafo del CFF; artículo 48 del CFF.</w:t>
      </w:r>
    </w:p>
    <w:p w14:paraId="7DE175A3" w14:textId="77777777" w:rsidR="00FF31F5" w:rsidRPr="00FF31F5" w:rsidRDefault="00FF31F5" w:rsidP="00FF31F5">
      <w:pPr>
        <w:jc w:val="both"/>
      </w:pPr>
      <w:r w:rsidRPr="00FF31F5">
        <w:rPr>
          <w:b/>
          <w:bCs/>
        </w:rPr>
        <w:t xml:space="preserve">10. Los plazos de caducidad de la revisión de gabinete (12 meses del artículo 46-A del CFF) concluyen con la notificación del oficio de observaciones, no con la resolución </w:t>
      </w:r>
      <w:proofErr w:type="spellStart"/>
      <w:r w:rsidRPr="00FF31F5">
        <w:rPr>
          <w:b/>
          <w:bCs/>
        </w:rPr>
        <w:t>liquidatoria</w:t>
      </w:r>
      <w:proofErr w:type="spellEnd"/>
      <w:r w:rsidRPr="00FF31F5">
        <w:br/>
        <w:t>El plazo de 12 meses vence con el oficio de observaciones. El plazo de 6 meses del artículo 50 del CFF para emitir la liquidación es independiente y se cuenta desde el fin del plazo para desvirtuar observaciones.</w:t>
      </w:r>
    </w:p>
    <w:p w14:paraId="4D6AF66F" w14:textId="77777777" w:rsidR="00FF31F5" w:rsidRPr="00FF31F5" w:rsidRDefault="00FF31F5" w:rsidP="00FF31F5">
      <w:pPr>
        <w:jc w:val="both"/>
      </w:pPr>
      <w:r w:rsidRPr="00FF31F5">
        <w:rPr>
          <w:i/>
          <w:iCs/>
        </w:rPr>
        <w:t>Fundamento:</w:t>
      </w:r>
      <w:r w:rsidRPr="00FF31F5">
        <w:t> Artículo 46-A del CFF; artículo 50 del CFF.</w:t>
      </w:r>
    </w:p>
    <w:p w14:paraId="1B7CE2DC" w14:textId="77777777" w:rsidR="00FF31F5" w:rsidRPr="00FF31F5" w:rsidRDefault="00FF31F5" w:rsidP="00FF31F5">
      <w:pPr>
        <w:jc w:val="both"/>
      </w:pPr>
      <w:r w:rsidRPr="00FF31F5">
        <w:rPr>
          <w:b/>
          <w:bCs/>
        </w:rPr>
        <w:t>Los 7 puntos ciegos críticos para la persona física</w:t>
      </w:r>
    </w:p>
    <w:p w14:paraId="2117BFEE" w14:textId="77777777" w:rsidR="00FF31F5" w:rsidRPr="00FF31F5" w:rsidRDefault="00FF31F5" w:rsidP="00FF31F5">
      <w:pPr>
        <w:jc w:val="both"/>
      </w:pPr>
      <w:r w:rsidRPr="00FF31F5">
        <w:rPr>
          <w:b/>
          <w:bCs/>
        </w:rPr>
        <w:lastRenderedPageBreak/>
        <w:t>Primer punto ciego: "La casa como oficina" (deducción mixta del inmueble)</w:t>
      </w:r>
      <w:r w:rsidRPr="00FF31F5">
        <w:br/>
        <w:t>Deducir el 100% de los servicios (luz, internet, mantenimiento) sin cumplir requisitos de afectación parcial. La ley solo permite deducir la parte proporcional al área exclusiva del negocio, con croquis y contrato de arrendamiento consigo mismo.</w:t>
      </w:r>
    </w:p>
    <w:p w14:paraId="272AD52B" w14:textId="77777777" w:rsidR="00FF31F5" w:rsidRPr="00FF31F5" w:rsidRDefault="00FF31F5" w:rsidP="00FF31F5">
      <w:pPr>
        <w:jc w:val="both"/>
      </w:pPr>
      <w:r w:rsidRPr="00FF31F5">
        <w:rPr>
          <w:i/>
          <w:iCs/>
        </w:rPr>
        <w:t>Fundamento:</w:t>
      </w:r>
      <w:r w:rsidRPr="00FF31F5">
        <w:t> Artículos 106, 110 fracción II y 111 de la LISR.</w:t>
      </w:r>
    </w:p>
    <w:p w14:paraId="3140A5F1" w14:textId="77777777" w:rsidR="00FF31F5" w:rsidRPr="00FF31F5" w:rsidRDefault="00FF31F5" w:rsidP="00FF31F5">
      <w:pPr>
        <w:jc w:val="both"/>
      </w:pPr>
      <w:r w:rsidRPr="00FF31F5">
        <w:rPr>
          <w:b/>
          <w:bCs/>
        </w:rPr>
        <w:t>Segundo punto ciego: automóvil no deducible (límites y bitácora)</w:t>
      </w:r>
      <w:r w:rsidRPr="00FF31F5">
        <w:br/>
        <w:t>Deducir vehículo de lujo sin justificación o exceder límites legales (tope de $175,000 actualizable). La falta de bitácora diaria es causal automática de rechazo.</w:t>
      </w:r>
    </w:p>
    <w:p w14:paraId="182AE7CB" w14:textId="77777777" w:rsidR="00FF31F5" w:rsidRPr="00FF31F5" w:rsidRDefault="00FF31F5" w:rsidP="00FF31F5">
      <w:pPr>
        <w:jc w:val="both"/>
      </w:pPr>
      <w:r w:rsidRPr="00FF31F5">
        <w:rPr>
          <w:i/>
          <w:iCs/>
        </w:rPr>
        <w:t>Fundamento:</w:t>
      </w:r>
      <w:r w:rsidRPr="00FF31F5">
        <w:t> Artículo 28, fracción V de la LISR.</w:t>
      </w:r>
    </w:p>
    <w:p w14:paraId="410B1709" w14:textId="77777777" w:rsidR="00FF31F5" w:rsidRPr="00FF31F5" w:rsidRDefault="00FF31F5" w:rsidP="00FF31F5">
      <w:pPr>
        <w:jc w:val="both"/>
      </w:pPr>
      <w:r w:rsidRPr="00FF31F5">
        <w:rPr>
          <w:b/>
          <w:bCs/>
        </w:rPr>
        <w:t>Tercer punto ciego: depósitos de terceros como ingresos (el "préstamo del padre")</w:t>
      </w:r>
      <w:r w:rsidRPr="00FF31F5">
        <w:br/>
        <w:t>Recibir transferencias de familiares en la cuenta del negocio y no declararlas. La ley presume que todos los depósitos son ingresos, a menos que se demuestre que son préstamos con contrato de fecha cierta y registro contable.</w:t>
      </w:r>
    </w:p>
    <w:p w14:paraId="617F8843" w14:textId="77777777" w:rsidR="00FF31F5" w:rsidRPr="00FF31F5" w:rsidRDefault="00FF31F5" w:rsidP="00FF31F5">
      <w:pPr>
        <w:jc w:val="both"/>
      </w:pPr>
      <w:r w:rsidRPr="00FF31F5">
        <w:rPr>
          <w:i/>
          <w:iCs/>
        </w:rPr>
        <w:t>Fundamento:</w:t>
      </w:r>
      <w:r w:rsidRPr="00FF31F5">
        <w:t> Artículo 110, penúltimo párrafo de la LISR; artículo 42 del CFF.</w:t>
      </w:r>
    </w:p>
    <w:p w14:paraId="749B63EE" w14:textId="77777777" w:rsidR="00FF31F5" w:rsidRPr="00FF31F5" w:rsidRDefault="00FF31F5" w:rsidP="00FF31F5">
      <w:pPr>
        <w:jc w:val="both"/>
      </w:pPr>
      <w:r w:rsidRPr="00FF31F5">
        <w:rPr>
          <w:b/>
          <w:bCs/>
        </w:rPr>
        <w:t>Cuarto punto ciego: mezcla de cuentas personales y de negocio</w:t>
      </w:r>
      <w:r w:rsidRPr="00FF31F5">
        <w:br/>
        <w:t>Utilizar cuenta personal para recibir pagos de clientes o pagar gastos del negocio. Viola el principio de entidad. El SAT puede presumir que todos los depósitos en esa cuenta son ingresos omitidos.</w:t>
      </w:r>
    </w:p>
    <w:p w14:paraId="08558964" w14:textId="77777777" w:rsidR="00FF31F5" w:rsidRPr="00FF31F5" w:rsidRDefault="00FF31F5" w:rsidP="00FF31F5">
      <w:pPr>
        <w:jc w:val="both"/>
      </w:pPr>
      <w:r w:rsidRPr="00FF31F5">
        <w:rPr>
          <w:i/>
          <w:iCs/>
        </w:rPr>
        <w:t>Fundamento:</w:t>
      </w:r>
      <w:r w:rsidRPr="00FF31F5">
        <w:t> Artículos 28, 32 y 109 de la LISR.</w:t>
      </w:r>
    </w:p>
    <w:p w14:paraId="54847268" w14:textId="77777777" w:rsidR="00FF31F5" w:rsidRPr="00FF31F5" w:rsidRDefault="00FF31F5" w:rsidP="00FF31F5">
      <w:pPr>
        <w:jc w:val="both"/>
      </w:pPr>
      <w:r w:rsidRPr="00FF31F5">
        <w:rPr>
          <w:b/>
          <w:bCs/>
        </w:rPr>
        <w:t>Quinto punto ciego: transición y caducidad de RESICO</w:t>
      </w:r>
      <w:r w:rsidRPr="00FF31F5">
        <w:br/>
        <w:t>Salir del Régimen Simplificado de Confianza (RESICO) sin ajustar la estructura de deducciones. Al caer al Régimen General, la base gravable se infla si no se llevó un control riguroso.</w:t>
      </w:r>
    </w:p>
    <w:p w14:paraId="7825D8A5" w14:textId="77777777" w:rsidR="00FF31F5" w:rsidRPr="00FF31F5" w:rsidRDefault="00FF31F5" w:rsidP="00FF31F5">
      <w:pPr>
        <w:jc w:val="both"/>
      </w:pPr>
      <w:r w:rsidRPr="00FF31F5">
        <w:rPr>
          <w:i/>
          <w:iCs/>
        </w:rPr>
        <w:t>Fundamento:</w:t>
      </w:r>
      <w:r w:rsidRPr="00FF31F5">
        <w:t> Título IV, Capítulo IV (arts. 113-E a 113-E-13) y Capítulo II de la LISR.</w:t>
      </w:r>
    </w:p>
    <w:p w14:paraId="5EF51C1D" w14:textId="77777777" w:rsidR="00FF31F5" w:rsidRPr="00FF31F5" w:rsidRDefault="00FF31F5" w:rsidP="00FF31F5">
      <w:pPr>
        <w:jc w:val="both"/>
      </w:pPr>
      <w:r w:rsidRPr="00FF31F5">
        <w:rPr>
          <w:b/>
          <w:bCs/>
        </w:rPr>
        <w:t>Sexto punto ciego: falta de materialidad (artículos 69-B y 59 del CFF)</w:t>
      </w:r>
      <w:r w:rsidRPr="00FF31F5">
        <w:br/>
        <w:t>Deducir facturas de proveedores que posteriormente son descubiertos como "fantasmas". La carga de la prueba recae en el contribuyente.</w:t>
      </w:r>
    </w:p>
    <w:p w14:paraId="7C446D35" w14:textId="77777777" w:rsidR="00FF31F5" w:rsidRPr="00FF31F5" w:rsidRDefault="00FF31F5" w:rsidP="00FF31F5">
      <w:pPr>
        <w:jc w:val="both"/>
      </w:pPr>
      <w:r w:rsidRPr="00FF31F5">
        <w:rPr>
          <w:i/>
          <w:iCs/>
        </w:rPr>
        <w:t>Fundamento:</w:t>
      </w:r>
      <w:r w:rsidRPr="00FF31F5">
        <w:t> Artículo 69-B del CFF; artículo 59 del CFF.</w:t>
      </w:r>
    </w:p>
    <w:p w14:paraId="681E80F0" w14:textId="77777777" w:rsidR="00FF31F5" w:rsidRPr="00FF31F5" w:rsidRDefault="00FF31F5" w:rsidP="00FF31F5">
      <w:pPr>
        <w:jc w:val="both"/>
      </w:pPr>
      <w:r w:rsidRPr="00FF31F5">
        <w:rPr>
          <w:b/>
          <w:bCs/>
        </w:rPr>
        <w:t>Séptimo punto ciego: transferencias entre cuentas propias y discrepancia fiscal</w:t>
      </w:r>
      <w:r w:rsidRPr="00FF31F5">
        <w:br/>
        <w:t>Mover dinero de la cuenta de negocio a la personal y no reportarlo en la declaración anual. El algoritmo del SAT detecta que el dinero gastado supera los ingresos declarados.</w:t>
      </w:r>
    </w:p>
    <w:p w14:paraId="75456C99" w14:textId="77777777" w:rsidR="00FF31F5" w:rsidRPr="00FF31F5" w:rsidRDefault="00FF31F5" w:rsidP="00FF31F5">
      <w:pPr>
        <w:jc w:val="both"/>
      </w:pPr>
      <w:r w:rsidRPr="00FF31F5">
        <w:rPr>
          <w:i/>
          <w:iCs/>
        </w:rPr>
        <w:lastRenderedPageBreak/>
        <w:t>Fundamento:</w:t>
      </w:r>
      <w:r w:rsidRPr="00FF31F5">
        <w:t> Artículo 91 de la LISR (discrepancia fiscal).</w:t>
      </w:r>
    </w:p>
    <w:p w14:paraId="03641BA0" w14:textId="77777777" w:rsidR="00FF31F5" w:rsidRPr="00FF31F5" w:rsidRDefault="00FF31F5" w:rsidP="00FF31F5">
      <w:pPr>
        <w:jc w:val="both"/>
      </w:pPr>
      <w:r w:rsidRPr="00FF31F5">
        <w:rPr>
          <w:b/>
          <w:bCs/>
        </w:rPr>
        <w:t>Fundamento legal completo del caso</w:t>
      </w:r>
    </w:p>
    <w:p w14:paraId="32848E49" w14:textId="77777777" w:rsidR="00FF31F5" w:rsidRPr="00FF31F5" w:rsidRDefault="00FF31F5" w:rsidP="00FF31F5">
      <w:pPr>
        <w:jc w:val="both"/>
      </w:pPr>
      <w:r w:rsidRPr="00FF31F5">
        <w:rPr>
          <w:i/>
          <w:iCs/>
        </w:rPr>
        <w:t>Legislación aplicable:</w:t>
      </w:r>
      <w:r w:rsidRPr="00FF31F5">
        <w:t> Artículo 59 fracción III, 46-A, 50, 48, 42 quinto párrafo, 28 del CFF; artículos 5, 105 de la LIVA; artículos 28 fracción V, 106, 110 penúltimo párrafo, 91 de la LISR; artículos 40, 46 de la LFCA.</w:t>
      </w:r>
    </w:p>
    <w:p w14:paraId="22535319" w14:textId="77777777" w:rsidR="00FF31F5" w:rsidRPr="00FF31F5" w:rsidRDefault="00FF31F5" w:rsidP="00FF31F5">
      <w:pPr>
        <w:jc w:val="both"/>
        <w:rPr>
          <w:lang w:val="fr-FR"/>
        </w:rPr>
      </w:pPr>
      <w:r w:rsidRPr="00FF31F5">
        <w:rPr>
          <w:i/>
          <w:iCs/>
        </w:rPr>
        <w:t>Jurisprudencia:</w:t>
      </w:r>
      <w:r w:rsidRPr="00FF31F5">
        <w:t xml:space="preserve"> 2a./J. 161/2019 (10a.); 2a./J. </w:t>
      </w:r>
      <w:r w:rsidRPr="00FF31F5">
        <w:rPr>
          <w:lang w:val="fr-FR"/>
        </w:rPr>
        <w:t>82/2009; 2a./J. 85/2014; 1a./J. 53/2020 (10a.) de la SCJN.</w:t>
      </w:r>
    </w:p>
    <w:p w14:paraId="71A7B1FB" w14:textId="77777777" w:rsidR="00FF31F5" w:rsidRPr="00FF31F5" w:rsidRDefault="00FF31F5" w:rsidP="00FF31F5">
      <w:pPr>
        <w:jc w:val="both"/>
      </w:pPr>
      <w:r w:rsidRPr="00FF31F5">
        <w:rPr>
          <w:b/>
          <w:bCs/>
        </w:rPr>
        <w:t>Referencia al expediente completo</w:t>
      </w:r>
      <w:r w:rsidRPr="00FF31F5">
        <w:br/>
        <w:t>El expediente 1047/22-15-01-3 puede ser consultado en el TFJA o SISE.</w:t>
      </w:r>
    </w:p>
    <w:p w14:paraId="4963EA76" w14:textId="77777777" w:rsidR="00FF31F5" w:rsidRPr="00FF31F5" w:rsidRDefault="00FF31F5" w:rsidP="00FF31F5">
      <w:pPr>
        <w:jc w:val="both"/>
      </w:pPr>
      <w:r w:rsidRPr="00FF31F5">
        <w:rPr>
          <w:b/>
          <w:bCs/>
        </w:rPr>
        <w:t>Protocolo de defensa para el asesor fiscal</w:t>
      </w:r>
    </w:p>
    <w:p w14:paraId="19268983" w14:textId="77777777" w:rsidR="00FF31F5" w:rsidRPr="00FF31F5" w:rsidRDefault="00FF31F5" w:rsidP="00FF31F5">
      <w:pPr>
        <w:jc w:val="both"/>
      </w:pPr>
      <w:r w:rsidRPr="00FF31F5">
        <w:t>Para blindar a la persona física con actividad empresarial:</w:t>
      </w:r>
    </w:p>
    <w:p w14:paraId="7676157E" w14:textId="77777777" w:rsidR="00FF31F5" w:rsidRPr="00FF31F5" w:rsidRDefault="00FF31F5" w:rsidP="00FF31F5">
      <w:pPr>
        <w:numPr>
          <w:ilvl w:val="0"/>
          <w:numId w:val="23"/>
        </w:numPr>
        <w:jc w:val="both"/>
      </w:pPr>
      <w:r w:rsidRPr="00FF31F5">
        <w:rPr>
          <w:b/>
          <w:bCs/>
        </w:rPr>
        <w:t>Conciliación contable-fiscal-bancaria trimestral.</w:t>
      </w:r>
      <w:r w:rsidRPr="00FF31F5">
        <w:t> Cruzar depósitos bancarios contra CFDI emitidos y contra ingresos acumulables.</w:t>
      </w:r>
    </w:p>
    <w:p w14:paraId="2B2377BD" w14:textId="77777777" w:rsidR="00FF31F5" w:rsidRPr="00FF31F5" w:rsidRDefault="00FF31F5" w:rsidP="00FF31F5">
      <w:pPr>
        <w:numPr>
          <w:ilvl w:val="0"/>
          <w:numId w:val="23"/>
        </w:numPr>
        <w:jc w:val="both"/>
      </w:pPr>
      <w:r w:rsidRPr="00FF31F5">
        <w:rPr>
          <w:b/>
          <w:bCs/>
        </w:rPr>
        <w:t>Expediente de materialidad (artículo 59 del CFF).</w:t>
      </w:r>
      <w:r w:rsidRPr="00FF31F5">
        <w:t> Para cada deducción &gt; $50,000, crear expediente con CFDI, prueba de pago, contrato, entregables, correos.</w:t>
      </w:r>
    </w:p>
    <w:p w14:paraId="0AB555F8" w14:textId="77777777" w:rsidR="00FF31F5" w:rsidRPr="00FF31F5" w:rsidRDefault="00FF31F5" w:rsidP="00FF31F5">
      <w:pPr>
        <w:numPr>
          <w:ilvl w:val="0"/>
          <w:numId w:val="23"/>
        </w:numPr>
        <w:jc w:val="both"/>
      </w:pPr>
      <w:r w:rsidRPr="00FF31F5">
        <w:rPr>
          <w:b/>
          <w:bCs/>
        </w:rPr>
        <w:t>Documentación del origen de recursos (estilo de vida).</w:t>
      </w:r>
      <w:r w:rsidRPr="00FF31F5">
        <w:t> Mantener expediente de patrimonio que justifique el origen de cada activo.</w:t>
      </w:r>
    </w:p>
    <w:p w14:paraId="69AFC96F" w14:textId="77777777" w:rsidR="00FF31F5" w:rsidRPr="00FF31F5" w:rsidRDefault="00FF31F5" w:rsidP="00FF31F5">
      <w:pPr>
        <w:numPr>
          <w:ilvl w:val="0"/>
          <w:numId w:val="23"/>
        </w:numPr>
        <w:jc w:val="both"/>
      </w:pPr>
      <w:r w:rsidRPr="00FF31F5">
        <w:rPr>
          <w:b/>
          <w:bCs/>
        </w:rPr>
        <w:t>Revisión de transiciones de régimen.</w:t>
      </w:r>
      <w:r w:rsidRPr="00FF31F5">
        <w:t> Realizar auditoría preventiva al salir de RESICO.</w:t>
      </w:r>
    </w:p>
    <w:p w14:paraId="17CF85F6" w14:textId="77777777" w:rsidR="00FF31F5" w:rsidRPr="00FF31F5" w:rsidRDefault="00FF31F5" w:rsidP="00FF31F5">
      <w:pPr>
        <w:numPr>
          <w:ilvl w:val="0"/>
          <w:numId w:val="23"/>
        </w:numPr>
        <w:jc w:val="both"/>
      </w:pPr>
      <w:r w:rsidRPr="00FF31F5">
        <w:rPr>
          <w:b/>
          <w:bCs/>
        </w:rPr>
        <w:t>Bitácora de vehículos y gastos mixtos.</w:t>
      </w:r>
      <w:r w:rsidRPr="00FF31F5">
        <w:t> Registro diario de uso de automóviles. Para oficina en casa, croquis y comprobantes de área exclusiva.</w:t>
      </w:r>
    </w:p>
    <w:p w14:paraId="0F52F1A8" w14:textId="77777777" w:rsidR="00FF31F5" w:rsidRPr="00FF31F5" w:rsidRDefault="00FF31F5" w:rsidP="00FF31F5">
      <w:pPr>
        <w:numPr>
          <w:ilvl w:val="0"/>
          <w:numId w:val="23"/>
        </w:numPr>
        <w:jc w:val="both"/>
      </w:pPr>
      <w:r w:rsidRPr="00FF31F5">
        <w:rPr>
          <w:b/>
          <w:bCs/>
        </w:rPr>
        <w:t>Contratos con fecha cierta para préstamos familiares.</w:t>
      </w:r>
      <w:r w:rsidRPr="00FF31F5">
        <w:t> Formalizar mutuo ante notario o con dos testigos, registrar en contabilidad como pasivo.</w:t>
      </w:r>
    </w:p>
    <w:p w14:paraId="7C0D71D9" w14:textId="77777777" w:rsidR="00FF31F5" w:rsidRPr="00FF31F5" w:rsidRDefault="00FF31F5" w:rsidP="00FF31F5">
      <w:pPr>
        <w:numPr>
          <w:ilvl w:val="0"/>
          <w:numId w:val="23"/>
        </w:numPr>
        <w:jc w:val="both"/>
      </w:pPr>
      <w:r w:rsidRPr="00FF31F5">
        <w:rPr>
          <w:b/>
          <w:bCs/>
        </w:rPr>
        <w:t>Conservar comprobantes de adquisición de bienes por toda la vida del activo.</w:t>
      </w:r>
      <w:r w:rsidRPr="00FF31F5">
        <w:t> Digitalizar y respaldar en la nube.</w:t>
      </w:r>
    </w:p>
    <w:p w14:paraId="2AD59E66" w14:textId="77777777" w:rsidR="00FF31F5" w:rsidRPr="00FF31F5" w:rsidRDefault="00FF31F5" w:rsidP="00FF31F5">
      <w:pPr>
        <w:jc w:val="both"/>
      </w:pPr>
      <w:r w:rsidRPr="00FF31F5">
        <w:rPr>
          <w:b/>
          <w:bCs/>
        </w:rPr>
        <w:t>Nota final para el asesor fiscal:</w:t>
      </w:r>
      <w:r w:rsidRPr="00FF31F5">
        <w:t xml:space="preserve"> La persona física con actividad empresarial no puede confiar en la mera expedición de facturas o en la simple declaración de ingresos. El SAT exige: registro contable analítico, documentación de respaldo (estados de cuenta, pólizas, contratos con fecha cierta), prueba de indispensabilidad de gastos, y trazabilidad de depósitos. La falta de vinculación entre depósitos, registros contables </w:t>
      </w:r>
      <w:r w:rsidRPr="00FF31F5">
        <w:lastRenderedPageBreak/>
        <w:t>y documentación convierte los depósitos en ingresos presuntos y el IVA en no acreditable. La prevención mediante expedientes de materialidad, conciliaciones periódicas y separación estricta de patrimonios es la única defensa eficaz.</w:t>
      </w:r>
    </w:p>
    <w:p w14:paraId="2CB74412" w14:textId="77777777" w:rsidR="00E8214C" w:rsidRPr="00E8214C" w:rsidRDefault="00E8214C" w:rsidP="00E8214C">
      <w:pPr>
        <w:jc w:val="both"/>
        <w:rPr>
          <w:b/>
          <w:bCs/>
        </w:rPr>
      </w:pPr>
      <w:r w:rsidRPr="00E8214C">
        <w:rPr>
          <w:b/>
          <w:bCs/>
        </w:rPr>
        <w:t>Apéndice 19 – Capítulo 19</w:t>
      </w:r>
    </w:p>
    <w:p w14:paraId="0DBB28C7" w14:textId="77777777" w:rsidR="00E8214C" w:rsidRPr="00E8214C" w:rsidRDefault="00E8214C" w:rsidP="00E8214C">
      <w:pPr>
        <w:jc w:val="both"/>
      </w:pPr>
      <w:r w:rsidRPr="00E8214C">
        <w:rPr>
          <w:b/>
          <w:bCs/>
        </w:rPr>
        <w:t>El vendedor de plataformas que perdió su devolución: la trampa de los CFDI de retención que nadie verifica</w:t>
      </w:r>
    </w:p>
    <w:p w14:paraId="601823A5" w14:textId="77777777" w:rsidR="00E8214C" w:rsidRPr="00E8214C" w:rsidRDefault="00E8214C" w:rsidP="00E8214C">
      <w:pPr>
        <w:jc w:val="both"/>
      </w:pPr>
      <w:r w:rsidRPr="00E8214C">
        <w:rPr>
          <w:b/>
          <w:bCs/>
        </w:rPr>
        <w:t>Expediente:</w:t>
      </w:r>
      <w:r w:rsidRPr="00E8214C">
        <w:t> 1753/23-08-01-7 del Tribunal Federal de Justicia Administrativa (Sala Regional Centro I)</w:t>
      </w:r>
    </w:p>
    <w:p w14:paraId="191C6A7A" w14:textId="77777777" w:rsidR="00E8214C" w:rsidRPr="00E8214C" w:rsidRDefault="00E8214C" w:rsidP="00E8214C">
      <w:pPr>
        <w:jc w:val="both"/>
      </w:pPr>
      <w:r w:rsidRPr="00E8214C">
        <w:rPr>
          <w:b/>
          <w:bCs/>
        </w:rPr>
        <w:t>Los 10 puntos técnicos más relevantes para el asesor fiscal</w:t>
      </w:r>
    </w:p>
    <w:p w14:paraId="722D959F" w14:textId="77777777" w:rsidR="00E8214C" w:rsidRPr="00E8214C" w:rsidRDefault="00E8214C" w:rsidP="00E8214C">
      <w:pPr>
        <w:jc w:val="both"/>
      </w:pPr>
      <w:r w:rsidRPr="00E8214C">
        <w:rPr>
          <w:b/>
          <w:bCs/>
        </w:rPr>
        <w:t>1. Los comprobantes fiscales de retención emitidos por plataformas digitales (residentes en el extranjero sin EP en México) hacen prueba plena del IVA trasladado y retenido</w:t>
      </w:r>
      <w:r w:rsidRPr="00E8214C">
        <w:br/>
        <w:t>El artículo 18-J, fracción II, inciso a) de la LIVA obliga a estos intermediarios a retener el 50% del IVA. Los CFDI de retención son documentos públicos que vinculan al contribuyente.</w:t>
      </w:r>
    </w:p>
    <w:p w14:paraId="59D1E3A8" w14:textId="77777777" w:rsidR="00E8214C" w:rsidRPr="00E8214C" w:rsidRDefault="00E8214C" w:rsidP="00E8214C">
      <w:pPr>
        <w:jc w:val="both"/>
      </w:pPr>
      <w:r w:rsidRPr="00E8214C">
        <w:rPr>
          <w:i/>
          <w:iCs/>
        </w:rPr>
        <w:t>Fundamento:</w:t>
      </w:r>
      <w:r w:rsidRPr="00E8214C">
        <w:t> Artículo 1°, párrafo octavo de la LIVA; artículo 18-J, fracción II, inciso a) de la LIVA.</w:t>
      </w:r>
    </w:p>
    <w:p w14:paraId="64177746" w14:textId="77777777" w:rsidR="00E8214C" w:rsidRPr="00E8214C" w:rsidRDefault="00E8214C" w:rsidP="00E8214C">
      <w:pPr>
        <w:jc w:val="both"/>
      </w:pPr>
      <w:r w:rsidRPr="00E8214C">
        <w:rPr>
          <w:b/>
          <w:bCs/>
        </w:rPr>
        <w:t>2. La discrepancia entre lo declarado por el contribuyente y lo reportado por el retenedor no se subsana con un desglose unilateral en la declaración</w:t>
      </w:r>
      <w:r w:rsidRPr="00E8214C">
        <w:br/>
        <w:t>Si la plataforma emitió comprobantes sin distinguir tasa 0% y tasa general, el contribuyente no puede simplemente "acomodar" los valores en su declaración.</w:t>
      </w:r>
    </w:p>
    <w:p w14:paraId="7347B110" w14:textId="77777777" w:rsidR="00E8214C" w:rsidRPr="00E8214C" w:rsidRDefault="00E8214C" w:rsidP="00E8214C">
      <w:pPr>
        <w:jc w:val="both"/>
      </w:pPr>
      <w:r w:rsidRPr="00E8214C">
        <w:rPr>
          <w:i/>
          <w:iCs/>
        </w:rPr>
        <w:t>Fundamento:</w:t>
      </w:r>
      <w:r w:rsidRPr="00E8214C">
        <w:t> Artículo 18-J de la LIVA; artículo 29 del CFF.</w:t>
      </w:r>
    </w:p>
    <w:p w14:paraId="20609D96" w14:textId="77777777" w:rsidR="00E8214C" w:rsidRPr="00E8214C" w:rsidRDefault="00E8214C" w:rsidP="00E8214C">
      <w:pPr>
        <w:jc w:val="both"/>
      </w:pPr>
      <w:r w:rsidRPr="00E8214C">
        <w:rPr>
          <w:b/>
          <w:bCs/>
        </w:rPr>
        <w:t>3. La carga de la prueba de que las operaciones estaban gravadas a la tasa del 0% recae en el contribuyente, y no se satisface con sus propias declaraciones ni con papeles de trabajo internos</w:t>
      </w:r>
      <w:r w:rsidRPr="00E8214C">
        <w:br/>
        <w:t>Para acreditar la procedencia del 0% se requiere que los comprobantes fiscales de retención hayan sido cancelados y sustituidos por el retenedor.</w:t>
      </w:r>
    </w:p>
    <w:p w14:paraId="358A5730" w14:textId="77777777" w:rsidR="00E8214C" w:rsidRPr="00E8214C" w:rsidRDefault="00E8214C" w:rsidP="00E8214C">
      <w:pPr>
        <w:jc w:val="both"/>
      </w:pPr>
      <w:r w:rsidRPr="00E8214C">
        <w:rPr>
          <w:i/>
          <w:iCs/>
        </w:rPr>
        <w:t>Fundamento:</w:t>
      </w:r>
      <w:r w:rsidRPr="00E8214C">
        <w:t> Artículo 40 de la LFCA; artículo 119 del CFF.</w:t>
      </w:r>
    </w:p>
    <w:p w14:paraId="173FA229" w14:textId="77777777" w:rsidR="00E8214C" w:rsidRPr="00E8214C" w:rsidRDefault="00E8214C" w:rsidP="00E8214C">
      <w:pPr>
        <w:jc w:val="both"/>
      </w:pPr>
      <w:r w:rsidRPr="00E8214C">
        <w:rPr>
          <w:b/>
          <w:bCs/>
        </w:rPr>
        <w:t>4. El contribuyente que acepta el contenido de los CFDI de retención sin solicitar su corrección al retenedor consiente que la totalidad de sus operaciones esté gravada al 16%</w:t>
      </w:r>
      <w:r w:rsidRPr="00E8214C">
        <w:br/>
        <w:t>La autoridad fiscal no tiene por qué investigar de oficio si parte de los bienes califican para tasa 0%. El silencio del contribuyente es aceptación.</w:t>
      </w:r>
    </w:p>
    <w:p w14:paraId="7F3CAA93" w14:textId="77777777" w:rsidR="00E8214C" w:rsidRPr="00E8214C" w:rsidRDefault="00E8214C" w:rsidP="00E8214C">
      <w:pPr>
        <w:jc w:val="both"/>
      </w:pPr>
      <w:r w:rsidRPr="00E8214C">
        <w:rPr>
          <w:i/>
          <w:iCs/>
        </w:rPr>
        <w:lastRenderedPageBreak/>
        <w:t>Fundamento:</w:t>
      </w:r>
      <w:r w:rsidRPr="00E8214C">
        <w:t> Artículo 18-J de la LIVA; artículo 29 del CFF.</w:t>
      </w:r>
    </w:p>
    <w:p w14:paraId="5568C5A2" w14:textId="77777777" w:rsidR="00E8214C" w:rsidRPr="00E8214C" w:rsidRDefault="00E8214C" w:rsidP="00E8214C">
      <w:pPr>
        <w:jc w:val="both"/>
      </w:pPr>
      <w:r w:rsidRPr="00E8214C">
        <w:rPr>
          <w:b/>
          <w:bCs/>
        </w:rPr>
        <w:t>5. La autoridad fiscal no puede devolver un IVA que no fue efectivamente enterado o que deriva de un error en la retención entre particulares</w:t>
      </w:r>
      <w:r w:rsidRPr="00E8214C">
        <w:br/>
        <w:t>El impuesto a devolver debe haber ingresado a la hacienda pública. Si la plataforma retuvo en exceso, esa diferencia debe reclamarse a la plataforma, no al SAT.</w:t>
      </w:r>
    </w:p>
    <w:p w14:paraId="2F72B7FC" w14:textId="77777777" w:rsidR="00E8214C" w:rsidRPr="00E8214C" w:rsidRDefault="00E8214C" w:rsidP="00E8214C">
      <w:pPr>
        <w:jc w:val="both"/>
      </w:pPr>
      <w:r w:rsidRPr="00E8214C">
        <w:rPr>
          <w:i/>
          <w:iCs/>
        </w:rPr>
        <w:t>Fundamento:</w:t>
      </w:r>
      <w:r w:rsidRPr="00E8214C">
        <w:t> Artículo 1° de la LIVA; artículo 22 del CFF.</w:t>
      </w:r>
    </w:p>
    <w:p w14:paraId="5F091A1C" w14:textId="77777777" w:rsidR="00E8214C" w:rsidRPr="00E8214C" w:rsidRDefault="00E8214C" w:rsidP="00E8214C">
      <w:pPr>
        <w:jc w:val="both"/>
      </w:pPr>
      <w:r w:rsidRPr="00E8214C">
        <w:rPr>
          <w:b/>
          <w:bCs/>
        </w:rPr>
        <w:t>6. La corrección de comprobantes fiscales de retención debe hacerse ante el emisor (plataforma digital), no mediante modificaciones unilaterales en la declaración</w:t>
      </w:r>
      <w:r w:rsidRPr="00E8214C">
        <w:br/>
        <w:t>El contribuyente debe solicitar a la plataforma la cancelación y sustitución de los comprobantes. Sólo después podrá presentar declaraciones consistentes.</w:t>
      </w:r>
    </w:p>
    <w:p w14:paraId="7B3B7CA9" w14:textId="77777777" w:rsidR="00E8214C" w:rsidRPr="00E8214C" w:rsidRDefault="00E8214C" w:rsidP="00E8214C">
      <w:pPr>
        <w:jc w:val="both"/>
      </w:pPr>
      <w:r w:rsidRPr="00E8214C">
        <w:rPr>
          <w:i/>
          <w:iCs/>
        </w:rPr>
        <w:t>Fundamento:</w:t>
      </w:r>
      <w:r w:rsidRPr="00E8214C">
        <w:t> Artículo 29 del CFF; artículo 18-J de la LIVA.</w:t>
      </w:r>
    </w:p>
    <w:p w14:paraId="342A4D17" w14:textId="77777777" w:rsidR="00E8214C" w:rsidRPr="00E8214C" w:rsidRDefault="00E8214C" w:rsidP="00E8214C">
      <w:pPr>
        <w:jc w:val="both"/>
      </w:pPr>
      <w:r w:rsidRPr="00E8214C">
        <w:rPr>
          <w:b/>
          <w:bCs/>
        </w:rPr>
        <w:t>7. El artículo 18-J de la LIVA (vigente en 2022) establece la obligación de retener el 50% del impuesto a las personas físicas que enajenen bienes a través de servicios de intermediación digital</w:t>
      </w:r>
      <w:r w:rsidRPr="00E8214C">
        <w:br/>
        <w:t>La plataforma es el retenedor legal. Lo que reporta en los CFDI es la base sobre la cual el SAT evaluará la procedencia de la devolución.</w:t>
      </w:r>
    </w:p>
    <w:p w14:paraId="55DC4232" w14:textId="77777777" w:rsidR="00E8214C" w:rsidRPr="00E8214C" w:rsidRDefault="00E8214C" w:rsidP="00E8214C">
      <w:pPr>
        <w:jc w:val="both"/>
      </w:pPr>
      <w:r w:rsidRPr="00E8214C">
        <w:rPr>
          <w:i/>
          <w:iCs/>
        </w:rPr>
        <w:t>Fundamento:</w:t>
      </w:r>
      <w:r w:rsidRPr="00E8214C">
        <w:t> Artículo 18-J, fracción II, inciso a) de la LIVA.</w:t>
      </w:r>
    </w:p>
    <w:p w14:paraId="7DE46601" w14:textId="77777777" w:rsidR="00E8214C" w:rsidRPr="00E8214C" w:rsidRDefault="00E8214C" w:rsidP="00E8214C">
      <w:pPr>
        <w:jc w:val="both"/>
      </w:pPr>
      <w:r w:rsidRPr="00E8214C">
        <w:rPr>
          <w:b/>
          <w:bCs/>
        </w:rPr>
        <w:t>8. El retenedor sustituye al enajenante en la obligación de pago del IVA en el monto correspondiente a la retención, pero el vendedor sigue siendo responsable de la veracidad de sus declaraciones</w:t>
      </w:r>
      <w:r w:rsidRPr="00E8214C">
        <w:br/>
        <w:t>El contribuyente debe cotejar mensualmente los CFDI de retención con sus operaciones reales. La retención no exime al vendedor de revisar.</w:t>
      </w:r>
    </w:p>
    <w:p w14:paraId="3E2A3F81" w14:textId="77777777" w:rsidR="00E8214C" w:rsidRPr="00E8214C" w:rsidRDefault="00E8214C" w:rsidP="00E8214C">
      <w:pPr>
        <w:jc w:val="both"/>
      </w:pPr>
      <w:r w:rsidRPr="00E8214C">
        <w:rPr>
          <w:i/>
          <w:iCs/>
        </w:rPr>
        <w:t>Fundamento:</w:t>
      </w:r>
      <w:r w:rsidRPr="00E8214C">
        <w:t> Artículo 18-J de la LIVA; artículo 40 de la LFCA.</w:t>
      </w:r>
    </w:p>
    <w:p w14:paraId="75D31D8A" w14:textId="77777777" w:rsidR="00E8214C" w:rsidRPr="00E8214C" w:rsidRDefault="00E8214C" w:rsidP="00E8214C">
      <w:pPr>
        <w:jc w:val="both"/>
      </w:pPr>
      <w:r w:rsidRPr="00E8214C">
        <w:rPr>
          <w:b/>
          <w:bCs/>
        </w:rPr>
        <w:t>9. La falta de reclamación oportuna al retenedor impide atribuir a la autoridad fiscal un error en la retención</w:t>
      </w:r>
      <w:r w:rsidRPr="00E8214C">
        <w:br/>
        <w:t>El error en la expedición de los CFDI no es imputable al SAT, sino a la plataforma y al contribuyente que no lo corrigió.</w:t>
      </w:r>
    </w:p>
    <w:p w14:paraId="3F2123A1" w14:textId="77777777" w:rsidR="00E8214C" w:rsidRPr="00E8214C" w:rsidRDefault="00E8214C" w:rsidP="00E8214C">
      <w:pPr>
        <w:jc w:val="both"/>
      </w:pPr>
      <w:r w:rsidRPr="00E8214C">
        <w:rPr>
          <w:i/>
          <w:iCs/>
        </w:rPr>
        <w:t>Fundamento:</w:t>
      </w:r>
      <w:r w:rsidRPr="00E8214C">
        <w:t> Artículo 18-J de la LIVA; artículo 29 del CFF.</w:t>
      </w:r>
    </w:p>
    <w:p w14:paraId="7560B1EC" w14:textId="77777777" w:rsidR="00E8214C" w:rsidRPr="00E8214C" w:rsidRDefault="00E8214C" w:rsidP="00E8214C">
      <w:pPr>
        <w:jc w:val="both"/>
      </w:pPr>
      <w:r w:rsidRPr="00E8214C">
        <w:rPr>
          <w:b/>
          <w:bCs/>
        </w:rPr>
        <w:t>10. La confirmativa ficta del recurso de revocación es válida cuando el contribuyente no aporta los comprobantes fiscales corregidos ni acredita su derecho a la devolución</w:t>
      </w:r>
      <w:r w:rsidRPr="00E8214C">
        <w:br/>
      </w:r>
      <w:r w:rsidRPr="00E8214C">
        <w:lastRenderedPageBreak/>
        <w:t>Si el SAT no resuelve el recurso en tres meses, opera la confirmativa ficta. Ante la falta de CFDI rectificados, la negativa de devolución (expresa o ficta) debe mantenerse.</w:t>
      </w:r>
    </w:p>
    <w:p w14:paraId="1996B428" w14:textId="77777777" w:rsidR="00E8214C" w:rsidRPr="00E8214C" w:rsidRDefault="00E8214C" w:rsidP="00E8214C">
      <w:pPr>
        <w:jc w:val="both"/>
      </w:pPr>
      <w:r w:rsidRPr="00E8214C">
        <w:rPr>
          <w:i/>
          <w:iCs/>
        </w:rPr>
        <w:t>Fundamento:</w:t>
      </w:r>
      <w:r w:rsidRPr="00E8214C">
        <w:t> Artículo 131 del CFF; artículo 22 del CFF.</w:t>
      </w:r>
    </w:p>
    <w:p w14:paraId="458A1B1A" w14:textId="77777777" w:rsidR="00E8214C" w:rsidRPr="00E8214C" w:rsidRDefault="00E8214C" w:rsidP="00E8214C">
      <w:pPr>
        <w:jc w:val="both"/>
      </w:pPr>
      <w:r w:rsidRPr="00E8214C">
        <w:rPr>
          <w:b/>
          <w:bCs/>
        </w:rPr>
        <w:t>Fundamento legal completo del caso</w:t>
      </w:r>
    </w:p>
    <w:p w14:paraId="5E3E939A" w14:textId="77777777" w:rsidR="00E8214C" w:rsidRPr="00E8214C" w:rsidRDefault="00E8214C" w:rsidP="00E8214C">
      <w:pPr>
        <w:jc w:val="both"/>
      </w:pPr>
      <w:r w:rsidRPr="00E8214C">
        <w:rPr>
          <w:i/>
          <w:iCs/>
        </w:rPr>
        <w:t>Legislación aplicable:</w:t>
      </w:r>
      <w:r w:rsidRPr="00E8214C">
        <w:t> Artículo 18-J fracción II inciso a), 1° párrafo octavo, 2-A de la LIVA; artículos 29, 131, 22 del CFF; artículos 40, 119 de la LFCA.</w:t>
      </w:r>
    </w:p>
    <w:p w14:paraId="21B16F03" w14:textId="77777777" w:rsidR="00E8214C" w:rsidRPr="00E8214C" w:rsidRDefault="00E8214C" w:rsidP="00E8214C">
      <w:pPr>
        <w:jc w:val="both"/>
      </w:pPr>
      <w:r w:rsidRPr="00E8214C">
        <w:rPr>
          <w:i/>
          <w:iCs/>
        </w:rPr>
        <w:t>Jurisprudencia:</w:t>
      </w:r>
      <w:r w:rsidRPr="00E8214C">
        <w:t> 2a./J. 73/2013 (10a.); 2a./J. 161/2019 (10a.) de la SCJN.</w:t>
      </w:r>
    </w:p>
    <w:p w14:paraId="2EFC876E" w14:textId="77777777" w:rsidR="00E8214C" w:rsidRPr="00E8214C" w:rsidRDefault="00E8214C" w:rsidP="00E8214C">
      <w:pPr>
        <w:jc w:val="both"/>
      </w:pPr>
      <w:r w:rsidRPr="00E8214C">
        <w:rPr>
          <w:b/>
          <w:bCs/>
        </w:rPr>
        <w:t>Referencia al expediente completo</w:t>
      </w:r>
      <w:r w:rsidRPr="00E8214C">
        <w:br/>
        <w:t>El expediente 1753/23-08-01-7 puede ser consultado en el TFJA o SISE.</w:t>
      </w:r>
    </w:p>
    <w:p w14:paraId="28E4496D" w14:textId="77777777" w:rsidR="00E8214C" w:rsidRPr="00E8214C" w:rsidRDefault="00E8214C" w:rsidP="00E8214C">
      <w:pPr>
        <w:jc w:val="both"/>
      </w:pPr>
      <w:proofErr w:type="spellStart"/>
      <w:r w:rsidRPr="00E8214C">
        <w:rPr>
          <w:b/>
          <w:bCs/>
        </w:rPr>
        <w:t>Checklist</w:t>
      </w:r>
      <w:proofErr w:type="spellEnd"/>
      <w:r w:rsidRPr="00E8214C">
        <w:rPr>
          <w:b/>
          <w:bCs/>
        </w:rPr>
        <w:t xml:space="preserve"> de defensa para el asesor fiscal</w:t>
      </w:r>
    </w:p>
    <w:p w14:paraId="58E1927E" w14:textId="77777777" w:rsidR="00E8214C" w:rsidRPr="00E8214C" w:rsidRDefault="00E8214C" w:rsidP="00E8214C">
      <w:pPr>
        <w:numPr>
          <w:ilvl w:val="0"/>
          <w:numId w:val="24"/>
        </w:numPr>
        <w:jc w:val="both"/>
      </w:pPr>
      <w:r w:rsidRPr="00E8214C">
        <w:t>Revisar los comprobantes fiscales de retención cada mes, no solo los ingresos. Verificar que el "monto total de la operación" y el "IVA trasladado" correspondan a la tasa real de los productos.</w:t>
      </w:r>
    </w:p>
    <w:p w14:paraId="60BDD8F1" w14:textId="77777777" w:rsidR="00E8214C" w:rsidRPr="00E8214C" w:rsidRDefault="00E8214C" w:rsidP="00E8214C">
      <w:pPr>
        <w:numPr>
          <w:ilvl w:val="0"/>
          <w:numId w:val="24"/>
        </w:numPr>
        <w:jc w:val="both"/>
      </w:pPr>
      <w:r w:rsidRPr="00E8214C">
        <w:t>Si detecta un comprobante incorrecto, solicitar su cancelación y sustitución a la plataforma </w:t>
      </w:r>
      <w:r w:rsidRPr="00E8214C">
        <w:rPr>
          <w:b/>
          <w:bCs/>
        </w:rPr>
        <w:t>antes</w:t>
      </w:r>
      <w:r w:rsidRPr="00E8214C">
        <w:t> de presentar la declaración. Hacerlo por escrito, guardar el folio.</w:t>
      </w:r>
    </w:p>
    <w:p w14:paraId="6E388857" w14:textId="77777777" w:rsidR="00E8214C" w:rsidRPr="00E8214C" w:rsidRDefault="00E8214C" w:rsidP="00E8214C">
      <w:pPr>
        <w:numPr>
          <w:ilvl w:val="0"/>
          <w:numId w:val="24"/>
        </w:numPr>
        <w:jc w:val="both"/>
      </w:pPr>
      <w:r w:rsidRPr="00E8214C">
        <w:t>No desglosar unilateralmente operaciones al 0% si los CFDI de retención no lo reflejan. El SAT cruzará declaraciones con comprobantes del retenedor.</w:t>
      </w:r>
    </w:p>
    <w:p w14:paraId="09D355F0" w14:textId="77777777" w:rsidR="00E8214C" w:rsidRPr="00E8214C" w:rsidRDefault="00E8214C" w:rsidP="00E8214C">
      <w:pPr>
        <w:numPr>
          <w:ilvl w:val="0"/>
          <w:numId w:val="24"/>
        </w:numPr>
        <w:jc w:val="both"/>
      </w:pPr>
      <w:r w:rsidRPr="00E8214C">
        <w:t>Si ya tiene una negativa de devolución, antes de demandar, acudir a la plataforma y obtener los CFDI modificados. Ofrecer esas pruebas en el juicio.</w:t>
      </w:r>
    </w:p>
    <w:p w14:paraId="0B94940F" w14:textId="77777777" w:rsidR="00E8214C" w:rsidRPr="00E8214C" w:rsidRDefault="00E8214C" w:rsidP="00E8214C">
      <w:pPr>
        <w:numPr>
          <w:ilvl w:val="0"/>
          <w:numId w:val="24"/>
        </w:numPr>
        <w:jc w:val="both"/>
      </w:pPr>
      <w:r w:rsidRPr="00E8214C">
        <w:t xml:space="preserve">Si la plataforma se niega a corregir, documentar la negativa (correos, </w:t>
      </w:r>
      <w:proofErr w:type="gramStart"/>
      <w:r w:rsidRPr="00E8214C">
        <w:t>tickets</w:t>
      </w:r>
      <w:proofErr w:type="gramEnd"/>
      <w:r w:rsidRPr="00E8214C">
        <w:t>, capturas). Puede ser base de demanda civil, pero no espere que el SAT o el Tribunal la sustituyan.</w:t>
      </w:r>
    </w:p>
    <w:p w14:paraId="5E00BBF2" w14:textId="77777777" w:rsidR="00E8214C" w:rsidRPr="00E8214C" w:rsidRDefault="00E8214C" w:rsidP="00E8214C">
      <w:pPr>
        <w:numPr>
          <w:ilvl w:val="0"/>
          <w:numId w:val="24"/>
        </w:numPr>
        <w:jc w:val="both"/>
      </w:pPr>
      <w:r w:rsidRPr="00E8214C">
        <w:t>Para productos con tasa 0%, tener documentación que acredite esa calificación (fichas técnicas, certificaciones).</w:t>
      </w:r>
    </w:p>
    <w:p w14:paraId="5D370B1A" w14:textId="77777777" w:rsidR="00E8214C" w:rsidRPr="00E8214C" w:rsidRDefault="00E8214C" w:rsidP="00E8214C">
      <w:pPr>
        <w:numPr>
          <w:ilvl w:val="0"/>
          <w:numId w:val="24"/>
        </w:numPr>
        <w:jc w:val="both"/>
      </w:pPr>
      <w:r w:rsidRPr="00E8214C">
        <w:t>Establecer procedimiento mensual de conciliación: primer día hábil del mes, descargar CFDI de retención, comparar con ventas reales, reportar diferencias inmediatamente.</w:t>
      </w:r>
    </w:p>
    <w:p w14:paraId="23B1DCA2" w14:textId="77777777" w:rsidR="00E8214C" w:rsidRPr="00E8214C" w:rsidRDefault="00E8214C" w:rsidP="00E8214C">
      <w:pPr>
        <w:jc w:val="both"/>
      </w:pPr>
      <w:r w:rsidRPr="00E8214C">
        <w:rPr>
          <w:b/>
          <w:bCs/>
        </w:rPr>
        <w:t>Nota final para el asesor fiscal:</w:t>
      </w:r>
      <w:r w:rsidRPr="00E8214C">
        <w:t xml:space="preserve"> En el mundo fiscal, no gana quien tiene la razón comercial. Gana quien tiene el comprobante correcto. Si el cliente vende productos con tasa 0% pero la plataforma emite CFDI de retención sin desglosar, el SAT no </w:t>
      </w:r>
      <w:r w:rsidRPr="00E8214C">
        <w:lastRenderedPageBreak/>
        <w:t>investigará si los productos son tasa 0%. Leerá el CFDI y verá que el IVA se calculó al 16% sobre todo. El contribuyente tiene la carga de probar que el CFDI está mal, y la única forma es con el CFDI corregido por el propio retenedor. Antes de presentar su declaración, revise sus CFDI de retención. Si están mal, pida la corrección a la plataforma. No ajuste unilateralmente.</w:t>
      </w:r>
    </w:p>
    <w:p w14:paraId="7969F3D0" w14:textId="77777777" w:rsidR="00E8214C" w:rsidRPr="00E8214C" w:rsidRDefault="00000000" w:rsidP="00E8214C">
      <w:pPr>
        <w:jc w:val="both"/>
      </w:pPr>
      <w:r>
        <w:pict w14:anchorId="485A57C7">
          <v:rect id="_x0000_i1044" style="width:0;height:.75pt" o:hralign="center" o:hrstd="t" o:hr="t" fillcolor="#a0a0a0" stroked="f"/>
        </w:pict>
      </w:r>
    </w:p>
    <w:p w14:paraId="70BB5EE8" w14:textId="77777777" w:rsidR="00E8214C" w:rsidRPr="00E8214C" w:rsidRDefault="00E8214C" w:rsidP="00E8214C">
      <w:pPr>
        <w:jc w:val="both"/>
        <w:rPr>
          <w:b/>
          <w:bCs/>
        </w:rPr>
      </w:pPr>
      <w:r w:rsidRPr="00E8214C">
        <w:rPr>
          <w:b/>
          <w:bCs/>
        </w:rPr>
        <w:t>Apéndice 20 – Capítulo 20</w:t>
      </w:r>
    </w:p>
    <w:p w14:paraId="5F34DD4B" w14:textId="77777777" w:rsidR="00E8214C" w:rsidRPr="00E8214C" w:rsidRDefault="00E8214C" w:rsidP="00E8214C">
      <w:pPr>
        <w:jc w:val="both"/>
      </w:pPr>
      <w:r w:rsidRPr="00E8214C">
        <w:rPr>
          <w:b/>
          <w:bCs/>
        </w:rPr>
        <w:t>La universidad que no era patrón: subordinación, contratos civiles y el error de creer que un profesor de asignatura es empleado automático</w:t>
      </w:r>
    </w:p>
    <w:p w14:paraId="0A1A7F8F" w14:textId="77777777" w:rsidR="00E8214C" w:rsidRPr="00E8214C" w:rsidRDefault="00E8214C" w:rsidP="00E8214C">
      <w:pPr>
        <w:jc w:val="both"/>
      </w:pPr>
      <w:r w:rsidRPr="00E8214C">
        <w:rPr>
          <w:b/>
          <w:bCs/>
        </w:rPr>
        <w:t>Expedientes:</w:t>
      </w:r>
      <w:r w:rsidRPr="00E8214C">
        <w:t> TFJA 3220/22-12-02-8 y su acumulado 140/23-12-03-3 (Segunda Sala Regional de Oriente); Amparo del Tercer Tribunal Colegiado en Materia Administrativa del Sexto Circuito</w:t>
      </w:r>
    </w:p>
    <w:p w14:paraId="359C4759" w14:textId="77777777" w:rsidR="00E8214C" w:rsidRPr="00E8214C" w:rsidRDefault="00E8214C" w:rsidP="00E8214C">
      <w:pPr>
        <w:jc w:val="both"/>
      </w:pPr>
      <w:r w:rsidRPr="00E8214C">
        <w:rPr>
          <w:b/>
          <w:bCs/>
        </w:rPr>
        <w:t>Los 10 puntos técnicos más relevantes para el asesor fiscal</w:t>
      </w:r>
    </w:p>
    <w:p w14:paraId="4769F63A" w14:textId="77777777" w:rsidR="00E8214C" w:rsidRPr="00E8214C" w:rsidRDefault="00E8214C" w:rsidP="00E8214C">
      <w:pPr>
        <w:jc w:val="both"/>
      </w:pPr>
      <w:r w:rsidRPr="00E8214C">
        <w:rPr>
          <w:b/>
          <w:bCs/>
        </w:rPr>
        <w:t>1. La existencia de una relación laboral no se presume exclusivamente por la existencia de un contrato de prestación de servicios profesionales</w:t>
      </w:r>
      <w:r w:rsidRPr="00E8214C">
        <w:br/>
        <w:t>El artículo 20 de la LFT exige tres elementos: prestación personal, remuneración y </w:t>
      </w:r>
      <w:r w:rsidRPr="00E8214C">
        <w:rPr>
          <w:b/>
          <w:bCs/>
        </w:rPr>
        <w:t>subordinación jurídica</w:t>
      </w:r>
      <w:r w:rsidRPr="00E8214C">
        <w:t>. Un contrato civil, por sí mismo, no acredita ni descarta la subordinación.</w:t>
      </w:r>
    </w:p>
    <w:p w14:paraId="4717E131" w14:textId="77777777" w:rsidR="00E8214C" w:rsidRPr="00E8214C" w:rsidRDefault="00E8214C" w:rsidP="00E8214C">
      <w:pPr>
        <w:jc w:val="both"/>
      </w:pPr>
      <w:r w:rsidRPr="00E8214C">
        <w:rPr>
          <w:i/>
          <w:iCs/>
        </w:rPr>
        <w:t>Fundamento:</w:t>
      </w:r>
      <w:r w:rsidRPr="00E8214C">
        <w:t> Artículo 20 de la LFT; artículo 8 de la LFT.</w:t>
      </w:r>
    </w:p>
    <w:p w14:paraId="7A26F1A2" w14:textId="77777777" w:rsidR="00E8214C" w:rsidRPr="00E8214C" w:rsidRDefault="00E8214C" w:rsidP="00E8214C">
      <w:pPr>
        <w:jc w:val="both"/>
      </w:pPr>
      <w:r w:rsidRPr="00E8214C">
        <w:rPr>
          <w:b/>
          <w:bCs/>
        </w:rPr>
        <w:t>2. Cuando el particular niega lisa y llanamente la existencia de la relación laboral, la carga de la prueba de la subordinación se traslada a la autoridad fiscalizadora</w:t>
      </w:r>
      <w:r w:rsidRPr="00E8214C">
        <w:br/>
        <w:t>El IMSS debe probar la subordinación real con elementos objetivos, no puede basarse en presunciones.</w:t>
      </w:r>
    </w:p>
    <w:p w14:paraId="4310D614" w14:textId="77777777" w:rsidR="00E8214C" w:rsidRPr="00E8214C" w:rsidRDefault="00E8214C" w:rsidP="00E8214C">
      <w:pPr>
        <w:jc w:val="both"/>
      </w:pPr>
      <w:r w:rsidRPr="00E8214C">
        <w:rPr>
          <w:i/>
          <w:iCs/>
        </w:rPr>
        <w:t>Fundamento:</w:t>
      </w:r>
      <w:r w:rsidRPr="00E8214C">
        <w:t> Jurisprudencia J-II-230 del TFJA; artículo 68 del CFF; artículo 81 del Código Federal de Procedimientos Civiles.</w:t>
      </w:r>
    </w:p>
    <w:p w14:paraId="77F18B6A" w14:textId="77777777" w:rsidR="00E8214C" w:rsidRPr="00E8214C" w:rsidRDefault="00E8214C" w:rsidP="00E8214C">
      <w:pPr>
        <w:jc w:val="both"/>
      </w:pPr>
      <w:r w:rsidRPr="00E8214C">
        <w:rPr>
          <w:b/>
          <w:bCs/>
        </w:rPr>
        <w:t>3. Los contratos de prestación de servicios profesionales que contienen declaraciones específicas de independencia desplazan la carga probatoria al IMSS</w:t>
      </w:r>
      <w:r w:rsidRPr="00E8214C">
        <w:br/>
        <w:t>Cláusulas como: actividad no preponderante, no pertenencia a nómina, posibilidad de trabajar para otras instituciones, ingresos ≤49% del total, son indicios serios que obligan al IMSS a aportar elementos adicionales de subordinación.</w:t>
      </w:r>
    </w:p>
    <w:p w14:paraId="087E4CA9" w14:textId="77777777" w:rsidR="00E8214C" w:rsidRPr="00E8214C" w:rsidRDefault="00E8214C" w:rsidP="00E8214C">
      <w:pPr>
        <w:jc w:val="both"/>
      </w:pPr>
      <w:r w:rsidRPr="00E8214C">
        <w:rPr>
          <w:i/>
          <w:iCs/>
        </w:rPr>
        <w:t>Fundamento:</w:t>
      </w:r>
      <w:r w:rsidRPr="00E8214C">
        <w:t> Artículo 20 de la LFT; artículo 5 del CFF.</w:t>
      </w:r>
    </w:p>
    <w:p w14:paraId="704F9947" w14:textId="77777777" w:rsidR="00E8214C" w:rsidRPr="00E8214C" w:rsidRDefault="00E8214C" w:rsidP="00E8214C">
      <w:pPr>
        <w:jc w:val="both"/>
      </w:pPr>
      <w:r w:rsidRPr="00E8214C">
        <w:rPr>
          <w:b/>
          <w:bCs/>
        </w:rPr>
        <w:lastRenderedPageBreak/>
        <w:t>4. El plan de estudios propiedad de la universidad no constituye, por sí mismo, un acto de subordinación directa</w:t>
      </w:r>
      <w:r w:rsidRPr="00E8214C">
        <w:br/>
        <w:t>La subordinación exige órdenes directas de una persona a otra sobre </w:t>
      </w:r>
      <w:r w:rsidRPr="00E8214C">
        <w:rPr>
          <w:i/>
          <w:iCs/>
        </w:rPr>
        <w:t>cómo</w:t>
      </w:r>
      <w:r w:rsidRPr="00E8214C">
        <w:t> realizar la actividad. Un documento no es un sujeto que pueda dar órdenes.</w:t>
      </w:r>
    </w:p>
    <w:p w14:paraId="38B8273D" w14:textId="77777777" w:rsidR="00E8214C" w:rsidRPr="00E8214C" w:rsidRDefault="00E8214C" w:rsidP="00E8214C">
      <w:pPr>
        <w:jc w:val="both"/>
      </w:pPr>
      <w:r w:rsidRPr="00E8214C">
        <w:rPr>
          <w:i/>
          <w:iCs/>
        </w:rPr>
        <w:t>Fundamento:</w:t>
      </w:r>
      <w:r w:rsidRPr="00E8214C">
        <w:t> Artículo 20 de la LFT; artículo 10 de la LFT.</w:t>
      </w:r>
    </w:p>
    <w:p w14:paraId="0BC61F1D" w14:textId="77777777" w:rsidR="00E8214C" w:rsidRPr="00E8214C" w:rsidRDefault="00E8214C" w:rsidP="00E8214C">
      <w:pPr>
        <w:jc w:val="both"/>
      </w:pPr>
      <w:r w:rsidRPr="00E8214C">
        <w:rPr>
          <w:b/>
          <w:bCs/>
        </w:rPr>
        <w:t xml:space="preserve">5. La autoridad fiscalizadora (IMSS) está obligada a analizar individual o </w:t>
      </w:r>
      <w:proofErr w:type="spellStart"/>
      <w:r w:rsidRPr="00E8214C">
        <w:rPr>
          <w:b/>
          <w:bCs/>
        </w:rPr>
        <w:t>muestralmente</w:t>
      </w:r>
      <w:proofErr w:type="spellEnd"/>
      <w:r w:rsidRPr="00E8214C">
        <w:rPr>
          <w:b/>
          <w:bCs/>
        </w:rPr>
        <w:t xml:space="preserve"> los contratos de los profesionistas cuando el contribuyente los ofrece</w:t>
      </w:r>
      <w:r w:rsidRPr="00E8214C">
        <w:br/>
        <w:t>La falta de análisis individualizado de la documentación aportada vicia la motivación de la resolución determinante.</w:t>
      </w:r>
    </w:p>
    <w:p w14:paraId="4AA447BE" w14:textId="77777777" w:rsidR="00E8214C" w:rsidRPr="00E8214C" w:rsidRDefault="00E8214C" w:rsidP="00E8214C">
      <w:pPr>
        <w:jc w:val="both"/>
      </w:pPr>
      <w:r w:rsidRPr="00E8214C">
        <w:rPr>
          <w:i/>
          <w:iCs/>
        </w:rPr>
        <w:t>Fundamento:</w:t>
      </w:r>
      <w:r w:rsidRPr="00E8214C">
        <w:t> Artículo 16 constitucional; artículo 42 del CFF.</w:t>
      </w:r>
    </w:p>
    <w:p w14:paraId="1B61244F" w14:textId="77777777" w:rsidR="00E8214C" w:rsidRPr="00E8214C" w:rsidRDefault="00E8214C" w:rsidP="00E8214C">
      <w:pPr>
        <w:jc w:val="both"/>
      </w:pPr>
      <w:r w:rsidRPr="00E8214C">
        <w:rPr>
          <w:b/>
          <w:bCs/>
        </w:rPr>
        <w:t>6. Los elementos que acreditan la subordinación son: (a) órdenes directas sobre </w:t>
      </w:r>
      <w:r w:rsidRPr="00E8214C">
        <w:rPr>
          <w:b/>
          <w:bCs/>
          <w:i/>
          <w:iCs/>
        </w:rPr>
        <w:t>cómo</w:t>
      </w:r>
      <w:r w:rsidRPr="00E8214C">
        <w:rPr>
          <w:b/>
          <w:bCs/>
        </w:rPr>
        <w:t> realizar el trabajo, (b) provisión de medios de trabajo, (c) expedición de credenciales que identifiquen al profesionista como empleado, (d) asignación de compensación que constituya realmente un salario</w:t>
      </w:r>
      <w:r w:rsidRPr="00E8214C">
        <w:br/>
        <w:t>El IMSS debe probar al menos algunos de estos elementos.</w:t>
      </w:r>
    </w:p>
    <w:p w14:paraId="78BAADD5" w14:textId="77777777" w:rsidR="00E8214C" w:rsidRPr="00E8214C" w:rsidRDefault="00E8214C" w:rsidP="00E8214C">
      <w:pPr>
        <w:jc w:val="both"/>
      </w:pPr>
      <w:r w:rsidRPr="00E8214C">
        <w:rPr>
          <w:i/>
          <w:iCs/>
        </w:rPr>
        <w:t>Fundamento:</w:t>
      </w:r>
      <w:r w:rsidRPr="00E8214C">
        <w:t> Jurisprudencia Registro 224146; artículo 20 de la LFT.</w:t>
      </w:r>
    </w:p>
    <w:p w14:paraId="2CABBAFE" w14:textId="77777777" w:rsidR="00E8214C" w:rsidRPr="00E8214C" w:rsidRDefault="00E8214C" w:rsidP="00E8214C">
      <w:pPr>
        <w:jc w:val="both"/>
      </w:pPr>
      <w:r w:rsidRPr="00E8214C">
        <w:rPr>
          <w:b/>
          <w:bCs/>
        </w:rPr>
        <w:t>7. El Acuerdo 181/2008 del Consejo Técnico del IMSS (criterios para profesores de asignatura) carece de efectos vinculantes para el particular si no fue publicado en el DOF</w:t>
      </w:r>
      <w:r w:rsidRPr="00E8214C">
        <w:br/>
        <w:t>Sin publicación oficial, el Acuerdo no puede ser oponible al particular. El IMSS no puede basar su determinación en lineamientos internos no publicados.</w:t>
      </w:r>
    </w:p>
    <w:p w14:paraId="53316A6E" w14:textId="77777777" w:rsidR="00E8214C" w:rsidRPr="00E8214C" w:rsidRDefault="00E8214C" w:rsidP="00E8214C">
      <w:pPr>
        <w:jc w:val="both"/>
      </w:pPr>
      <w:r w:rsidRPr="00E8214C">
        <w:rPr>
          <w:i/>
          <w:iCs/>
        </w:rPr>
        <w:t>Fundamento:</w:t>
      </w:r>
      <w:r w:rsidRPr="00E8214C">
        <w:t> Jurisprudencia 2a./J. 152/2015 (10a.) de la SCJN; artículo 7 del CFF.</w:t>
      </w:r>
    </w:p>
    <w:p w14:paraId="29CCD4BB" w14:textId="77777777" w:rsidR="00E8214C" w:rsidRPr="00E8214C" w:rsidRDefault="00E8214C" w:rsidP="00E8214C">
      <w:pPr>
        <w:jc w:val="both"/>
      </w:pPr>
      <w:r w:rsidRPr="00E8214C">
        <w:rPr>
          <w:b/>
          <w:bCs/>
        </w:rPr>
        <w:t>8. En materia de fiscalización de cuotas obrero-patronales, si el patrón niega la subordinación, el IMSS no puede basar su determinación únicamente en criterios administrativos internos no publicados</w:t>
      </w:r>
      <w:r w:rsidRPr="00E8214C">
        <w:br/>
        <w:t>La falta de publicidad del Acuerdo 181/2008 debilita cualquier pretensión del IMSS basada en él.</w:t>
      </w:r>
    </w:p>
    <w:p w14:paraId="3209CA73" w14:textId="77777777" w:rsidR="00E8214C" w:rsidRPr="00E8214C" w:rsidRDefault="00E8214C" w:rsidP="00E8214C">
      <w:pPr>
        <w:jc w:val="both"/>
      </w:pPr>
      <w:r w:rsidRPr="00E8214C">
        <w:rPr>
          <w:i/>
          <w:iCs/>
        </w:rPr>
        <w:t>Fundamento:</w:t>
      </w:r>
      <w:r w:rsidRPr="00E8214C">
        <w:t> Artículo 16 constitucional; artículo 7 del CFF.</w:t>
      </w:r>
    </w:p>
    <w:p w14:paraId="3CA86050" w14:textId="77777777" w:rsidR="00E8214C" w:rsidRPr="00E8214C" w:rsidRDefault="00E8214C" w:rsidP="00E8214C">
      <w:pPr>
        <w:jc w:val="both"/>
      </w:pPr>
      <w:r w:rsidRPr="00E8214C">
        <w:rPr>
          <w:b/>
          <w:bCs/>
        </w:rPr>
        <w:t>9. La subordinación debe ser directa, personal y permanente durante la jornada de trabajo. No se configura por el mero hecho de que el profesor dicte clase conforme a un plan de estudios elaborado por la universidad</w:t>
      </w:r>
      <w:r w:rsidRPr="00E8214C">
        <w:br/>
      </w:r>
      <w:r w:rsidRPr="00E8214C">
        <w:lastRenderedPageBreak/>
        <w:t>Los profesores de asignatura que conservan autonomía en su método de enseñanza, horarios flexibles y otras fuentes de ingreso, no se encuentran subordinados.</w:t>
      </w:r>
    </w:p>
    <w:p w14:paraId="2283C24B" w14:textId="77777777" w:rsidR="00E8214C" w:rsidRPr="00E8214C" w:rsidRDefault="00E8214C" w:rsidP="00E8214C">
      <w:pPr>
        <w:jc w:val="both"/>
      </w:pPr>
      <w:r w:rsidRPr="00E8214C">
        <w:rPr>
          <w:i/>
          <w:iCs/>
        </w:rPr>
        <w:t>Fundamento:</w:t>
      </w:r>
      <w:r w:rsidRPr="00E8214C">
        <w:t> Jurisprudencia Registro 205158; artículo 134, fracción III de la LFT.</w:t>
      </w:r>
    </w:p>
    <w:p w14:paraId="33C179EF" w14:textId="77777777" w:rsidR="00E8214C" w:rsidRPr="00E8214C" w:rsidRDefault="00E8214C" w:rsidP="00E8214C">
      <w:pPr>
        <w:jc w:val="both"/>
      </w:pPr>
      <w:r w:rsidRPr="00E8214C">
        <w:rPr>
          <w:b/>
          <w:bCs/>
        </w:rPr>
        <w:t>10. La nulidad decretada por el TFJA fue "para efectos" (no lisa y llana), ordenando al IMSS emitir una nueva resolución excluyendo a los profesores de la base de cuotas, pero respetando el resto de la determinación no impugnada</w:t>
      </w:r>
      <w:r w:rsidRPr="00E8214C">
        <w:br/>
        <w:t>El IMSS deberá emitir un nuevo acto: (i) excluyendo a los profesores, (</w:t>
      </w:r>
      <w:proofErr w:type="spellStart"/>
      <w:r w:rsidRPr="00E8214C">
        <w:t>ii</w:t>
      </w:r>
      <w:proofErr w:type="spellEnd"/>
      <w:r w:rsidRPr="00E8214C">
        <w:t>) confirmando el resto de la liquidación, (</w:t>
      </w:r>
      <w:proofErr w:type="spellStart"/>
      <w:r w:rsidRPr="00E8214C">
        <w:t>iii</w:t>
      </w:r>
      <w:proofErr w:type="spellEnd"/>
      <w:r w:rsidRPr="00E8214C">
        <w:t>) dejando sin efectos la segunda liquidación.</w:t>
      </w:r>
    </w:p>
    <w:p w14:paraId="206F92A1" w14:textId="77777777" w:rsidR="00E8214C" w:rsidRPr="00E8214C" w:rsidRDefault="00E8214C" w:rsidP="00E8214C">
      <w:pPr>
        <w:jc w:val="both"/>
      </w:pPr>
      <w:r w:rsidRPr="00E8214C">
        <w:rPr>
          <w:i/>
          <w:iCs/>
        </w:rPr>
        <w:t>Fundamento:</w:t>
      </w:r>
      <w:r w:rsidRPr="00E8214C">
        <w:t> Artículo 52, fracción II de la LFCA; artículo 217 de la LFCA.</w:t>
      </w:r>
    </w:p>
    <w:p w14:paraId="7358E4EE" w14:textId="77777777" w:rsidR="00E8214C" w:rsidRPr="00E8214C" w:rsidRDefault="00E8214C" w:rsidP="00E8214C">
      <w:pPr>
        <w:jc w:val="both"/>
      </w:pPr>
      <w:r w:rsidRPr="00E8214C">
        <w:rPr>
          <w:b/>
          <w:bCs/>
        </w:rPr>
        <w:t>Fundamento legal completo del caso</w:t>
      </w:r>
    </w:p>
    <w:p w14:paraId="34537260" w14:textId="77777777" w:rsidR="00E8214C" w:rsidRPr="00E8214C" w:rsidRDefault="00E8214C" w:rsidP="00E8214C">
      <w:pPr>
        <w:jc w:val="both"/>
      </w:pPr>
      <w:r w:rsidRPr="00E8214C">
        <w:rPr>
          <w:i/>
          <w:iCs/>
        </w:rPr>
        <w:t>Legislación aplicable:</w:t>
      </w:r>
      <w:r w:rsidRPr="00E8214C">
        <w:t> Artículos 20, 8, 10, 134 fracción III de la LFT; artículos 68, 7 del CFF; artículo 16 constitucional; artículos 52 fracción II, 217 de la LFCA.</w:t>
      </w:r>
    </w:p>
    <w:p w14:paraId="0057A6B8" w14:textId="77777777" w:rsidR="00E8214C" w:rsidRPr="00E8214C" w:rsidRDefault="00E8214C" w:rsidP="00E8214C">
      <w:pPr>
        <w:jc w:val="both"/>
      </w:pPr>
      <w:r w:rsidRPr="00E8214C">
        <w:rPr>
          <w:i/>
          <w:iCs/>
        </w:rPr>
        <w:t>Jurisprudencia:</w:t>
      </w:r>
      <w:r w:rsidRPr="00E8214C">
        <w:t> J-II-230 del TFJA; 2a./J. 152/2015 (10a.); Registro 224146; Registro 205158; Acuerdo 181/2008 del IMSS (no publicado en DOF).</w:t>
      </w:r>
    </w:p>
    <w:p w14:paraId="3DA38C27" w14:textId="77777777" w:rsidR="00E8214C" w:rsidRPr="00E8214C" w:rsidRDefault="00E8214C" w:rsidP="00E8214C">
      <w:pPr>
        <w:jc w:val="both"/>
      </w:pPr>
      <w:r w:rsidRPr="00E8214C">
        <w:rPr>
          <w:b/>
          <w:bCs/>
        </w:rPr>
        <w:t>Referencia a los expedientes</w:t>
      </w:r>
      <w:r w:rsidRPr="00E8214C">
        <w:br/>
        <w:t>Los expedientes TFJA 3220/22-12-02-8 y 140/23-12-03-3, así como el amparo del Tercer Tribunal Colegiado en Materia Administrativa del Sexto Circuito, pueden ser consultados en el TFJA o SISE.</w:t>
      </w:r>
    </w:p>
    <w:p w14:paraId="46448D8F" w14:textId="77777777" w:rsidR="00E8214C" w:rsidRPr="00E8214C" w:rsidRDefault="00E8214C" w:rsidP="00E8214C">
      <w:pPr>
        <w:jc w:val="both"/>
      </w:pPr>
      <w:proofErr w:type="spellStart"/>
      <w:r w:rsidRPr="00E8214C">
        <w:rPr>
          <w:b/>
          <w:bCs/>
        </w:rPr>
        <w:t>Checklist</w:t>
      </w:r>
      <w:proofErr w:type="spellEnd"/>
      <w:r w:rsidRPr="00E8214C">
        <w:rPr>
          <w:b/>
          <w:bCs/>
        </w:rPr>
        <w:t xml:space="preserve"> de defensa para el asesor fiscal</w:t>
      </w:r>
    </w:p>
    <w:p w14:paraId="4EF7838F" w14:textId="77777777" w:rsidR="00E8214C" w:rsidRPr="00E8214C" w:rsidRDefault="00E8214C" w:rsidP="00E8214C">
      <w:pPr>
        <w:numPr>
          <w:ilvl w:val="0"/>
          <w:numId w:val="25"/>
        </w:numPr>
        <w:jc w:val="both"/>
      </w:pPr>
      <w:r w:rsidRPr="00E8214C">
        <w:t>Revisar contratos con profesionistas: ¿establecen expresamente que son de naturaleza civil, autonomía técnica, posibilidad de prestar servicios a otros, no prestaciones laborales, ingresos no mayoritarios?</w:t>
      </w:r>
    </w:p>
    <w:p w14:paraId="087EF246" w14:textId="77777777" w:rsidR="00E8214C" w:rsidRPr="00E8214C" w:rsidRDefault="00E8214C" w:rsidP="00E8214C">
      <w:pPr>
        <w:numPr>
          <w:ilvl w:val="0"/>
          <w:numId w:val="25"/>
        </w:numPr>
        <w:jc w:val="both"/>
      </w:pPr>
      <w:r w:rsidRPr="00E8214C">
        <w:t>Documentar la independencia operativa: evidencia de que el profesionista usa sus propios equipos, determina sus métodos, tiene otros clientes, no recibe instrucciones detalladas sobre </w:t>
      </w:r>
      <w:r w:rsidRPr="00E8214C">
        <w:rPr>
          <w:i/>
          <w:iCs/>
        </w:rPr>
        <w:t>cómo</w:t>
      </w:r>
      <w:r w:rsidRPr="00E8214C">
        <w:t> hacer el trabajo.</w:t>
      </w:r>
    </w:p>
    <w:p w14:paraId="09211B6F" w14:textId="77777777" w:rsidR="00E8214C" w:rsidRPr="00E8214C" w:rsidRDefault="00E8214C" w:rsidP="00E8214C">
      <w:pPr>
        <w:numPr>
          <w:ilvl w:val="0"/>
          <w:numId w:val="25"/>
        </w:numPr>
        <w:jc w:val="both"/>
      </w:pPr>
      <w:r w:rsidRPr="00E8214C">
        <w:t>Si es universidad, solicitar a los profesores declaración anual bajo protesta de sus ingresos y fuentes de trabajo. Ayuda a desplazar carga probatoria al IMSS.</w:t>
      </w:r>
    </w:p>
    <w:p w14:paraId="5626270C" w14:textId="77777777" w:rsidR="00E8214C" w:rsidRPr="00E8214C" w:rsidRDefault="00E8214C" w:rsidP="00E8214C">
      <w:pPr>
        <w:numPr>
          <w:ilvl w:val="0"/>
          <w:numId w:val="25"/>
        </w:numPr>
        <w:jc w:val="both"/>
      </w:pPr>
      <w:r w:rsidRPr="00E8214C">
        <w:t>No confiar en el Acuerdo 181/2008 del IMSS (no publicado en DOF). Señalar su falta de publicidad en juicio.</w:t>
      </w:r>
    </w:p>
    <w:p w14:paraId="10B4DA45" w14:textId="77777777" w:rsidR="00E8214C" w:rsidRPr="00E8214C" w:rsidRDefault="00E8214C" w:rsidP="00E8214C">
      <w:pPr>
        <w:numPr>
          <w:ilvl w:val="0"/>
          <w:numId w:val="25"/>
        </w:numPr>
        <w:jc w:val="both"/>
      </w:pPr>
      <w:r w:rsidRPr="00E8214C">
        <w:t>Si el IMSS ya determinó crédito, ofrecer </w:t>
      </w:r>
      <w:r w:rsidRPr="00E8214C">
        <w:rPr>
          <w:b/>
          <w:bCs/>
        </w:rPr>
        <w:t>todas las pruebas</w:t>
      </w:r>
      <w:r w:rsidRPr="00E8214C">
        <w:t> desde el procedimiento administrativo (recurso de inconformidad). No esperar al juicio.</w:t>
      </w:r>
    </w:p>
    <w:p w14:paraId="0526338E" w14:textId="77777777" w:rsidR="00E8214C" w:rsidRPr="00E8214C" w:rsidRDefault="00E8214C" w:rsidP="00E8214C">
      <w:pPr>
        <w:numPr>
          <w:ilvl w:val="0"/>
          <w:numId w:val="25"/>
        </w:numPr>
        <w:jc w:val="both"/>
      </w:pPr>
      <w:r w:rsidRPr="00E8214C">
        <w:lastRenderedPageBreak/>
        <w:t>Si el IMSS basa su determinación en el Acuerdo 181/2008, señalar su falta de publicación (artículo 7 del CFF).</w:t>
      </w:r>
    </w:p>
    <w:p w14:paraId="259481B0" w14:textId="77777777" w:rsidR="00E8214C" w:rsidRPr="00E8214C" w:rsidRDefault="00E8214C" w:rsidP="00E8214C">
      <w:pPr>
        <w:jc w:val="both"/>
      </w:pPr>
      <w:r w:rsidRPr="00E8214C">
        <w:rPr>
          <w:b/>
          <w:bCs/>
        </w:rPr>
        <w:t>Nota final para el asesor fiscal:</w:t>
      </w:r>
      <w:r w:rsidRPr="00E8214C">
        <w:t> Un contrato civil no es un escudo automático, pero tampoco es un papel mojado. Si está bien redactado y refleja la realidad operativa, desplaza la carga de la prueba a la autoridad. Y si la autoridad no tiene elementos objetivos de subordinación (órdenes directas, jornada, exclusividad, dirección de métodos), el contribuyente gana. El error más común es creer que "tener un contrato civil es suficiente". No es suficiente si la realidad operativa muestra subordinación. Pero si el contrato refleja la realidad (autonomía, pluralidad de clientes, ingresos no mayoritarios), desplaza la carga probatoria. El IMSS debe probar la subordinación. Sin evidencia de subordinación real, las cédulas de liquidación caen.</w:t>
      </w:r>
    </w:p>
    <w:p w14:paraId="4D401221" w14:textId="77777777" w:rsidR="00E8214C" w:rsidRPr="00E8214C" w:rsidRDefault="00000000" w:rsidP="00E8214C">
      <w:pPr>
        <w:jc w:val="both"/>
      </w:pPr>
      <w:r>
        <w:pict w14:anchorId="4CE644BC">
          <v:rect id="_x0000_i1045" style="width:0;height:.75pt" o:hralign="center" o:hrstd="t" o:hr="t" fillcolor="#a0a0a0" stroked="f"/>
        </w:pict>
      </w:r>
    </w:p>
    <w:p w14:paraId="2E0469FC" w14:textId="77777777" w:rsidR="00E8214C" w:rsidRPr="00E8214C" w:rsidRDefault="00E8214C" w:rsidP="00E8214C">
      <w:pPr>
        <w:jc w:val="both"/>
        <w:rPr>
          <w:b/>
          <w:bCs/>
        </w:rPr>
      </w:pPr>
      <w:r w:rsidRPr="00E8214C">
        <w:rPr>
          <w:b/>
          <w:bCs/>
        </w:rPr>
        <w:t>Apéndice 21 – Capítulo 21</w:t>
      </w:r>
    </w:p>
    <w:p w14:paraId="7A62B4E5" w14:textId="77777777" w:rsidR="00E8214C" w:rsidRPr="00E8214C" w:rsidRDefault="00E8214C" w:rsidP="00E8214C">
      <w:pPr>
        <w:jc w:val="both"/>
      </w:pPr>
      <w:r w:rsidRPr="00E8214C">
        <w:rPr>
          <w:b/>
          <w:bCs/>
        </w:rPr>
        <w:t>El SAT dijo que no revisaría un tema... luego lo revisó... y el Tribunal le dio la razón al empresario: la exclusión del oficio de inicio es vinculante</w:t>
      </w:r>
    </w:p>
    <w:p w14:paraId="37C2B8EB" w14:textId="77777777" w:rsidR="00E8214C" w:rsidRPr="00E8214C" w:rsidRDefault="00E8214C" w:rsidP="00E8214C">
      <w:pPr>
        <w:jc w:val="both"/>
      </w:pPr>
      <w:r w:rsidRPr="00E8214C">
        <w:rPr>
          <w:b/>
          <w:bCs/>
        </w:rPr>
        <w:t>Expediente:</w:t>
      </w:r>
      <w:r w:rsidRPr="00E8214C">
        <w:t> 9340/18-17-13-7/1120/19-S1-05-04 del Tribunal Federal de Justicia Administrativa (Primera Sección de la Sala Superior)</w:t>
      </w:r>
    </w:p>
    <w:p w14:paraId="443CCF6F" w14:textId="77777777" w:rsidR="00E8214C" w:rsidRPr="00E8214C" w:rsidRDefault="00E8214C" w:rsidP="00E8214C">
      <w:pPr>
        <w:jc w:val="both"/>
      </w:pPr>
      <w:r w:rsidRPr="00E8214C">
        <w:rPr>
          <w:b/>
          <w:bCs/>
        </w:rPr>
        <w:t>Los 10 puntos técnicos más relevantes para el asesor fiscal</w:t>
      </w:r>
    </w:p>
    <w:p w14:paraId="6BEEBAC6" w14:textId="77777777" w:rsidR="00E8214C" w:rsidRPr="00E8214C" w:rsidRDefault="00E8214C" w:rsidP="00E8214C">
      <w:pPr>
        <w:jc w:val="both"/>
      </w:pPr>
      <w:r w:rsidRPr="00E8214C">
        <w:rPr>
          <w:b/>
          <w:bCs/>
        </w:rPr>
        <w:t>1. La autoridad fiscal está vinculada por las exclusiones que ella misma establece en el oficio de inicio de facultades de comprobación</w:t>
      </w:r>
      <w:r w:rsidRPr="00E8214C">
        <w:br/>
        <w:t>Lo que se excluye expresamente no puede ser revisado ni sancionado. Violaría la garantía de seguridad jurídica y el principio de coherencia.</w:t>
      </w:r>
    </w:p>
    <w:p w14:paraId="40803BE2" w14:textId="77777777" w:rsidR="00E8214C" w:rsidRPr="00E8214C" w:rsidRDefault="00E8214C" w:rsidP="00E8214C">
      <w:pPr>
        <w:jc w:val="both"/>
      </w:pPr>
      <w:r w:rsidRPr="00E8214C">
        <w:rPr>
          <w:i/>
          <w:iCs/>
        </w:rPr>
        <w:t>Fundamento:</w:t>
      </w:r>
      <w:r w:rsidRPr="00E8214C">
        <w:t> Artículo 16 constitucional; artículo 48 del CFF.</w:t>
      </w:r>
    </w:p>
    <w:p w14:paraId="128633FB" w14:textId="77777777" w:rsidR="00E8214C" w:rsidRPr="00E8214C" w:rsidRDefault="00E8214C" w:rsidP="00E8214C">
      <w:pPr>
        <w:jc w:val="both"/>
      </w:pPr>
      <w:r w:rsidRPr="00E8214C">
        <w:rPr>
          <w:b/>
          <w:bCs/>
        </w:rPr>
        <w:t>2. Los ingresos obtenidos a través de una "</w:t>
      </w:r>
      <w:proofErr w:type="spellStart"/>
      <w:r w:rsidRPr="00E8214C">
        <w:rPr>
          <w:b/>
          <w:bCs/>
        </w:rPr>
        <w:t>Limited</w:t>
      </w:r>
      <w:proofErr w:type="spellEnd"/>
      <w:r w:rsidRPr="00E8214C">
        <w:rPr>
          <w:b/>
          <w:bCs/>
        </w:rPr>
        <w:t xml:space="preserve"> Partnership" extranjera transparente fiscalmente se consideran ingresos sujetos a REFIPRES, aun cuando el país no sea un paraíso fiscal</w:t>
      </w:r>
      <w:r w:rsidRPr="00E8214C">
        <w:br/>
        <w:t>El problema no fue la aplicación del REFIPRE, sino que el SAT excluyó ese tema de la revisión.</w:t>
      </w:r>
    </w:p>
    <w:p w14:paraId="4184E6B8" w14:textId="77777777" w:rsidR="00E8214C" w:rsidRPr="00E8214C" w:rsidRDefault="00E8214C" w:rsidP="00E8214C">
      <w:pPr>
        <w:jc w:val="both"/>
      </w:pPr>
      <w:r w:rsidRPr="00E8214C">
        <w:rPr>
          <w:i/>
          <w:iCs/>
        </w:rPr>
        <w:t>Fundamento:</w:t>
      </w:r>
      <w:r w:rsidRPr="00E8214C">
        <w:t> Artículo 212, séptimo párrafo de la LISR (vigente en 2010).</w:t>
      </w:r>
    </w:p>
    <w:p w14:paraId="22940613" w14:textId="77777777" w:rsidR="00E8214C" w:rsidRPr="00E8214C" w:rsidRDefault="00E8214C" w:rsidP="00E8214C">
      <w:pPr>
        <w:jc w:val="both"/>
      </w:pPr>
      <w:r w:rsidRPr="00E8214C">
        <w:rPr>
          <w:b/>
          <w:bCs/>
        </w:rPr>
        <w:t>3. La violación al principio de seguridad jurídica (artículo 16 constitucional) es suficiente para declarar la nulidad lisa y llana, independientemente de si el contribuyente debía o no el impuesto</w:t>
      </w:r>
      <w:r w:rsidRPr="00E8214C">
        <w:br/>
      </w:r>
      <w:r w:rsidRPr="00E8214C">
        <w:lastRenderedPageBreak/>
        <w:t>La nulidad se declara por el vicio de procedimiento (incoherencia), no por el fondo del impuesto. La autoridad actuó sin facultades.</w:t>
      </w:r>
    </w:p>
    <w:p w14:paraId="23B9C997" w14:textId="77777777" w:rsidR="00E8214C" w:rsidRPr="00E8214C" w:rsidRDefault="00E8214C" w:rsidP="00E8214C">
      <w:pPr>
        <w:jc w:val="both"/>
      </w:pPr>
      <w:r w:rsidRPr="00E8214C">
        <w:rPr>
          <w:i/>
          <w:iCs/>
        </w:rPr>
        <w:t>Fundamento:</w:t>
      </w:r>
      <w:r w:rsidRPr="00E8214C">
        <w:t> Artículo 16 constitucional; artículo 48 del CFF.</w:t>
      </w:r>
    </w:p>
    <w:p w14:paraId="297772A9" w14:textId="77777777" w:rsidR="00E8214C" w:rsidRPr="00E8214C" w:rsidRDefault="00E8214C" w:rsidP="00E8214C">
      <w:pPr>
        <w:jc w:val="both"/>
      </w:pPr>
      <w:r w:rsidRPr="00E8214C">
        <w:rPr>
          <w:b/>
          <w:bCs/>
        </w:rPr>
        <w:t>4. La nulidad de la resolución del crédito fiscal arrastra la nulidad de la resolución del recurso de revocación que la confirma</w:t>
      </w:r>
      <w:r w:rsidRPr="00E8214C">
        <w:br/>
        <w:t>La resolución del recurso de revocación "sigue la suerte de lo principal": si el acto original es nulo, la confirmación también lo es.</w:t>
      </w:r>
    </w:p>
    <w:p w14:paraId="667677D6" w14:textId="77777777" w:rsidR="00E8214C" w:rsidRPr="00E8214C" w:rsidRDefault="00E8214C" w:rsidP="00E8214C">
      <w:pPr>
        <w:jc w:val="both"/>
      </w:pPr>
      <w:r w:rsidRPr="00E8214C">
        <w:rPr>
          <w:i/>
          <w:iCs/>
        </w:rPr>
        <w:t>Fundamento:</w:t>
      </w:r>
      <w:r w:rsidRPr="00E8214C">
        <w:t> Artículo 131 del CFF; principio de accesoriedad.</w:t>
      </w:r>
    </w:p>
    <w:p w14:paraId="69E040A7" w14:textId="77777777" w:rsidR="00E8214C" w:rsidRPr="00E8214C" w:rsidRDefault="00E8214C" w:rsidP="00E8214C">
      <w:pPr>
        <w:jc w:val="both"/>
      </w:pPr>
      <w:r w:rsidRPr="00E8214C">
        <w:rPr>
          <w:b/>
          <w:bCs/>
        </w:rPr>
        <w:t>5. Para que proceda la nulidad por exclusión, no es necesario que la autoridad haya citado en el oficio de inicio los artículos específicos que luego aplica</w:t>
      </w:r>
      <w:r w:rsidRPr="00E8214C">
        <w:br/>
        <w:t>Lo relevante es que el concepto genérico haya sido excluido y luego sea la base del crédito fiscal. La exclusión genérica es vinculante.</w:t>
      </w:r>
    </w:p>
    <w:p w14:paraId="5B1D46CB" w14:textId="77777777" w:rsidR="00E8214C" w:rsidRPr="00E8214C" w:rsidRDefault="00E8214C" w:rsidP="00E8214C">
      <w:pPr>
        <w:jc w:val="both"/>
      </w:pPr>
      <w:r w:rsidRPr="00E8214C">
        <w:rPr>
          <w:i/>
          <w:iCs/>
        </w:rPr>
        <w:t>Fundamento:</w:t>
      </w:r>
      <w:r w:rsidRPr="00E8214C">
        <w:t> Artículo 48 del CFF; artículo 16 constitucional.</w:t>
      </w:r>
    </w:p>
    <w:p w14:paraId="0D31CAD1" w14:textId="77777777" w:rsidR="00E8214C" w:rsidRPr="00E8214C" w:rsidRDefault="00E8214C" w:rsidP="00E8214C">
      <w:pPr>
        <w:jc w:val="both"/>
      </w:pPr>
      <w:r w:rsidRPr="00E8214C">
        <w:rPr>
          <w:b/>
          <w:bCs/>
        </w:rPr>
        <w:t>6. La exclusión de materias en el oficio de inicio no puede subsanarse "tácitamente" porque el contribuyente haya proporcionado información relacionada durante la revisión</w:t>
      </w:r>
      <w:r w:rsidRPr="00E8214C">
        <w:br/>
        <w:t>El contribuyente no puede "renunciar" a la exclusión proporcionando información. La autoridad no puede aprovecharse de la buena fe del contribuyente.</w:t>
      </w:r>
    </w:p>
    <w:p w14:paraId="4A3E6B13" w14:textId="77777777" w:rsidR="00E8214C" w:rsidRPr="00E8214C" w:rsidRDefault="00E8214C" w:rsidP="00E8214C">
      <w:pPr>
        <w:jc w:val="both"/>
      </w:pPr>
      <w:r w:rsidRPr="00E8214C">
        <w:rPr>
          <w:i/>
          <w:iCs/>
        </w:rPr>
        <w:t>Fundamento:</w:t>
      </w:r>
      <w:r w:rsidRPr="00E8214C">
        <w:t> Artículo 16 constitucional; artículo 48 del CFF.</w:t>
      </w:r>
    </w:p>
    <w:p w14:paraId="579E85C0" w14:textId="77777777" w:rsidR="00E8214C" w:rsidRPr="00E8214C" w:rsidRDefault="00E8214C" w:rsidP="00E8214C">
      <w:pPr>
        <w:jc w:val="both"/>
      </w:pPr>
      <w:r w:rsidRPr="00E8214C">
        <w:rPr>
          <w:b/>
          <w:bCs/>
        </w:rPr>
        <w:t>7. La nulidad por violación al objeto de revisión es "lisa y llana". No requiere analizar si el crédito fiscal estaba bien calculado en el fondo</w:t>
      </w:r>
      <w:r w:rsidRPr="00E8214C">
        <w:br/>
        <w:t>El vicio de procedimiento es suficiente para anular todo el crédito fiscal derivado de la materia excluida.</w:t>
      </w:r>
    </w:p>
    <w:p w14:paraId="777E0C62" w14:textId="77777777" w:rsidR="00E8214C" w:rsidRPr="00E8214C" w:rsidRDefault="00E8214C" w:rsidP="00E8214C">
      <w:pPr>
        <w:jc w:val="both"/>
      </w:pPr>
      <w:r w:rsidRPr="00E8214C">
        <w:rPr>
          <w:i/>
          <w:iCs/>
        </w:rPr>
        <w:t>Fundamento:</w:t>
      </w:r>
      <w:r w:rsidRPr="00E8214C">
        <w:t> Artículo 52 de la LFCA; artículo 16 constitucional.</w:t>
      </w:r>
    </w:p>
    <w:p w14:paraId="39AE128C" w14:textId="77777777" w:rsidR="00E8214C" w:rsidRPr="00E8214C" w:rsidRDefault="00E8214C" w:rsidP="00E8214C">
      <w:pPr>
        <w:jc w:val="both"/>
      </w:pPr>
      <w:r w:rsidRPr="00E8214C">
        <w:rPr>
          <w:b/>
          <w:bCs/>
        </w:rPr>
        <w:t>8. El hecho de que la actora sea una sociedad anónima bursátil (S.A.B.) que forma parte del sistema financiero no le impide invocar la exclusión del objeto de revisión</w:t>
      </w:r>
      <w:r w:rsidRPr="00E8214C">
        <w:br/>
        <w:t>El principio de seguridad jurídica es universal. Todos tienen derecho a que la autoridad respete los términos de su propio oficio de inicio.</w:t>
      </w:r>
    </w:p>
    <w:p w14:paraId="660A63F1" w14:textId="77777777" w:rsidR="00E8214C" w:rsidRPr="00E8214C" w:rsidRDefault="00E8214C" w:rsidP="00E8214C">
      <w:pPr>
        <w:jc w:val="both"/>
      </w:pPr>
      <w:r w:rsidRPr="00E8214C">
        <w:rPr>
          <w:i/>
          <w:iCs/>
        </w:rPr>
        <w:t>Fundamento:</w:t>
      </w:r>
      <w:r w:rsidRPr="00E8214C">
        <w:t> Artículo 16 constitucional; artículo 31 constitucional.</w:t>
      </w:r>
    </w:p>
    <w:p w14:paraId="37A901A6" w14:textId="77777777" w:rsidR="00E8214C" w:rsidRPr="00E8214C" w:rsidRDefault="00E8214C" w:rsidP="00E8214C">
      <w:pPr>
        <w:jc w:val="both"/>
      </w:pPr>
      <w:r w:rsidRPr="00E8214C">
        <w:rPr>
          <w:b/>
          <w:bCs/>
        </w:rPr>
        <w:t xml:space="preserve">9. La solicitud de indemnización por daños y perjuicios (artículo 34 de la LSAT) requiere que la nulidad se funde en una "falta grave" (ausencia de </w:t>
      </w:r>
      <w:r w:rsidRPr="00E8214C">
        <w:rPr>
          <w:b/>
          <w:bCs/>
        </w:rPr>
        <w:lastRenderedPageBreak/>
        <w:t>fundamentación, contravención a jurisprudencia, o desvío de poder)</w:t>
      </w:r>
      <w:r w:rsidRPr="00E8214C">
        <w:br/>
        <w:t>La nulidad por violación al objeto de revisión (incoherencia procedimental) no constituye por sí misma una falta grave.</w:t>
      </w:r>
    </w:p>
    <w:p w14:paraId="69B102C3" w14:textId="77777777" w:rsidR="00E8214C" w:rsidRPr="00E8214C" w:rsidRDefault="00E8214C" w:rsidP="00E8214C">
      <w:pPr>
        <w:jc w:val="both"/>
      </w:pPr>
      <w:r w:rsidRPr="00E8214C">
        <w:rPr>
          <w:i/>
          <w:iCs/>
        </w:rPr>
        <w:t>Fundamento:</w:t>
      </w:r>
      <w:r w:rsidRPr="00E8214C">
        <w:t> Artículo 34 de la LSAT.</w:t>
      </w:r>
    </w:p>
    <w:p w14:paraId="46C3DB4A" w14:textId="77777777" w:rsidR="00E8214C" w:rsidRPr="00E8214C" w:rsidRDefault="00E8214C" w:rsidP="00E8214C">
      <w:pPr>
        <w:jc w:val="both"/>
      </w:pPr>
      <w:r w:rsidRPr="00E8214C">
        <w:rPr>
          <w:b/>
          <w:bCs/>
        </w:rPr>
        <w:t>10. El plazo máximo de la revisión de gabinete para una sociedad anónima bursátil (S.A.B.) es de 18 meses (artículo 46-A, inciso A, CFF), no de 12 meses, porque forma parte del sistema financiero</w:t>
      </w:r>
      <w:r w:rsidRPr="00E8214C">
        <w:br/>
        <w:t>Las S.A.B. tienen plazos más largos de fiscalización porque están supervisadas por la CNBV.</w:t>
      </w:r>
    </w:p>
    <w:p w14:paraId="62C087AA" w14:textId="77777777" w:rsidR="00E8214C" w:rsidRPr="00E8214C" w:rsidRDefault="00E8214C" w:rsidP="00E8214C">
      <w:pPr>
        <w:jc w:val="both"/>
      </w:pPr>
      <w:r w:rsidRPr="00E8214C">
        <w:rPr>
          <w:i/>
          <w:iCs/>
        </w:rPr>
        <w:t>Fundamento:</w:t>
      </w:r>
      <w:r w:rsidRPr="00E8214C">
        <w:t> Artículo 46-A, inciso A del CFF.</w:t>
      </w:r>
    </w:p>
    <w:p w14:paraId="0F21602C" w14:textId="77777777" w:rsidR="00E8214C" w:rsidRPr="00E8214C" w:rsidRDefault="00E8214C" w:rsidP="00E8214C">
      <w:pPr>
        <w:jc w:val="both"/>
      </w:pPr>
      <w:r w:rsidRPr="00E8214C">
        <w:rPr>
          <w:b/>
          <w:bCs/>
        </w:rPr>
        <w:t>Fundamento legal completo del caso</w:t>
      </w:r>
    </w:p>
    <w:p w14:paraId="0E73428B" w14:textId="77777777" w:rsidR="00E8214C" w:rsidRPr="00E8214C" w:rsidRDefault="00E8214C" w:rsidP="00E8214C">
      <w:pPr>
        <w:jc w:val="both"/>
      </w:pPr>
      <w:r w:rsidRPr="00E8214C">
        <w:rPr>
          <w:i/>
          <w:iCs/>
        </w:rPr>
        <w:t>Legislación aplicable:</w:t>
      </w:r>
      <w:r w:rsidRPr="00E8214C">
        <w:t> Artículo 16 constitucional; artículo 48 del CFF; artículo 212 séptimo párrafo de la LISR (2010); artículo 46-A inciso A del CFF; artículo 131 del CFF; artículo 34 de la LSAT; artículo 52 de la LFCA.</w:t>
      </w:r>
    </w:p>
    <w:p w14:paraId="76CC77B4" w14:textId="77777777" w:rsidR="00E8214C" w:rsidRPr="00E8214C" w:rsidRDefault="00E8214C" w:rsidP="00E8214C">
      <w:pPr>
        <w:jc w:val="both"/>
      </w:pPr>
      <w:r w:rsidRPr="00E8214C">
        <w:rPr>
          <w:i/>
          <w:iCs/>
        </w:rPr>
        <w:t>Jurisprudencia:</w:t>
      </w:r>
      <w:r w:rsidRPr="00E8214C">
        <w:t> 2a./J. 56/2017 (10a.); P./J. 16/2018 (10a.) de la SCJN.</w:t>
      </w:r>
    </w:p>
    <w:p w14:paraId="1D1930D9" w14:textId="77777777" w:rsidR="00E8214C" w:rsidRPr="00E8214C" w:rsidRDefault="00E8214C" w:rsidP="00E8214C">
      <w:pPr>
        <w:jc w:val="both"/>
      </w:pPr>
      <w:r w:rsidRPr="00E8214C">
        <w:rPr>
          <w:b/>
          <w:bCs/>
        </w:rPr>
        <w:t>Referencia al expediente completo</w:t>
      </w:r>
      <w:r w:rsidRPr="00E8214C">
        <w:br/>
        <w:t>El expediente 9340/18-17-13-7/1120/19-S1-05-04 puede ser consultado en el TFJA o SISE.</w:t>
      </w:r>
    </w:p>
    <w:p w14:paraId="6A73C36E" w14:textId="77777777" w:rsidR="00E8214C" w:rsidRPr="00E8214C" w:rsidRDefault="00E8214C" w:rsidP="00E8214C">
      <w:pPr>
        <w:jc w:val="both"/>
      </w:pPr>
      <w:proofErr w:type="spellStart"/>
      <w:r w:rsidRPr="00E8214C">
        <w:rPr>
          <w:b/>
          <w:bCs/>
        </w:rPr>
        <w:t>Checklist</w:t>
      </w:r>
      <w:proofErr w:type="spellEnd"/>
      <w:r w:rsidRPr="00E8214C">
        <w:rPr>
          <w:b/>
          <w:bCs/>
        </w:rPr>
        <w:t xml:space="preserve"> de defensa para el asesor fiscal</w:t>
      </w:r>
    </w:p>
    <w:p w14:paraId="761D418D" w14:textId="77777777" w:rsidR="00E8214C" w:rsidRPr="00E8214C" w:rsidRDefault="00E8214C" w:rsidP="00E8214C">
      <w:pPr>
        <w:numPr>
          <w:ilvl w:val="0"/>
          <w:numId w:val="26"/>
        </w:numPr>
        <w:jc w:val="both"/>
      </w:pPr>
      <w:r w:rsidRPr="00E8214C">
        <w:t>Guardar copia de TODOS los oficios de inicio de auditoría. Leer la sección donde la autoridad señala "lo que no será objeto de revisión". Esa exclusión es oro.</w:t>
      </w:r>
    </w:p>
    <w:p w14:paraId="5B68C252" w14:textId="77777777" w:rsidR="00E8214C" w:rsidRPr="00E8214C" w:rsidRDefault="00E8214C" w:rsidP="00E8214C">
      <w:pPr>
        <w:numPr>
          <w:ilvl w:val="0"/>
          <w:numId w:val="26"/>
        </w:numPr>
        <w:jc w:val="both"/>
      </w:pPr>
      <w:r w:rsidRPr="00E8214C">
        <w:t>Si la autoridad excluyó un tema, NO entregar información voluntariamente sobre ese tema. El contribuyente puede (y debe) negarse fundadamente.</w:t>
      </w:r>
    </w:p>
    <w:p w14:paraId="5CF3A69E" w14:textId="77777777" w:rsidR="00E8214C" w:rsidRPr="00E8214C" w:rsidRDefault="00E8214C" w:rsidP="00E8214C">
      <w:pPr>
        <w:numPr>
          <w:ilvl w:val="0"/>
          <w:numId w:val="26"/>
        </w:numPr>
        <w:jc w:val="both"/>
      </w:pPr>
      <w:r w:rsidRPr="00E8214C">
        <w:t>Si el SAT determina un crédito fiscal basado en una materia excluida, impugnar de inmediato. El argumento es la violación procesal: la autoridad no respetó los términos de su propia fiscalización.</w:t>
      </w:r>
    </w:p>
    <w:p w14:paraId="0A4BEBA5" w14:textId="77777777" w:rsidR="00E8214C" w:rsidRPr="00E8214C" w:rsidRDefault="00E8214C" w:rsidP="00E8214C">
      <w:pPr>
        <w:numPr>
          <w:ilvl w:val="0"/>
          <w:numId w:val="26"/>
        </w:numPr>
        <w:jc w:val="both"/>
      </w:pPr>
      <w:r w:rsidRPr="00E8214C">
        <w:t>No confiar en que "el SAT puede ampliar la revisión tácitamente". La ley exige ampliación expresa y notificada.</w:t>
      </w:r>
    </w:p>
    <w:p w14:paraId="1D9BD02A" w14:textId="77777777" w:rsidR="00E8214C" w:rsidRPr="00E8214C" w:rsidRDefault="00E8214C" w:rsidP="00E8214C">
      <w:pPr>
        <w:numPr>
          <w:ilvl w:val="0"/>
          <w:numId w:val="26"/>
        </w:numPr>
        <w:jc w:val="both"/>
      </w:pPr>
      <w:r w:rsidRPr="00E8214C">
        <w:t>Documentar todo el procedimiento de fiscalización: oficios de inicio, solicitudes de información, respuestas, actas parciales, resolución final.</w:t>
      </w:r>
    </w:p>
    <w:p w14:paraId="7D8DB013" w14:textId="77777777" w:rsidR="00E8214C" w:rsidRPr="00E8214C" w:rsidRDefault="00E8214C" w:rsidP="00E8214C">
      <w:pPr>
        <w:numPr>
          <w:ilvl w:val="0"/>
          <w:numId w:val="26"/>
        </w:numPr>
        <w:jc w:val="both"/>
      </w:pPr>
      <w:r w:rsidRPr="00E8214C">
        <w:lastRenderedPageBreak/>
        <w:t xml:space="preserve">Si la exclusión fue genérica (ej. "no se revisarán ingresos sujetos a REFIPRES"), esa exclusión es </w:t>
      </w:r>
      <w:proofErr w:type="gramStart"/>
      <w:r w:rsidRPr="00E8214C">
        <w:t>vinculante</w:t>
      </w:r>
      <w:proofErr w:type="gramEnd"/>
      <w:r w:rsidRPr="00E8214C">
        <w:t xml:space="preserve"> aunque no cite artículos específicos.</w:t>
      </w:r>
    </w:p>
    <w:p w14:paraId="3FA8BA6B" w14:textId="77777777" w:rsidR="00E8214C" w:rsidRPr="00E8214C" w:rsidRDefault="00E8214C" w:rsidP="00E8214C">
      <w:pPr>
        <w:numPr>
          <w:ilvl w:val="0"/>
          <w:numId w:val="26"/>
        </w:numPr>
        <w:jc w:val="both"/>
      </w:pPr>
      <w:r w:rsidRPr="00E8214C">
        <w:t>Si el cliente es S.A.B., tener en cuenta que el plazo de revisión de gabinete es de 18 meses, no 12.</w:t>
      </w:r>
    </w:p>
    <w:p w14:paraId="47047BE7" w14:textId="77777777" w:rsidR="00E8214C" w:rsidRPr="00E8214C" w:rsidRDefault="00E8214C" w:rsidP="00E8214C">
      <w:pPr>
        <w:numPr>
          <w:ilvl w:val="0"/>
          <w:numId w:val="26"/>
        </w:numPr>
        <w:jc w:val="both"/>
      </w:pPr>
      <w:r w:rsidRPr="00E8214C">
        <w:t>Si el SAT viola el objeto de revisión, solicitar nulidad lisa y llana, no "para efectos".</w:t>
      </w:r>
    </w:p>
    <w:p w14:paraId="12122F60" w14:textId="77777777" w:rsidR="00E8214C" w:rsidRPr="00E8214C" w:rsidRDefault="00E8214C" w:rsidP="00E8214C">
      <w:pPr>
        <w:numPr>
          <w:ilvl w:val="0"/>
          <w:numId w:val="26"/>
        </w:numPr>
        <w:jc w:val="both"/>
      </w:pPr>
      <w:r w:rsidRPr="00E8214C">
        <w:t>Si también se solicita indemnización, tener en cuenta que la nulidad por violación al objeto de revisión no es automáticamente una "falta grave" (artículo 34 de la LSAT).</w:t>
      </w:r>
    </w:p>
    <w:p w14:paraId="5EB04346" w14:textId="77777777" w:rsidR="00E8214C" w:rsidRPr="00E8214C" w:rsidRDefault="00E8214C" w:rsidP="00E8214C">
      <w:pPr>
        <w:numPr>
          <w:ilvl w:val="0"/>
          <w:numId w:val="26"/>
        </w:numPr>
        <w:jc w:val="both"/>
      </w:pPr>
      <w:r w:rsidRPr="00E8214C">
        <w:t>Impugnar también la resolución del recurso de revocación (si la hay). La nulidad del acto original arrastra la nulidad de la confirmación.</w:t>
      </w:r>
    </w:p>
    <w:p w14:paraId="2B11C69F" w14:textId="77777777" w:rsidR="00E8214C" w:rsidRPr="00E8214C" w:rsidRDefault="00E8214C" w:rsidP="00E8214C">
      <w:pPr>
        <w:jc w:val="both"/>
      </w:pPr>
      <w:r w:rsidRPr="00E8214C">
        <w:rPr>
          <w:b/>
          <w:bCs/>
        </w:rPr>
        <w:t>Nota final para el asesor fiscal:</w:t>
      </w:r>
      <w:r w:rsidRPr="00E8214C">
        <w:t xml:space="preserve"> La autoridad fiscal está vinculada por lo que dice en el oficio de inicio. Si el SAT excluyó un tema, no puede después revisarlo y sancionarlo. La exclusión es vinculante. El principio de seguridad jurídica (artículo 16 constitucional) exige que la autoridad respete los términos de su propio acto de molestia. El error más común es pensar que "el SAT puede revisar todo". No es así. El oficio de inicio es una </w:t>
      </w:r>
      <w:proofErr w:type="spellStart"/>
      <w:proofErr w:type="gramStart"/>
      <w:r w:rsidRPr="00E8214C">
        <w:t>auto-limitación</w:t>
      </w:r>
      <w:proofErr w:type="spellEnd"/>
      <w:proofErr w:type="gramEnd"/>
      <w:r w:rsidRPr="00E8214C">
        <w:t xml:space="preserve"> de la autoridad. Si la autoridad dice que no revisará cierto tema, está renunciando a sus facultades sobre ese tema. Guarde copia del oficio de inicio. Identifique las exclusiones. Si el SAT viola su propia exclusión, impugne. No importa si el impuesto era debido o no. La autoridad actuó sin facultades. Eso es suficiente para anular el crédito fiscal.</w:t>
      </w:r>
    </w:p>
    <w:p w14:paraId="4B6655F7" w14:textId="77777777" w:rsidR="002960B5" w:rsidRPr="002960B5" w:rsidRDefault="002960B5" w:rsidP="002960B5">
      <w:pPr>
        <w:jc w:val="both"/>
        <w:rPr>
          <w:b/>
          <w:bCs/>
        </w:rPr>
      </w:pPr>
      <w:r w:rsidRPr="002960B5">
        <w:rPr>
          <w:b/>
          <w:bCs/>
        </w:rPr>
        <w:t>Apéndice 22 – Capítulo 22</w:t>
      </w:r>
    </w:p>
    <w:p w14:paraId="2FFCC025" w14:textId="77777777" w:rsidR="002960B5" w:rsidRPr="002960B5" w:rsidRDefault="002960B5" w:rsidP="002960B5">
      <w:pPr>
        <w:jc w:val="both"/>
      </w:pPr>
      <w:r w:rsidRPr="002960B5">
        <w:rPr>
          <w:b/>
          <w:bCs/>
        </w:rPr>
        <w:t>Si su esquema fiscal sigue produciendo efectos hoy, debe reportarlo: así lo dijo la Suprema Corte (Minera Peñasquito)</w:t>
      </w:r>
    </w:p>
    <w:p w14:paraId="0E641600" w14:textId="77777777" w:rsidR="002960B5" w:rsidRPr="002960B5" w:rsidRDefault="002960B5" w:rsidP="002960B5">
      <w:pPr>
        <w:jc w:val="both"/>
      </w:pPr>
      <w:r w:rsidRPr="002960B5">
        <w:rPr>
          <w:b/>
          <w:bCs/>
        </w:rPr>
        <w:t>Expediente:</w:t>
      </w:r>
      <w:r w:rsidRPr="002960B5">
        <w:t> Amparo Directo en Revisión 4/2023 de la Segunda Sala de la Suprema Corte de Justicia de la Nación</w:t>
      </w:r>
    </w:p>
    <w:p w14:paraId="30ACA736" w14:textId="77777777" w:rsidR="002960B5" w:rsidRPr="002960B5" w:rsidRDefault="002960B5" w:rsidP="002960B5">
      <w:pPr>
        <w:jc w:val="both"/>
      </w:pPr>
      <w:r w:rsidRPr="002960B5">
        <w:rPr>
          <w:b/>
          <w:bCs/>
        </w:rPr>
        <w:t>Los 10 puntos técnicos más relevantes para el asesor fiscal</w:t>
      </w:r>
    </w:p>
    <w:p w14:paraId="6A9798B5" w14:textId="77777777" w:rsidR="002960B5" w:rsidRPr="002960B5" w:rsidRDefault="002960B5" w:rsidP="002960B5">
      <w:pPr>
        <w:jc w:val="both"/>
      </w:pPr>
      <w:r w:rsidRPr="002960B5">
        <w:rPr>
          <w:b/>
          <w:bCs/>
        </w:rPr>
        <w:t>1. La obligación de revelar esquemas diseñados antes de la vigencia de la ley no es retroactiva si siguen produciendo efectos fiscales a partir de 2020</w:t>
      </w:r>
      <w:r w:rsidRPr="002960B5">
        <w:br/>
        <w:t>El parámetro no es cuándo se diseñó el esquema, sino cuándo sus efectos fiscales se reflejan en el presente. Si el esquema sigue generando beneficios hoy, la obligación es contemporánea.</w:t>
      </w:r>
    </w:p>
    <w:p w14:paraId="54CA4CA4" w14:textId="77777777" w:rsidR="002960B5" w:rsidRPr="002960B5" w:rsidRDefault="002960B5" w:rsidP="002960B5">
      <w:pPr>
        <w:jc w:val="both"/>
      </w:pPr>
      <w:r w:rsidRPr="002960B5">
        <w:rPr>
          <w:i/>
          <w:iCs/>
        </w:rPr>
        <w:t>Fundamento:</w:t>
      </w:r>
      <w:r w:rsidRPr="002960B5">
        <w:t> Artículo 14 constitucional; artículo 1 del CFF.</w:t>
      </w:r>
    </w:p>
    <w:p w14:paraId="6FEB1734" w14:textId="77777777" w:rsidR="002960B5" w:rsidRPr="002960B5" w:rsidRDefault="002960B5" w:rsidP="002960B5">
      <w:pPr>
        <w:jc w:val="both"/>
      </w:pPr>
      <w:r w:rsidRPr="002960B5">
        <w:rPr>
          <w:b/>
          <w:bCs/>
        </w:rPr>
        <w:lastRenderedPageBreak/>
        <w:t>2. Un "esquema reportable" es una estrategia fiscal completa, no actos jurídicos aislados</w:t>
      </w:r>
      <w:r w:rsidRPr="002960B5">
        <w:br/>
        <w:t>Una estrategia que se utiliza año tras año (estructura de precios de transferencia, forma de financiamiento, reestructura societaria) es reportable. Un acto aislado (venta de acciones en 2018) no lo es.</w:t>
      </w:r>
    </w:p>
    <w:p w14:paraId="28E607C0" w14:textId="77777777" w:rsidR="002960B5" w:rsidRPr="002960B5" w:rsidRDefault="002960B5" w:rsidP="002960B5">
      <w:pPr>
        <w:jc w:val="both"/>
      </w:pPr>
      <w:r w:rsidRPr="002960B5">
        <w:rPr>
          <w:i/>
          <w:iCs/>
        </w:rPr>
        <w:t>Fundamento:</w:t>
      </w:r>
      <w:r w:rsidRPr="002960B5">
        <w:t> Artículo 1, párrafo tercero del CFF; Título Sexto del CFF.</w:t>
      </w:r>
    </w:p>
    <w:p w14:paraId="1BC40CEC" w14:textId="77777777" w:rsidR="002960B5" w:rsidRPr="002960B5" w:rsidRDefault="002960B5" w:rsidP="002960B5">
      <w:pPr>
        <w:jc w:val="both"/>
      </w:pPr>
      <w:r w:rsidRPr="002960B5">
        <w:rPr>
          <w:b/>
          <w:bCs/>
        </w:rPr>
        <w:t>3. Los contribuyentes no tienen un derecho adquirido a ocultar sus estrategias fiscales ni a que el sistema tributario permanezca estático</w:t>
      </w:r>
      <w:r w:rsidRPr="002960B5">
        <w:br/>
        <w:t>Antes de 2020 existía una mera expectativa de no revelar esquemas, no un derecho adquirido. El legislador puede modificar las obligaciones formales de información.</w:t>
      </w:r>
    </w:p>
    <w:p w14:paraId="4B3067BD" w14:textId="77777777" w:rsidR="002960B5" w:rsidRPr="002960B5" w:rsidRDefault="002960B5" w:rsidP="002960B5">
      <w:pPr>
        <w:jc w:val="both"/>
      </w:pPr>
      <w:r w:rsidRPr="002960B5">
        <w:rPr>
          <w:i/>
          <w:iCs/>
        </w:rPr>
        <w:t>Fundamento:</w:t>
      </w:r>
      <w:r w:rsidRPr="002960B5">
        <w:t> Artículo 14 constitucional; artículo 5 del CFF.</w:t>
      </w:r>
    </w:p>
    <w:p w14:paraId="1B08ABBB" w14:textId="77777777" w:rsidR="002960B5" w:rsidRPr="002960B5" w:rsidRDefault="002960B5" w:rsidP="002960B5">
      <w:pPr>
        <w:jc w:val="both"/>
      </w:pPr>
      <w:r w:rsidRPr="002960B5">
        <w:rPr>
          <w:b/>
          <w:bCs/>
        </w:rPr>
        <w:t>4. La seguridad jurídica no se viola por falta de un "límite temporal hacia el pasado" (ej. solo 5 o 10 años). El parámetro es funcional (efectos fiscales en 2020)</w:t>
      </w:r>
      <w:r w:rsidRPr="002960B5">
        <w:br/>
        <w:t>Cualquier esquema anterior a 2020 con efectos fiscales en o a partir de 2020 debe revelarse. No hay necesidad de un límite temporal arbitrario.</w:t>
      </w:r>
    </w:p>
    <w:p w14:paraId="36B0F841" w14:textId="77777777" w:rsidR="002960B5" w:rsidRPr="002960B5" w:rsidRDefault="002960B5" w:rsidP="002960B5">
      <w:pPr>
        <w:jc w:val="both"/>
      </w:pPr>
      <w:r w:rsidRPr="002960B5">
        <w:rPr>
          <w:i/>
          <w:iCs/>
        </w:rPr>
        <w:t>Fundamento:</w:t>
      </w:r>
      <w:r w:rsidRPr="002960B5">
        <w:t> Artículo 16 constitucional; artículo 1 del CFF.</w:t>
      </w:r>
    </w:p>
    <w:p w14:paraId="3E30AEDA" w14:textId="77777777" w:rsidR="002960B5" w:rsidRPr="002960B5" w:rsidRDefault="002960B5" w:rsidP="002960B5">
      <w:pPr>
        <w:jc w:val="both"/>
      </w:pPr>
      <w:r w:rsidRPr="002960B5">
        <w:rPr>
          <w:b/>
          <w:bCs/>
        </w:rPr>
        <w:t>5. El plazo de 5 años para conservar contabilidad (artículo 30 del CFF) no impide revelar esquemas más antiguos</w:t>
      </w:r>
      <w:r w:rsidRPr="002960B5">
        <w:br/>
        <w:t>Si un esquema de 2010 produce efectos en 2020, la contabilidad de 2010 debe conservarse hasta 2025. No hay contradicción.</w:t>
      </w:r>
    </w:p>
    <w:p w14:paraId="6CB0C7D8" w14:textId="77777777" w:rsidR="002960B5" w:rsidRPr="002960B5" w:rsidRDefault="002960B5" w:rsidP="002960B5">
      <w:pPr>
        <w:jc w:val="both"/>
      </w:pPr>
      <w:r w:rsidRPr="002960B5">
        <w:rPr>
          <w:i/>
          <w:iCs/>
        </w:rPr>
        <w:t>Fundamento:</w:t>
      </w:r>
      <w:r w:rsidRPr="002960B5">
        <w:t> Artículo 30, fracción II, inciso a del CFF.</w:t>
      </w:r>
    </w:p>
    <w:p w14:paraId="54EFA3D3" w14:textId="77777777" w:rsidR="002960B5" w:rsidRPr="002960B5" w:rsidRDefault="002960B5" w:rsidP="002960B5">
      <w:pPr>
        <w:jc w:val="both"/>
      </w:pPr>
      <w:r w:rsidRPr="002960B5">
        <w:rPr>
          <w:b/>
          <w:bCs/>
        </w:rPr>
        <w:t>6. La norma de esquemas reportables es diferente a las normas sobre duración de visitas domiciliarias (artículo 46-A del CFF, declarado inconstitucional)</w:t>
      </w:r>
      <w:r w:rsidRPr="002960B5">
        <w:br/>
        <w:t>La revelación de esquemas es una obligación formal de información, no un acto de fiscalización. No requiere límite temporal hacia el pasado.</w:t>
      </w:r>
    </w:p>
    <w:p w14:paraId="086CC753" w14:textId="77777777" w:rsidR="002960B5" w:rsidRPr="002960B5" w:rsidRDefault="002960B5" w:rsidP="002960B5">
      <w:pPr>
        <w:jc w:val="both"/>
      </w:pPr>
      <w:r w:rsidRPr="002960B5">
        <w:rPr>
          <w:i/>
          <w:iCs/>
        </w:rPr>
        <w:t>Fundamento:</w:t>
      </w:r>
      <w:r w:rsidRPr="002960B5">
        <w:t> Artículo 46-A del CFF; artículo 16 constitucional.</w:t>
      </w:r>
    </w:p>
    <w:p w14:paraId="50275D52" w14:textId="77777777" w:rsidR="002960B5" w:rsidRPr="002960B5" w:rsidRDefault="002960B5" w:rsidP="002960B5">
      <w:pPr>
        <w:jc w:val="both"/>
      </w:pPr>
      <w:r w:rsidRPr="002960B5">
        <w:rPr>
          <w:b/>
          <w:bCs/>
        </w:rPr>
        <w:t>7. Revelar un esquema no modifica la situación fiscal ni implica aceptación de su legalidad. Es una mera obligación formal de información</w:t>
      </w:r>
      <w:r w:rsidRPr="002960B5">
        <w:br/>
        <w:t>El contribuyente no está aceptando que el esquema es ilegal; solo está cumpliendo con una obligación de informar. Su derecho a impugnar la legalidad del esquema en una auditoría sigue intacto.</w:t>
      </w:r>
    </w:p>
    <w:p w14:paraId="1133E60A" w14:textId="77777777" w:rsidR="002960B5" w:rsidRPr="002960B5" w:rsidRDefault="002960B5" w:rsidP="002960B5">
      <w:pPr>
        <w:jc w:val="both"/>
      </w:pPr>
      <w:r w:rsidRPr="002960B5">
        <w:rPr>
          <w:i/>
          <w:iCs/>
        </w:rPr>
        <w:t>Fundamento:</w:t>
      </w:r>
      <w:r w:rsidRPr="002960B5">
        <w:t> Artículo 14 constitucional; artículo 1 del CFF.</w:t>
      </w:r>
    </w:p>
    <w:p w14:paraId="0F0CB98B" w14:textId="77777777" w:rsidR="002960B5" w:rsidRPr="002960B5" w:rsidRDefault="002960B5" w:rsidP="002960B5">
      <w:pPr>
        <w:jc w:val="both"/>
      </w:pPr>
      <w:r w:rsidRPr="002960B5">
        <w:rPr>
          <w:b/>
          <w:bCs/>
        </w:rPr>
        <w:lastRenderedPageBreak/>
        <w:t>8. La Acción 12 del Proyecto BEPS de la OCDE sirve como contexto interpretativo para validar la constitucionalidad de la ley</w:t>
      </w:r>
      <w:r w:rsidRPr="002960B5">
        <w:br/>
        <w:t>México está obligado a implementar regímenes de revelación como miembro de la OCDE. La constitucionalidad se refuerza por su origen internacional.</w:t>
      </w:r>
    </w:p>
    <w:p w14:paraId="7636CDE7" w14:textId="77777777" w:rsidR="002960B5" w:rsidRPr="002960B5" w:rsidRDefault="002960B5" w:rsidP="002960B5">
      <w:pPr>
        <w:jc w:val="both"/>
      </w:pPr>
      <w:r w:rsidRPr="002960B5">
        <w:rPr>
          <w:i/>
          <w:iCs/>
        </w:rPr>
        <w:t>Fundamento:</w:t>
      </w:r>
      <w:r w:rsidRPr="002960B5">
        <w:t> Acción 12 del Proyecto BEPS de la OCDE; artículo 133 constitucional.</w:t>
      </w:r>
    </w:p>
    <w:p w14:paraId="2F8610E7" w14:textId="77777777" w:rsidR="002960B5" w:rsidRPr="002960B5" w:rsidRDefault="002960B5" w:rsidP="002960B5">
      <w:pPr>
        <w:jc w:val="both"/>
      </w:pPr>
      <w:r w:rsidRPr="002960B5">
        <w:rPr>
          <w:b/>
          <w:bCs/>
        </w:rPr>
        <w:t>9. Aplicando la teoría de los componentes de la norma, el "hecho" que genera la obligación de revelar es la existencia de efectos fiscales en 2020 (posteriores a la ley), no el diseño del esquema (anterior)</w:t>
      </w:r>
      <w:r w:rsidRPr="002960B5">
        <w:br/>
        <w:t>La obligación se genera cuando el esquema sigue produciendo efectos fiscales en el ejercicio relevante. Como esos efectos ocurren después de la vigencia de la ley, no hay retroactividad.</w:t>
      </w:r>
    </w:p>
    <w:p w14:paraId="45433CAB" w14:textId="77777777" w:rsidR="002960B5" w:rsidRPr="002960B5" w:rsidRDefault="002960B5" w:rsidP="002960B5">
      <w:pPr>
        <w:jc w:val="both"/>
      </w:pPr>
      <w:r w:rsidRPr="002960B5">
        <w:rPr>
          <w:i/>
          <w:iCs/>
        </w:rPr>
        <w:t>Fundamento:</w:t>
      </w:r>
      <w:r w:rsidRPr="002960B5">
        <w:t> Artículo 14 constitucional; artículo 1 del CFF.</w:t>
      </w:r>
    </w:p>
    <w:p w14:paraId="3F7B424A" w14:textId="77777777" w:rsidR="002960B5" w:rsidRPr="002960B5" w:rsidRDefault="002960B5" w:rsidP="002960B5">
      <w:pPr>
        <w:jc w:val="both"/>
      </w:pPr>
      <w:r w:rsidRPr="002960B5">
        <w:rPr>
          <w:b/>
          <w:bCs/>
        </w:rPr>
        <w:t>10. El argumento de que la norma es "obscura" por no definir "efectos fiscales" debe plantearse en la demanda de amparo; si se introduce por primera vez en la revisión, es inoperante</w:t>
      </w:r>
      <w:r w:rsidRPr="002960B5">
        <w:br/>
        <w:t>La revisión no es una nueva instancia para ampliar la litis constitucional. Los argumentos deben plantearse en la demanda de amparo.</w:t>
      </w:r>
    </w:p>
    <w:p w14:paraId="76AAE65F" w14:textId="77777777" w:rsidR="002960B5" w:rsidRPr="002960B5" w:rsidRDefault="002960B5" w:rsidP="002960B5">
      <w:pPr>
        <w:jc w:val="both"/>
      </w:pPr>
      <w:r w:rsidRPr="002960B5">
        <w:rPr>
          <w:i/>
          <w:iCs/>
        </w:rPr>
        <w:t>Fundamento:</w:t>
      </w:r>
      <w:r w:rsidRPr="002960B5">
        <w:t> Ley de Amparo, artículos 107 y 108.</w:t>
      </w:r>
    </w:p>
    <w:p w14:paraId="1554D462" w14:textId="77777777" w:rsidR="002960B5" w:rsidRPr="002960B5" w:rsidRDefault="002960B5" w:rsidP="002960B5">
      <w:pPr>
        <w:jc w:val="both"/>
      </w:pPr>
      <w:r w:rsidRPr="002960B5">
        <w:rPr>
          <w:b/>
          <w:bCs/>
        </w:rPr>
        <w:t>Fundamento legal completo del caso</w:t>
      </w:r>
    </w:p>
    <w:p w14:paraId="72646F77" w14:textId="77777777" w:rsidR="002960B5" w:rsidRPr="002960B5" w:rsidRDefault="002960B5" w:rsidP="002960B5">
      <w:pPr>
        <w:jc w:val="both"/>
      </w:pPr>
      <w:r w:rsidRPr="002960B5">
        <w:rPr>
          <w:i/>
          <w:iCs/>
        </w:rPr>
        <w:t>Legislación aplicable:</w:t>
      </w:r>
      <w:r w:rsidRPr="002960B5">
        <w:t> Artículos 14, 16, 133 constitucionales; artículos 1, 5, 30 fracción II inciso a, 46-A del CFF; Título Sexto del CFF (esquemas reportables); Ley de Amparo artículos 107, 108.</w:t>
      </w:r>
    </w:p>
    <w:p w14:paraId="12152D75" w14:textId="77777777" w:rsidR="002960B5" w:rsidRPr="002960B5" w:rsidRDefault="002960B5" w:rsidP="002960B5">
      <w:pPr>
        <w:jc w:val="both"/>
      </w:pPr>
      <w:r w:rsidRPr="002960B5">
        <w:rPr>
          <w:i/>
          <w:iCs/>
        </w:rPr>
        <w:t>Fuentes internacionales:</w:t>
      </w:r>
      <w:r w:rsidRPr="002960B5">
        <w:t> Acción 12 del Proyecto BEPS de la OCDE; Marco Inclusivo de la OCDE/G20.</w:t>
      </w:r>
    </w:p>
    <w:p w14:paraId="517D937B" w14:textId="77777777" w:rsidR="002960B5" w:rsidRPr="002960B5" w:rsidRDefault="002960B5" w:rsidP="002960B5">
      <w:pPr>
        <w:jc w:val="both"/>
      </w:pPr>
      <w:r w:rsidRPr="002960B5">
        <w:rPr>
          <w:i/>
          <w:iCs/>
        </w:rPr>
        <w:t>Jurisprudencia:</w:t>
      </w:r>
      <w:r w:rsidRPr="002960B5">
        <w:t> P./J. 16/2018 (10a.); 2a./J. 56/2017 (10a.) de la SCJN.</w:t>
      </w:r>
    </w:p>
    <w:p w14:paraId="598FB571" w14:textId="77777777" w:rsidR="002960B5" w:rsidRPr="002960B5" w:rsidRDefault="002960B5" w:rsidP="002960B5">
      <w:pPr>
        <w:jc w:val="both"/>
      </w:pPr>
      <w:r w:rsidRPr="002960B5">
        <w:rPr>
          <w:b/>
          <w:bCs/>
        </w:rPr>
        <w:t>Referencia al expediente completo</w:t>
      </w:r>
      <w:r w:rsidRPr="002960B5">
        <w:br/>
        <w:t>El Amparo Directo en Revisión 4/2023 puede ser consultado en el Semanario Judicial de la Federación o SISE.</w:t>
      </w:r>
    </w:p>
    <w:p w14:paraId="79308F22" w14:textId="77777777" w:rsidR="002960B5" w:rsidRPr="002960B5" w:rsidRDefault="002960B5" w:rsidP="002960B5">
      <w:pPr>
        <w:jc w:val="both"/>
      </w:pPr>
      <w:proofErr w:type="spellStart"/>
      <w:r w:rsidRPr="002960B5">
        <w:rPr>
          <w:b/>
          <w:bCs/>
        </w:rPr>
        <w:t>Checklist</w:t>
      </w:r>
      <w:proofErr w:type="spellEnd"/>
      <w:r w:rsidRPr="002960B5">
        <w:rPr>
          <w:b/>
          <w:bCs/>
        </w:rPr>
        <w:t xml:space="preserve"> de defensa para el asesor fiscal</w:t>
      </w:r>
    </w:p>
    <w:p w14:paraId="56EFF872" w14:textId="77777777" w:rsidR="002960B5" w:rsidRPr="002960B5" w:rsidRDefault="002960B5" w:rsidP="002960B5">
      <w:pPr>
        <w:numPr>
          <w:ilvl w:val="0"/>
          <w:numId w:val="27"/>
        </w:numPr>
        <w:jc w:val="both"/>
      </w:pPr>
      <w:r w:rsidRPr="002960B5">
        <w:t xml:space="preserve">Revisar si el cliente o su empresa tienen esquemas reportables no revelados. Un esquema reportable es cualquier plan que tenga como objetivo obtener un </w:t>
      </w:r>
      <w:r w:rsidRPr="002960B5">
        <w:lastRenderedPageBreak/>
        <w:t>beneficio fiscal y tenga ciertas características (evita intercambio de información, permite transmitir pérdidas, involucra activos depreciados).</w:t>
      </w:r>
    </w:p>
    <w:p w14:paraId="4F1B193C" w14:textId="77777777" w:rsidR="002960B5" w:rsidRPr="002960B5" w:rsidRDefault="002960B5" w:rsidP="002960B5">
      <w:pPr>
        <w:numPr>
          <w:ilvl w:val="0"/>
          <w:numId w:val="27"/>
        </w:numPr>
        <w:jc w:val="both"/>
      </w:pPr>
      <w:r w:rsidRPr="002960B5">
        <w:t>No asumir que los esquemas anteriores a 2020 están exentos. Si el esquema sigue produciendo efectos fiscales en 2020 o después, hay que reportarlo.</w:t>
      </w:r>
    </w:p>
    <w:p w14:paraId="5DA3FB3F" w14:textId="77777777" w:rsidR="002960B5" w:rsidRPr="002960B5" w:rsidRDefault="002960B5" w:rsidP="002960B5">
      <w:pPr>
        <w:numPr>
          <w:ilvl w:val="0"/>
          <w:numId w:val="27"/>
        </w:numPr>
        <w:jc w:val="both"/>
      </w:pPr>
      <w:r w:rsidRPr="002960B5">
        <w:t>Revisar plazos: las obligaciones de revelación empezaron a contar el 1 de enero de 2021. Si debió revelar y no lo hizo, ya hay infracción.</w:t>
      </w:r>
    </w:p>
    <w:p w14:paraId="76EA81AA" w14:textId="77777777" w:rsidR="002960B5" w:rsidRPr="002960B5" w:rsidRDefault="002960B5" w:rsidP="002960B5">
      <w:pPr>
        <w:numPr>
          <w:ilvl w:val="0"/>
          <w:numId w:val="27"/>
        </w:numPr>
        <w:jc w:val="both"/>
      </w:pPr>
      <w:r w:rsidRPr="002960B5">
        <w:t>Si es asesor fiscal, la obligación es independiente: debe revelar los esquemas que diseñe, comercialice, organice o implemente, aunque el contribuyente no lo haga.</w:t>
      </w:r>
    </w:p>
    <w:p w14:paraId="1D7D5889" w14:textId="77777777" w:rsidR="002960B5" w:rsidRPr="002960B5" w:rsidRDefault="002960B5" w:rsidP="002960B5">
      <w:pPr>
        <w:numPr>
          <w:ilvl w:val="0"/>
          <w:numId w:val="27"/>
        </w:numPr>
        <w:jc w:val="both"/>
      </w:pPr>
      <w:r w:rsidRPr="002960B5">
        <w:t>No confiar en que "el esquema no es reportable porque es viejo". La pregunta es: ¿sigue produciendo efectos fiscales? Si la respuesta es sí, hay que reportarlo.</w:t>
      </w:r>
    </w:p>
    <w:p w14:paraId="6CBA4A52" w14:textId="77777777" w:rsidR="002960B5" w:rsidRPr="002960B5" w:rsidRDefault="002960B5" w:rsidP="002960B5">
      <w:pPr>
        <w:numPr>
          <w:ilvl w:val="0"/>
          <w:numId w:val="27"/>
        </w:numPr>
        <w:jc w:val="both"/>
      </w:pPr>
      <w:r w:rsidRPr="002960B5">
        <w:t>Si el cliente ya fue notificado por el SAT, no ignorar. La multa por no reportar puede ser de hasta $2,000,000 por esquema.</w:t>
      </w:r>
    </w:p>
    <w:p w14:paraId="41C221BA" w14:textId="77777777" w:rsidR="002960B5" w:rsidRPr="002960B5" w:rsidRDefault="002960B5" w:rsidP="002960B5">
      <w:pPr>
        <w:numPr>
          <w:ilvl w:val="0"/>
          <w:numId w:val="27"/>
        </w:numPr>
        <w:jc w:val="both"/>
      </w:pPr>
      <w:r w:rsidRPr="002960B5">
        <w:t>Si el esquema ya no se usa (no produce efectos fiscales en el presente), no es necesario reportarlo.</w:t>
      </w:r>
    </w:p>
    <w:p w14:paraId="4F94B2D0" w14:textId="77777777" w:rsidR="002960B5" w:rsidRPr="002960B5" w:rsidRDefault="002960B5" w:rsidP="002960B5">
      <w:pPr>
        <w:jc w:val="both"/>
      </w:pPr>
      <w:r w:rsidRPr="002960B5">
        <w:rPr>
          <w:b/>
          <w:bCs/>
        </w:rPr>
        <w:t>Nota final para el asesor fiscal:</w:t>
      </w:r>
      <w:r w:rsidRPr="002960B5">
        <w:t> La obligación de revelar esquemas reportables es una exigencia internacional (OCDE, Acción 12 BEPS), adoptada por México, validada por la Suprema Corte. No es opcional. El error más común es pensar que "los esquemas diseñados antes de 2020 están exentos". No es así. El parámetro no es cuándo se diseñó, sino cuándo sus efectos fiscales se reflejan en el presente. Si el esquema sigue produciendo beneficios fiscales en 2020 o después, hay que reportarlo. El segundo error común es pensar que "revelar el esquema es aceptar que es ilegal". No es así. Revelar es una obligación formal. Reporte a tiempo. La multa por no reportar puede ser millonaria.</w:t>
      </w:r>
    </w:p>
    <w:p w14:paraId="169CB207" w14:textId="77777777" w:rsidR="002960B5" w:rsidRPr="002960B5" w:rsidRDefault="00000000" w:rsidP="002960B5">
      <w:pPr>
        <w:jc w:val="both"/>
      </w:pPr>
      <w:r>
        <w:pict w14:anchorId="09108129">
          <v:rect id="_x0000_i1046" style="width:0;height:.75pt" o:hralign="center" o:hrstd="t" o:hr="t" fillcolor="#a0a0a0" stroked="f"/>
        </w:pict>
      </w:r>
    </w:p>
    <w:p w14:paraId="14666F91" w14:textId="77777777" w:rsidR="002960B5" w:rsidRPr="002960B5" w:rsidRDefault="002960B5" w:rsidP="002960B5">
      <w:pPr>
        <w:jc w:val="both"/>
        <w:rPr>
          <w:b/>
          <w:bCs/>
        </w:rPr>
      </w:pPr>
      <w:r w:rsidRPr="002960B5">
        <w:rPr>
          <w:b/>
          <w:bCs/>
        </w:rPr>
        <w:t>Apéndice 23 – Capítulo 23</w:t>
      </w:r>
    </w:p>
    <w:p w14:paraId="38D2C9EB" w14:textId="77777777" w:rsidR="002960B5" w:rsidRPr="002960B5" w:rsidRDefault="002960B5" w:rsidP="002960B5">
      <w:pPr>
        <w:jc w:val="both"/>
      </w:pPr>
      <w:r w:rsidRPr="002960B5">
        <w:rPr>
          <w:b/>
          <w:bCs/>
        </w:rPr>
        <w:t>El velo corporativo no es absoluto... pero el SAT primero debe embargar a la empresa, no a usted: responsabilidad solidaria de accionistas</w:t>
      </w:r>
    </w:p>
    <w:p w14:paraId="099917B6" w14:textId="77777777" w:rsidR="002960B5" w:rsidRPr="002960B5" w:rsidRDefault="002960B5" w:rsidP="002960B5">
      <w:pPr>
        <w:jc w:val="both"/>
      </w:pPr>
      <w:r w:rsidRPr="002960B5">
        <w:rPr>
          <w:b/>
          <w:bCs/>
        </w:rPr>
        <w:t>Expediente:</w:t>
      </w:r>
      <w:r w:rsidRPr="002960B5">
        <w:t> 432/26-04-01-7 del Tribunal Federal de Justicia Administrativa</w:t>
      </w:r>
    </w:p>
    <w:p w14:paraId="512F64B4" w14:textId="77777777" w:rsidR="002960B5" w:rsidRPr="002960B5" w:rsidRDefault="002960B5" w:rsidP="002960B5">
      <w:pPr>
        <w:jc w:val="both"/>
      </w:pPr>
      <w:r w:rsidRPr="002960B5">
        <w:rPr>
          <w:i/>
          <w:iCs/>
        </w:rPr>
        <w:t>Nota: Este apéndice se extrae del contenido del Capítulo 23 del libro, ya que el archivo técnico no contiene este expediente específico.</w:t>
      </w:r>
    </w:p>
    <w:p w14:paraId="22372116" w14:textId="77777777" w:rsidR="002960B5" w:rsidRPr="002960B5" w:rsidRDefault="002960B5" w:rsidP="002960B5">
      <w:pPr>
        <w:jc w:val="both"/>
      </w:pPr>
      <w:r w:rsidRPr="002960B5">
        <w:rPr>
          <w:b/>
          <w:bCs/>
        </w:rPr>
        <w:lastRenderedPageBreak/>
        <w:t>Los 10 puntos técnicos más relevantes para el asesor fiscal</w:t>
      </w:r>
    </w:p>
    <w:p w14:paraId="37FD1EB6" w14:textId="77777777" w:rsidR="002960B5" w:rsidRPr="002960B5" w:rsidRDefault="002960B5" w:rsidP="002960B5">
      <w:pPr>
        <w:jc w:val="both"/>
      </w:pPr>
      <w:r w:rsidRPr="002960B5">
        <w:rPr>
          <w:b/>
          <w:bCs/>
        </w:rPr>
        <w:t>1. La responsabilidad solidaria del socio (artículo 26, fracción X del CFF) requiere que primero se haya intentado cobrar a la empresa</w:t>
      </w:r>
      <w:r w:rsidRPr="002960B5">
        <w:br/>
        <w:t>El socio solo responde por la parte del crédito que no alcance a cubrirse con los bienes de la sociedad. Para saber eso, el SAT debe iniciar el procedimiento administrativo de ejecución contra la empresa.</w:t>
      </w:r>
    </w:p>
    <w:p w14:paraId="048FFE2B" w14:textId="77777777" w:rsidR="002960B5" w:rsidRPr="002960B5" w:rsidRDefault="002960B5" w:rsidP="002960B5">
      <w:pPr>
        <w:jc w:val="both"/>
      </w:pPr>
      <w:r w:rsidRPr="002960B5">
        <w:rPr>
          <w:i/>
          <w:iCs/>
        </w:rPr>
        <w:t>Fundamento:</w:t>
      </w:r>
      <w:r w:rsidRPr="002960B5">
        <w:t> Artículo 26, fracción X del CFF.</w:t>
      </w:r>
    </w:p>
    <w:p w14:paraId="23166721" w14:textId="77777777" w:rsidR="002960B5" w:rsidRPr="002960B5" w:rsidRDefault="002960B5" w:rsidP="002960B5">
      <w:pPr>
        <w:jc w:val="both"/>
      </w:pPr>
      <w:r w:rsidRPr="002960B5">
        <w:rPr>
          <w:b/>
          <w:bCs/>
        </w:rPr>
        <w:t>2. El velo corporativo no es absoluto, pero el SAT debe respetar el orden legal</w:t>
      </w:r>
      <w:r w:rsidRPr="002960B5">
        <w:br/>
        <w:t>Ciertas conductas graves (desocupar el domicilio, no localizarse, no llevar contabilidad) pueden hacer responsable al socio. Sin embargo, la ley exige que primero se agoten los medios de cobro contra la sociedad.</w:t>
      </w:r>
    </w:p>
    <w:p w14:paraId="2D7F169C" w14:textId="77777777" w:rsidR="002960B5" w:rsidRPr="002960B5" w:rsidRDefault="002960B5" w:rsidP="002960B5">
      <w:pPr>
        <w:jc w:val="both"/>
      </w:pPr>
      <w:r w:rsidRPr="002960B5">
        <w:rPr>
          <w:i/>
          <w:iCs/>
        </w:rPr>
        <w:t>Fundamento:</w:t>
      </w:r>
      <w:r w:rsidRPr="002960B5">
        <w:t> Artículo 26 del CFF; artículo 16 constitucional.</w:t>
      </w:r>
    </w:p>
    <w:p w14:paraId="7F932C4B" w14:textId="77777777" w:rsidR="002960B5" w:rsidRPr="002960B5" w:rsidRDefault="002960B5" w:rsidP="002960B5">
      <w:pPr>
        <w:jc w:val="both"/>
      </w:pPr>
      <w:r w:rsidRPr="002960B5">
        <w:rPr>
          <w:b/>
          <w:bCs/>
        </w:rPr>
        <w:t>3. El acta de "no localización" de la empresa no sustituye el procedimiento de ejecución</w:t>
      </w:r>
      <w:r w:rsidRPr="002960B5">
        <w:br/>
        <w:t>Que la empresa no sea localizable no exime al SAT de intentar el embargo por estrados (notificaciones públicas). La no localización es un presupuesto para iniciar la responsabilidad solidaria, pero no reemplaza la necesidad de demostrar que los bienes de la empresa son insuficientes.</w:t>
      </w:r>
    </w:p>
    <w:p w14:paraId="4C174057" w14:textId="77777777" w:rsidR="002960B5" w:rsidRPr="002960B5" w:rsidRDefault="002960B5" w:rsidP="002960B5">
      <w:pPr>
        <w:jc w:val="both"/>
      </w:pPr>
      <w:r w:rsidRPr="002960B5">
        <w:rPr>
          <w:i/>
          <w:iCs/>
        </w:rPr>
        <w:t>Fundamento:</w:t>
      </w:r>
      <w:r w:rsidRPr="002960B5">
        <w:t> Artículo 26 del CFF; Código Fiscal de la Federación.</w:t>
      </w:r>
    </w:p>
    <w:p w14:paraId="330C36A1" w14:textId="77777777" w:rsidR="002960B5" w:rsidRPr="002960B5" w:rsidRDefault="002960B5" w:rsidP="002960B5">
      <w:pPr>
        <w:jc w:val="both"/>
      </w:pPr>
      <w:r w:rsidRPr="002960B5">
        <w:rPr>
          <w:b/>
          <w:bCs/>
        </w:rPr>
        <w:t>4. Sin mandamiento de ejecución, sin embargo, sin intento de embargo, la resolución de responsabilidad solidaria es nula</w:t>
      </w:r>
      <w:r w:rsidRPr="002960B5">
        <w:br/>
        <w:t>El SAT debe: notificar el crédito a la sociedad, exigir el pago mediante procedimiento de ejecución, embargar bienes, y solo si con eso no alcanza, cobrar al socio la diferencia.</w:t>
      </w:r>
    </w:p>
    <w:p w14:paraId="76987CFA" w14:textId="77777777" w:rsidR="002960B5" w:rsidRPr="002960B5" w:rsidRDefault="002960B5" w:rsidP="002960B5">
      <w:pPr>
        <w:jc w:val="both"/>
      </w:pPr>
      <w:r w:rsidRPr="002960B5">
        <w:rPr>
          <w:i/>
          <w:iCs/>
        </w:rPr>
        <w:t>Fundamento:</w:t>
      </w:r>
      <w:r w:rsidRPr="002960B5">
        <w:t> Artículo 26 del CFF; artículo 16 constitucional.</w:t>
      </w:r>
    </w:p>
    <w:p w14:paraId="52FF6F64" w14:textId="77777777" w:rsidR="002960B5" w:rsidRPr="002960B5" w:rsidRDefault="002960B5" w:rsidP="002960B5">
      <w:pPr>
        <w:jc w:val="both"/>
      </w:pPr>
      <w:r w:rsidRPr="002960B5">
        <w:rPr>
          <w:b/>
          <w:bCs/>
        </w:rPr>
        <w:t>5. El socio no es responsable por las omisiones del administrador si no tuvo participación directa</w:t>
      </w:r>
      <w:r w:rsidRPr="002960B5">
        <w:br/>
        <w:t>La responsabilidad solidaria no es automática por el mero hecho de ser socio. Se requiere una conducta activa (desocupar domicilio sin aviso, no llevar contabilidad, no localizarse) o negligencia grave.</w:t>
      </w:r>
    </w:p>
    <w:p w14:paraId="2C6130D0" w14:textId="77777777" w:rsidR="002960B5" w:rsidRPr="002960B5" w:rsidRDefault="002960B5" w:rsidP="002960B5">
      <w:pPr>
        <w:jc w:val="both"/>
      </w:pPr>
      <w:r w:rsidRPr="002960B5">
        <w:rPr>
          <w:i/>
          <w:iCs/>
        </w:rPr>
        <w:t>Fundamento:</w:t>
      </w:r>
      <w:r w:rsidRPr="002960B5">
        <w:t> Artículo 26, fracciones del CFF.</w:t>
      </w:r>
    </w:p>
    <w:p w14:paraId="279A5B1A" w14:textId="77777777" w:rsidR="002960B5" w:rsidRPr="002960B5" w:rsidRDefault="002960B5" w:rsidP="002960B5">
      <w:pPr>
        <w:jc w:val="both"/>
      </w:pPr>
      <w:r w:rsidRPr="002960B5">
        <w:rPr>
          <w:b/>
          <w:bCs/>
        </w:rPr>
        <w:t>6. La falta de aviso de cambio de domicilio es una de las principales causas de responsabilidad solidaria</w:t>
      </w:r>
      <w:r w:rsidRPr="002960B5">
        <w:br/>
      </w:r>
      <w:r w:rsidRPr="002960B5">
        <w:lastRenderedPageBreak/>
        <w:t>Si la sociedad cambia de domicilio y no presenta el aviso ante el SAT, y luego no es localizable, el SAT puede ir contra los socios.</w:t>
      </w:r>
    </w:p>
    <w:p w14:paraId="67A5CF7B" w14:textId="77777777" w:rsidR="002960B5" w:rsidRPr="002960B5" w:rsidRDefault="002960B5" w:rsidP="002960B5">
      <w:pPr>
        <w:jc w:val="both"/>
      </w:pPr>
      <w:r w:rsidRPr="002960B5">
        <w:rPr>
          <w:i/>
          <w:iCs/>
        </w:rPr>
        <w:t>Fundamento:</w:t>
      </w:r>
      <w:r w:rsidRPr="002960B5">
        <w:t> Artículo 26, fracción III, inciso d) del CFF.</w:t>
      </w:r>
    </w:p>
    <w:p w14:paraId="5F15961F" w14:textId="77777777" w:rsidR="002960B5" w:rsidRPr="002960B5" w:rsidRDefault="002960B5" w:rsidP="002960B5">
      <w:pPr>
        <w:jc w:val="both"/>
      </w:pPr>
      <w:r w:rsidRPr="002960B5">
        <w:rPr>
          <w:b/>
          <w:bCs/>
        </w:rPr>
        <w:t>7. El aviso de cambio de domicilio no es un trámite menor; es una llave que puede abrir la puerta a la responsabilidad solidaria</w:t>
      </w:r>
      <w:r w:rsidRPr="002960B5">
        <w:br/>
        <w:t>Un aviso faltante puede costarle millones al socio. Mantener actualizado el domicilio fiscal es una obligación básica.</w:t>
      </w:r>
    </w:p>
    <w:p w14:paraId="5A2D0771" w14:textId="77777777" w:rsidR="002960B5" w:rsidRPr="002960B5" w:rsidRDefault="002960B5" w:rsidP="002960B5">
      <w:pPr>
        <w:jc w:val="both"/>
      </w:pPr>
      <w:r w:rsidRPr="002960B5">
        <w:rPr>
          <w:i/>
          <w:iCs/>
        </w:rPr>
        <w:t>Fundamento:</w:t>
      </w:r>
      <w:r w:rsidRPr="002960B5">
        <w:t> Artículo 26 del CFF; artículo 48 del CFF.</w:t>
      </w:r>
    </w:p>
    <w:p w14:paraId="0C834E46" w14:textId="77777777" w:rsidR="002960B5" w:rsidRPr="002960B5" w:rsidRDefault="002960B5" w:rsidP="002960B5">
      <w:pPr>
        <w:jc w:val="both"/>
      </w:pPr>
      <w:r w:rsidRPr="002960B5">
        <w:rPr>
          <w:b/>
          <w:bCs/>
        </w:rPr>
        <w:t>8. La notificación por edictos (estrados) es válida cuando la empresa no es localizable, pero no exime al SAT de intentar el embargo</w:t>
      </w:r>
      <w:r w:rsidRPr="002960B5">
        <w:br/>
        <w:t>El SAT puede notificar por edictos si el domicilio está desocupado. Pero eso no sustituye el procedimiento de ejecución.</w:t>
      </w:r>
    </w:p>
    <w:p w14:paraId="245E8D34" w14:textId="77777777" w:rsidR="002960B5" w:rsidRPr="002960B5" w:rsidRDefault="002960B5" w:rsidP="002960B5">
      <w:pPr>
        <w:jc w:val="both"/>
      </w:pPr>
      <w:r w:rsidRPr="002960B5">
        <w:rPr>
          <w:i/>
          <w:iCs/>
        </w:rPr>
        <w:t>Fundamento:</w:t>
      </w:r>
      <w:r w:rsidRPr="002960B5">
        <w:t> Artículo 48 del CFF; Código Fiscal de la Federación.</w:t>
      </w:r>
    </w:p>
    <w:p w14:paraId="5A5BB917" w14:textId="77777777" w:rsidR="002960B5" w:rsidRPr="002960B5" w:rsidRDefault="002960B5" w:rsidP="002960B5">
      <w:pPr>
        <w:jc w:val="both"/>
      </w:pPr>
      <w:r w:rsidRPr="002960B5">
        <w:rPr>
          <w:b/>
          <w:bCs/>
        </w:rPr>
        <w:t>9. El socio puede impugnar la resolución de responsabilidad solidaria si el SAT no acredita que intentó cobrar a la empresa</w:t>
      </w:r>
      <w:r w:rsidRPr="002960B5">
        <w:br/>
        <w:t>La carga de la prueba del procedimiento de ejecución recae en el SAT. Si no lo acredita, la resolución es nula.</w:t>
      </w:r>
    </w:p>
    <w:p w14:paraId="0BD87FD9" w14:textId="77777777" w:rsidR="002960B5" w:rsidRPr="002960B5" w:rsidRDefault="002960B5" w:rsidP="002960B5">
      <w:pPr>
        <w:jc w:val="both"/>
      </w:pPr>
      <w:r w:rsidRPr="002960B5">
        <w:rPr>
          <w:i/>
          <w:iCs/>
        </w:rPr>
        <w:t>Fundamento:</w:t>
      </w:r>
      <w:r w:rsidRPr="002960B5">
        <w:t> Artículo 40 de la LFCA; artículo 119 del CFF.</w:t>
      </w:r>
    </w:p>
    <w:p w14:paraId="0BAD6F2B" w14:textId="77777777" w:rsidR="002960B5" w:rsidRPr="002960B5" w:rsidRDefault="002960B5" w:rsidP="002960B5">
      <w:pPr>
        <w:jc w:val="both"/>
      </w:pPr>
      <w:r w:rsidRPr="002960B5">
        <w:rPr>
          <w:b/>
          <w:bCs/>
        </w:rPr>
        <w:t>10. La liquidación ordenada de una empresa es más barata que un juicio como responsable solidario</w:t>
      </w:r>
      <w:r w:rsidRPr="002960B5">
        <w:br/>
        <w:t>Si la empresa está en crisis o va a cerrar, no abandonarla. Regularizar situación fiscal, presentar aviso de suspensión o cierre, designar representante legal. No dejar el domicilio fiscal vacío sin avisar.</w:t>
      </w:r>
    </w:p>
    <w:p w14:paraId="178E751A" w14:textId="77777777" w:rsidR="002960B5" w:rsidRPr="002960B5" w:rsidRDefault="002960B5" w:rsidP="002960B5">
      <w:pPr>
        <w:jc w:val="both"/>
      </w:pPr>
      <w:r w:rsidRPr="002960B5">
        <w:rPr>
          <w:i/>
          <w:iCs/>
        </w:rPr>
        <w:t>Fundamento:</w:t>
      </w:r>
      <w:r w:rsidRPr="002960B5">
        <w:t> Artículo 26 del CFF; artículo 48 del CFF.</w:t>
      </w:r>
    </w:p>
    <w:p w14:paraId="4F2F2DED" w14:textId="77777777" w:rsidR="002960B5" w:rsidRPr="002960B5" w:rsidRDefault="002960B5" w:rsidP="002960B5">
      <w:pPr>
        <w:jc w:val="both"/>
      </w:pPr>
      <w:r w:rsidRPr="002960B5">
        <w:rPr>
          <w:b/>
          <w:bCs/>
        </w:rPr>
        <w:t>Fundamento legal completo del caso</w:t>
      </w:r>
    </w:p>
    <w:p w14:paraId="6001C1E0" w14:textId="77777777" w:rsidR="002960B5" w:rsidRPr="002960B5" w:rsidRDefault="002960B5" w:rsidP="002960B5">
      <w:pPr>
        <w:jc w:val="both"/>
      </w:pPr>
      <w:r w:rsidRPr="002960B5">
        <w:rPr>
          <w:i/>
          <w:iCs/>
        </w:rPr>
        <w:t>Legislación aplicable:</w:t>
      </w:r>
      <w:r w:rsidRPr="002960B5">
        <w:t> Artículo 26 fracción X y otras del CFF; artículo 16 constitucional; artículo 48 del CFF; artículos 40, 119 de la LFCA.</w:t>
      </w:r>
    </w:p>
    <w:p w14:paraId="3E7793FA" w14:textId="77777777" w:rsidR="002960B5" w:rsidRPr="002960B5" w:rsidRDefault="002960B5" w:rsidP="002960B5">
      <w:pPr>
        <w:jc w:val="both"/>
      </w:pPr>
      <w:r w:rsidRPr="002960B5">
        <w:rPr>
          <w:i/>
          <w:iCs/>
        </w:rPr>
        <w:t>Jurisprudencia:</w:t>
      </w:r>
      <w:r w:rsidRPr="002960B5">
        <w:t> Tesis relevantes del TFJA sobre responsabilidad solidaria de socios.</w:t>
      </w:r>
    </w:p>
    <w:p w14:paraId="0C74C35A" w14:textId="77777777" w:rsidR="002960B5" w:rsidRPr="002960B5" w:rsidRDefault="002960B5" w:rsidP="002960B5">
      <w:pPr>
        <w:jc w:val="both"/>
      </w:pPr>
      <w:r w:rsidRPr="002960B5">
        <w:rPr>
          <w:b/>
          <w:bCs/>
        </w:rPr>
        <w:t>Referencia al expediente completo</w:t>
      </w:r>
      <w:r w:rsidRPr="002960B5">
        <w:br/>
        <w:t>El expediente 432/26-04-01-7 puede ser consultado en el TFJA o SISE.</w:t>
      </w:r>
    </w:p>
    <w:p w14:paraId="76770BE3" w14:textId="77777777" w:rsidR="002960B5" w:rsidRPr="002960B5" w:rsidRDefault="002960B5" w:rsidP="002960B5">
      <w:pPr>
        <w:jc w:val="both"/>
      </w:pPr>
      <w:proofErr w:type="spellStart"/>
      <w:r w:rsidRPr="002960B5">
        <w:rPr>
          <w:b/>
          <w:bCs/>
        </w:rPr>
        <w:t>Checklist</w:t>
      </w:r>
      <w:proofErr w:type="spellEnd"/>
      <w:r w:rsidRPr="002960B5">
        <w:rPr>
          <w:b/>
          <w:bCs/>
        </w:rPr>
        <w:t xml:space="preserve"> de defensa para el asesor fiscal</w:t>
      </w:r>
    </w:p>
    <w:p w14:paraId="50100C82" w14:textId="77777777" w:rsidR="002960B5" w:rsidRPr="002960B5" w:rsidRDefault="002960B5" w:rsidP="002960B5">
      <w:pPr>
        <w:numPr>
          <w:ilvl w:val="0"/>
          <w:numId w:val="28"/>
        </w:numPr>
        <w:jc w:val="both"/>
      </w:pPr>
      <w:r w:rsidRPr="002960B5">
        <w:lastRenderedPageBreak/>
        <w:t>Revisar si la empresa tiene pendiente algún aviso de cambio de domicilio. Corregirlo de inmediato.</w:t>
      </w:r>
    </w:p>
    <w:p w14:paraId="12BCB99C" w14:textId="77777777" w:rsidR="002960B5" w:rsidRPr="002960B5" w:rsidRDefault="002960B5" w:rsidP="002960B5">
      <w:pPr>
        <w:numPr>
          <w:ilvl w:val="0"/>
          <w:numId w:val="28"/>
        </w:numPr>
        <w:jc w:val="both"/>
      </w:pPr>
      <w:r w:rsidRPr="002960B5">
        <w:t>Si recibe notificación como responsable solidario, exigir que le acrediten el procedimiento de ejecución contra la sociedad: mandamiento de ejecución, actas de notificación, diligencias de embargo, determinación de la parte no garantizada.</w:t>
      </w:r>
    </w:p>
    <w:p w14:paraId="6D295C1A" w14:textId="77777777" w:rsidR="002960B5" w:rsidRPr="002960B5" w:rsidRDefault="002960B5" w:rsidP="002960B5">
      <w:pPr>
        <w:numPr>
          <w:ilvl w:val="0"/>
          <w:numId w:val="28"/>
        </w:numPr>
        <w:jc w:val="both"/>
      </w:pPr>
      <w:r w:rsidRPr="002960B5">
        <w:t>No confiar ciegamente en el "velo corporativo". Conocer las excepciones del artículo 26 del CFF.</w:t>
      </w:r>
    </w:p>
    <w:p w14:paraId="66BF47C1" w14:textId="77777777" w:rsidR="002960B5" w:rsidRPr="002960B5" w:rsidRDefault="002960B5" w:rsidP="002960B5">
      <w:pPr>
        <w:numPr>
          <w:ilvl w:val="0"/>
          <w:numId w:val="28"/>
        </w:numPr>
        <w:jc w:val="both"/>
      </w:pPr>
      <w:r w:rsidRPr="002960B5">
        <w:t>Mantener actualizada la situación fiscal de la empresa: avisos de cambio de domicilio, declaraciones, contabilidad.</w:t>
      </w:r>
    </w:p>
    <w:p w14:paraId="5330B01F" w14:textId="77777777" w:rsidR="002960B5" w:rsidRPr="002960B5" w:rsidRDefault="002960B5" w:rsidP="002960B5">
      <w:pPr>
        <w:numPr>
          <w:ilvl w:val="0"/>
          <w:numId w:val="28"/>
        </w:numPr>
        <w:jc w:val="both"/>
      </w:pPr>
      <w:r w:rsidRPr="002960B5">
        <w:t>Si la empresa está en crisis o va a cerrar, no abandonarla. Regularizar, presentar aviso de suspensión o cierre, designar representante legal.</w:t>
      </w:r>
    </w:p>
    <w:p w14:paraId="0DE17C84" w14:textId="77777777" w:rsidR="002960B5" w:rsidRPr="002960B5" w:rsidRDefault="002960B5" w:rsidP="002960B5">
      <w:pPr>
        <w:numPr>
          <w:ilvl w:val="0"/>
          <w:numId w:val="28"/>
        </w:numPr>
        <w:jc w:val="both"/>
      </w:pPr>
      <w:r w:rsidRPr="002960B5">
        <w:t>Si el SAT determina responsabilidad solidaria sin seguir el procedimiento, impugnar inmediatamente.</w:t>
      </w:r>
    </w:p>
    <w:p w14:paraId="1E7292F8" w14:textId="77777777" w:rsidR="002960B5" w:rsidRPr="002960B5" w:rsidRDefault="002960B5" w:rsidP="002960B5">
      <w:pPr>
        <w:jc w:val="both"/>
      </w:pPr>
      <w:r w:rsidRPr="002960B5">
        <w:rPr>
          <w:b/>
          <w:bCs/>
        </w:rPr>
        <w:t>Nota final para el asesor fiscal:</w:t>
      </w:r>
      <w:r w:rsidRPr="002960B5">
        <w:t> La responsabilidad solidaria de los socios no es automática. Requiere que primero se demuestre que los bienes de la empresa son insuficientes. Y eso solo se demuestra mediante el procedimiento administrativo de ejecución. Sin mandamiento de ejecución, sin notificación, sin embargo, no hay solidaridad. El SAT debe seguir las reglas. Si no lo hace, sus actos son nulos. La lección no es que el velo corporativo sea infranqueable. La lección es que el SAT tiene que ganarse el derecho a levantarlo, paso por paso. Y usted tiene derecho a exigir que los cumpla.</w:t>
      </w:r>
    </w:p>
    <w:p w14:paraId="2C7D04B8" w14:textId="77777777" w:rsidR="002960B5" w:rsidRPr="002960B5" w:rsidRDefault="00000000" w:rsidP="002960B5">
      <w:pPr>
        <w:jc w:val="both"/>
      </w:pPr>
      <w:r>
        <w:pict w14:anchorId="5937C3FB">
          <v:rect id="_x0000_i1047" style="width:0;height:.75pt" o:hralign="center" o:hrstd="t" o:hr="t" fillcolor="#a0a0a0" stroked="f"/>
        </w:pict>
      </w:r>
    </w:p>
    <w:p w14:paraId="532ACB67" w14:textId="77777777" w:rsidR="002960B5" w:rsidRPr="002960B5" w:rsidRDefault="002960B5" w:rsidP="002960B5">
      <w:pPr>
        <w:jc w:val="both"/>
        <w:rPr>
          <w:b/>
          <w:bCs/>
        </w:rPr>
      </w:pPr>
      <w:r w:rsidRPr="002960B5">
        <w:rPr>
          <w:b/>
          <w:bCs/>
        </w:rPr>
        <w:t>Apéndice 24 – Capítulo 24</w:t>
      </w:r>
    </w:p>
    <w:p w14:paraId="2BCA0FFA" w14:textId="77777777" w:rsidR="002960B5" w:rsidRPr="002960B5" w:rsidRDefault="002960B5" w:rsidP="002960B5">
      <w:pPr>
        <w:jc w:val="both"/>
      </w:pPr>
      <w:r w:rsidRPr="002960B5">
        <w:rPr>
          <w:b/>
          <w:bCs/>
        </w:rPr>
        <w:t>Confundir capital fijo con capital variable le puede costar $75M en impuestos: la asamblea que la ley no pedía, pero el SAT sí</w:t>
      </w:r>
    </w:p>
    <w:p w14:paraId="01D3B055" w14:textId="77777777" w:rsidR="002960B5" w:rsidRPr="002960B5" w:rsidRDefault="002960B5" w:rsidP="002960B5">
      <w:pPr>
        <w:jc w:val="both"/>
      </w:pPr>
      <w:r w:rsidRPr="002960B5">
        <w:rPr>
          <w:b/>
          <w:bCs/>
        </w:rPr>
        <w:t>Expediente:</w:t>
      </w:r>
      <w:r w:rsidRPr="002960B5">
        <w:t> 784/24-07-02-2/841/25-S2-08-04 del Tribunal Federal de Justicia Administrativa</w:t>
      </w:r>
    </w:p>
    <w:p w14:paraId="31205D6F" w14:textId="77777777" w:rsidR="002960B5" w:rsidRPr="002960B5" w:rsidRDefault="002960B5" w:rsidP="002960B5">
      <w:pPr>
        <w:jc w:val="both"/>
      </w:pPr>
      <w:r w:rsidRPr="002960B5">
        <w:rPr>
          <w:i/>
          <w:iCs/>
        </w:rPr>
        <w:t>Nota: Este apéndice se extrae del contenido del Capítulo 24 del libro, ya que el archivo técnico no contiene este expediente específico.</w:t>
      </w:r>
    </w:p>
    <w:p w14:paraId="41AD39C7" w14:textId="77777777" w:rsidR="002960B5" w:rsidRPr="002960B5" w:rsidRDefault="002960B5" w:rsidP="002960B5">
      <w:pPr>
        <w:jc w:val="both"/>
      </w:pPr>
      <w:r w:rsidRPr="002960B5">
        <w:rPr>
          <w:b/>
          <w:bCs/>
        </w:rPr>
        <w:t>Los 10 puntos técnicos más relevantes para el asesor fiscal</w:t>
      </w:r>
    </w:p>
    <w:p w14:paraId="2D8E5897" w14:textId="77777777" w:rsidR="002960B5" w:rsidRPr="002960B5" w:rsidRDefault="002960B5" w:rsidP="002960B5">
      <w:pPr>
        <w:jc w:val="both"/>
      </w:pPr>
      <w:r w:rsidRPr="002960B5">
        <w:rPr>
          <w:b/>
          <w:bCs/>
        </w:rPr>
        <w:lastRenderedPageBreak/>
        <w:t>1. La diferencia entre capital fijo y capital variable es determinante para los requisitos de aumento de capital</w:t>
      </w:r>
      <w:r w:rsidRPr="002960B5">
        <w:br/>
        <w:t>Para una S.A. de C.F. (Capital Fijo), el aumento de capital requiere asamblea extraordinaria protocolizada ante notario e inscripción en el Registro Público. Para una S.A. de C.V. (Capital Variable), NO requiere asamblea extraordinaria.</w:t>
      </w:r>
    </w:p>
    <w:p w14:paraId="48E975C4" w14:textId="77777777" w:rsidR="002960B5" w:rsidRPr="002960B5" w:rsidRDefault="002960B5" w:rsidP="002960B5">
      <w:pPr>
        <w:jc w:val="both"/>
      </w:pPr>
      <w:r w:rsidRPr="002960B5">
        <w:rPr>
          <w:i/>
          <w:iCs/>
        </w:rPr>
        <w:t>Fundamento:</w:t>
      </w:r>
      <w:r w:rsidRPr="002960B5">
        <w:t> Artículos 182 y 194 de la LGSM (capital fijo); artículos 213 a 219 de la LGSM (capital variable).</w:t>
      </w:r>
    </w:p>
    <w:p w14:paraId="3F57C309" w14:textId="77777777" w:rsidR="002960B5" w:rsidRPr="002960B5" w:rsidRDefault="002960B5" w:rsidP="002960B5">
      <w:pPr>
        <w:jc w:val="both"/>
      </w:pPr>
      <w:r w:rsidRPr="002960B5">
        <w:rPr>
          <w:b/>
          <w:bCs/>
        </w:rPr>
        <w:t>2. El SAT no puede exigir lo que la ley no pide</w:t>
      </w:r>
      <w:r w:rsidRPr="002960B5">
        <w:br/>
        <w:t>El artículo 219 de la LGSM es claro: todo aumento o disminución del capital social de una S.A. de C.V. se inscribe en un libro de registro. No dice "protocolícese ante notario". Exigir asamblea extraordinaria viola el artículo 16 constitucional.</w:t>
      </w:r>
    </w:p>
    <w:p w14:paraId="24E1FA27" w14:textId="77777777" w:rsidR="002960B5" w:rsidRPr="002960B5" w:rsidRDefault="002960B5" w:rsidP="002960B5">
      <w:pPr>
        <w:jc w:val="both"/>
      </w:pPr>
      <w:r w:rsidRPr="002960B5">
        <w:rPr>
          <w:i/>
          <w:iCs/>
        </w:rPr>
        <w:t>Fundamento:</w:t>
      </w:r>
      <w:r w:rsidRPr="002960B5">
        <w:t> Artículo 219 de la LGSM; artículo 16 constitucional.</w:t>
      </w:r>
    </w:p>
    <w:p w14:paraId="0C466165" w14:textId="77777777" w:rsidR="002960B5" w:rsidRPr="002960B5" w:rsidRDefault="002960B5" w:rsidP="002960B5">
      <w:pPr>
        <w:jc w:val="both"/>
      </w:pPr>
      <w:r w:rsidRPr="002960B5">
        <w:rPr>
          <w:b/>
          <w:bCs/>
        </w:rPr>
        <w:t>3. El libro de registro de variaciones de capital es la prueba suficiente para una S.A. de C.V.</w:t>
      </w:r>
      <w:r w:rsidRPr="002960B5">
        <w:br/>
        <w:t>La empresa debe exhibir su acta ordinaria, estados de cuenta bancarios, pólizas contables y el libro de registro actualizado. Con eso basta.</w:t>
      </w:r>
    </w:p>
    <w:p w14:paraId="03130E27" w14:textId="77777777" w:rsidR="002960B5" w:rsidRPr="002960B5" w:rsidRDefault="002960B5" w:rsidP="002960B5">
      <w:pPr>
        <w:jc w:val="both"/>
      </w:pPr>
      <w:r w:rsidRPr="002960B5">
        <w:rPr>
          <w:i/>
          <w:iCs/>
        </w:rPr>
        <w:t>Fundamento:</w:t>
      </w:r>
      <w:r w:rsidRPr="002960B5">
        <w:t> Artículos 213 a 219 de la LGSM.</w:t>
      </w:r>
    </w:p>
    <w:p w14:paraId="0D1292F6" w14:textId="77777777" w:rsidR="002960B5" w:rsidRPr="002960B5" w:rsidRDefault="002960B5" w:rsidP="002960B5">
      <w:pPr>
        <w:jc w:val="both"/>
      </w:pPr>
      <w:r w:rsidRPr="002960B5">
        <w:rPr>
          <w:b/>
          <w:bCs/>
        </w:rPr>
        <w:t>4. La confusión entre capital fijo y variable es uno de los errores más comunes en auditorías</w:t>
      </w:r>
      <w:r w:rsidRPr="002960B5">
        <w:br/>
        <w:t>Los auditores del SAT a veces aplican las reglas del capital fijo a empresas de capital variable. El contribuyente debe conocer su tipo societario y defenderse con la ley.</w:t>
      </w:r>
    </w:p>
    <w:p w14:paraId="1C9CA1F7" w14:textId="77777777" w:rsidR="002960B5" w:rsidRPr="002960B5" w:rsidRDefault="002960B5" w:rsidP="002960B5">
      <w:pPr>
        <w:jc w:val="both"/>
      </w:pPr>
      <w:r w:rsidRPr="002960B5">
        <w:rPr>
          <w:i/>
          <w:iCs/>
        </w:rPr>
        <w:t>Fundamento:</w:t>
      </w:r>
      <w:r w:rsidRPr="002960B5">
        <w:t> Artículos 182, 194, 213-219 de la LGSM.</w:t>
      </w:r>
    </w:p>
    <w:p w14:paraId="3FFE4CD9" w14:textId="77777777" w:rsidR="002960B5" w:rsidRPr="002960B5" w:rsidRDefault="002960B5" w:rsidP="002960B5">
      <w:pPr>
        <w:jc w:val="both"/>
      </w:pPr>
      <w:r w:rsidRPr="002960B5">
        <w:rPr>
          <w:b/>
          <w:bCs/>
        </w:rPr>
        <w:t>5. El acta de asamblea ordinaria no es suficiente para aumentar capital en una S.A. de C.F.</w:t>
      </w:r>
      <w:r w:rsidRPr="002960B5">
        <w:br/>
        <w:t>Para capital fijo, se requiere acta extraordinaria protocolizada ante notario. La ordinaria no es suficiente.</w:t>
      </w:r>
    </w:p>
    <w:p w14:paraId="19D70068" w14:textId="77777777" w:rsidR="002960B5" w:rsidRPr="002960B5" w:rsidRDefault="002960B5" w:rsidP="002960B5">
      <w:pPr>
        <w:jc w:val="both"/>
      </w:pPr>
      <w:r w:rsidRPr="002960B5">
        <w:rPr>
          <w:i/>
          <w:iCs/>
        </w:rPr>
        <w:t>Fundamento:</w:t>
      </w:r>
      <w:r w:rsidRPr="002960B5">
        <w:t> Artículos 182 y 194 de la LGSM.</w:t>
      </w:r>
    </w:p>
    <w:p w14:paraId="68375039" w14:textId="77777777" w:rsidR="002960B5" w:rsidRPr="002960B5" w:rsidRDefault="002960B5" w:rsidP="002960B5">
      <w:pPr>
        <w:jc w:val="both"/>
      </w:pPr>
      <w:r w:rsidRPr="002960B5">
        <w:rPr>
          <w:b/>
          <w:bCs/>
        </w:rPr>
        <w:t>6. La falta de protocolización de un aumento de capital en una S.A. de C.F. puede llevar a que el SAT considere el monto como ingreso presunto</w:t>
      </w:r>
      <w:r w:rsidRPr="002960B5">
        <w:br/>
        <w:t>Si el SAT aplica las reglas del capital fijo a una empresa que es de capital variable, pero el contribuyente no demuestra su tipo societario, puede perder.</w:t>
      </w:r>
    </w:p>
    <w:p w14:paraId="2D0D8E9F" w14:textId="77777777" w:rsidR="002960B5" w:rsidRPr="002960B5" w:rsidRDefault="002960B5" w:rsidP="002960B5">
      <w:pPr>
        <w:jc w:val="both"/>
      </w:pPr>
      <w:r w:rsidRPr="002960B5">
        <w:rPr>
          <w:i/>
          <w:iCs/>
        </w:rPr>
        <w:t>Fundamento:</w:t>
      </w:r>
      <w:r w:rsidRPr="002960B5">
        <w:t> Artículo 16 constitucional; artículo 48 del CFF.</w:t>
      </w:r>
    </w:p>
    <w:p w14:paraId="7C254386" w14:textId="77777777" w:rsidR="002960B5" w:rsidRPr="002960B5" w:rsidRDefault="002960B5" w:rsidP="002960B5">
      <w:pPr>
        <w:jc w:val="both"/>
      </w:pPr>
      <w:r w:rsidRPr="002960B5">
        <w:rPr>
          <w:b/>
          <w:bCs/>
        </w:rPr>
        <w:lastRenderedPageBreak/>
        <w:t>7. El libro de registro de variaciones de capital debe estar actualizado, firmado por los socios, y registrado ante el Registro Público (para S.A. de C.V.)</w:t>
      </w:r>
      <w:r w:rsidRPr="002960B5">
        <w:br/>
        <w:t>Aunque la ley no exija asamblea extraordinaria, el libro de registro es obligatorio. Sin él, la empresa puede perder.</w:t>
      </w:r>
    </w:p>
    <w:p w14:paraId="3C9C5CBF" w14:textId="77777777" w:rsidR="002960B5" w:rsidRPr="002960B5" w:rsidRDefault="002960B5" w:rsidP="002960B5">
      <w:pPr>
        <w:jc w:val="both"/>
      </w:pPr>
      <w:r w:rsidRPr="002960B5">
        <w:rPr>
          <w:i/>
          <w:iCs/>
        </w:rPr>
        <w:t>Fundamento:</w:t>
      </w:r>
      <w:r w:rsidRPr="002960B5">
        <w:t> Artículos 213 a 219 de la LGSM.</w:t>
      </w:r>
    </w:p>
    <w:p w14:paraId="559EE8F9" w14:textId="77777777" w:rsidR="002960B5" w:rsidRPr="002960B5" w:rsidRDefault="002960B5" w:rsidP="002960B5">
      <w:pPr>
        <w:jc w:val="both"/>
      </w:pPr>
      <w:r w:rsidRPr="002960B5">
        <w:rPr>
          <w:b/>
          <w:bCs/>
        </w:rPr>
        <w:t>8. Las reducciones de capital también deben seguir las reglas según el tipo societario</w:t>
      </w:r>
      <w:r w:rsidRPr="002960B5">
        <w:br/>
        <w:t>Si la empresa es de capital fijo, la reducción requiere asamblea extraordinaria, publicación de edictos, e inscripción en el Registro Público. Si es de capital variable, basta con anotación en el libro de registro.</w:t>
      </w:r>
    </w:p>
    <w:p w14:paraId="4C5C6D47" w14:textId="77777777" w:rsidR="002960B5" w:rsidRPr="002960B5" w:rsidRDefault="002960B5" w:rsidP="002960B5">
      <w:pPr>
        <w:jc w:val="both"/>
      </w:pPr>
      <w:r w:rsidRPr="002960B5">
        <w:rPr>
          <w:i/>
          <w:iCs/>
        </w:rPr>
        <w:t>Fundamento:</w:t>
      </w:r>
      <w:r w:rsidRPr="002960B5">
        <w:t> Artículos 182, 194, 213-219 de la LGSM.</w:t>
      </w:r>
    </w:p>
    <w:p w14:paraId="10D907F3" w14:textId="77777777" w:rsidR="002960B5" w:rsidRPr="002960B5" w:rsidRDefault="002960B5" w:rsidP="002960B5">
      <w:pPr>
        <w:jc w:val="both"/>
      </w:pPr>
      <w:r w:rsidRPr="002960B5">
        <w:rPr>
          <w:b/>
          <w:bCs/>
        </w:rPr>
        <w:t>9. El SAT puede desconocer aumentos de capital mal documentados, incluso si el dinero efectivamente entró a la empresa</w:t>
      </w:r>
      <w:r w:rsidRPr="002960B5">
        <w:br/>
        <w:t>La forma no es un adorno. Si la ley exige una forma determinada (acta extraordinaria protocolizada para capital fijo), esa forma es la única válida. El dinero puede haber entrado, pero si no se siguió la forma, el SAT puede desconocerlo.</w:t>
      </w:r>
    </w:p>
    <w:p w14:paraId="7112AFDE" w14:textId="77777777" w:rsidR="002960B5" w:rsidRPr="002960B5" w:rsidRDefault="002960B5" w:rsidP="002960B5">
      <w:pPr>
        <w:jc w:val="both"/>
      </w:pPr>
      <w:r w:rsidRPr="002960B5">
        <w:rPr>
          <w:i/>
          <w:iCs/>
        </w:rPr>
        <w:t>Fundamento:</w:t>
      </w:r>
      <w:r w:rsidRPr="002960B5">
        <w:t> Artículo 16 constitucional; artículo 48 del CFF.</w:t>
      </w:r>
    </w:p>
    <w:p w14:paraId="74F1D97F" w14:textId="77777777" w:rsidR="002960B5" w:rsidRPr="002960B5" w:rsidRDefault="002960B5" w:rsidP="002960B5">
      <w:pPr>
        <w:jc w:val="both"/>
      </w:pPr>
      <w:r w:rsidRPr="002960B5">
        <w:rPr>
          <w:b/>
          <w:bCs/>
        </w:rPr>
        <w:t>10. Revisar el tipo societario antes de cualquier operación de capital es una medida preventiva esencial</w:t>
      </w:r>
      <w:r w:rsidRPr="002960B5">
        <w:br/>
        <w:t>No confiar en el contador o en el abogado sin verificar. El empresario debe saber si su empresa es de capital fijo o variable, y qué requisitos aplican para aumentos y reducciones de capital.</w:t>
      </w:r>
    </w:p>
    <w:p w14:paraId="7D31D518" w14:textId="77777777" w:rsidR="002960B5" w:rsidRPr="002960B5" w:rsidRDefault="002960B5" w:rsidP="002960B5">
      <w:pPr>
        <w:jc w:val="both"/>
      </w:pPr>
      <w:r w:rsidRPr="002960B5">
        <w:rPr>
          <w:i/>
          <w:iCs/>
        </w:rPr>
        <w:t>Fundamento:</w:t>
      </w:r>
      <w:r w:rsidRPr="002960B5">
        <w:t> Artículos 182, 194, 213-219 de la LGSM.</w:t>
      </w:r>
    </w:p>
    <w:p w14:paraId="7BC8F293" w14:textId="77777777" w:rsidR="002960B5" w:rsidRPr="002960B5" w:rsidRDefault="002960B5" w:rsidP="002960B5">
      <w:pPr>
        <w:jc w:val="both"/>
      </w:pPr>
      <w:r w:rsidRPr="002960B5">
        <w:rPr>
          <w:b/>
          <w:bCs/>
        </w:rPr>
        <w:t>Fundamento legal completo del caso</w:t>
      </w:r>
    </w:p>
    <w:p w14:paraId="670EF127" w14:textId="77777777" w:rsidR="002960B5" w:rsidRPr="002960B5" w:rsidRDefault="002960B5" w:rsidP="002960B5">
      <w:pPr>
        <w:jc w:val="both"/>
      </w:pPr>
      <w:r w:rsidRPr="002960B5">
        <w:rPr>
          <w:i/>
          <w:iCs/>
        </w:rPr>
        <w:t>Legislación aplicable:</w:t>
      </w:r>
      <w:r w:rsidRPr="002960B5">
        <w:t> Artículos 182, 194, 213-219 de la LGSM; artículo 16 constitucional; artículo 48 del CFF.</w:t>
      </w:r>
    </w:p>
    <w:p w14:paraId="434659D5" w14:textId="77777777" w:rsidR="002960B5" w:rsidRPr="002960B5" w:rsidRDefault="002960B5" w:rsidP="002960B5">
      <w:pPr>
        <w:jc w:val="both"/>
      </w:pPr>
      <w:r w:rsidRPr="002960B5">
        <w:rPr>
          <w:i/>
          <w:iCs/>
        </w:rPr>
        <w:t>Jurisprudencia:</w:t>
      </w:r>
      <w:r w:rsidRPr="002960B5">
        <w:t> Tesis del TFJA sobre diferencia entre capital fijo y variable.</w:t>
      </w:r>
    </w:p>
    <w:p w14:paraId="7CF11319" w14:textId="77777777" w:rsidR="002960B5" w:rsidRPr="002960B5" w:rsidRDefault="002960B5" w:rsidP="002960B5">
      <w:pPr>
        <w:jc w:val="both"/>
      </w:pPr>
      <w:r w:rsidRPr="002960B5">
        <w:rPr>
          <w:b/>
          <w:bCs/>
        </w:rPr>
        <w:t>Referencia al expediente completo</w:t>
      </w:r>
      <w:r w:rsidRPr="002960B5">
        <w:br/>
        <w:t>El expediente 784/24-07-02-2/841/25-S2-08-04 puede ser consultado en el TFJA o SISE.</w:t>
      </w:r>
    </w:p>
    <w:p w14:paraId="4776944D" w14:textId="77777777" w:rsidR="002960B5" w:rsidRPr="002960B5" w:rsidRDefault="002960B5" w:rsidP="002960B5">
      <w:pPr>
        <w:jc w:val="both"/>
      </w:pPr>
      <w:proofErr w:type="spellStart"/>
      <w:r w:rsidRPr="002960B5">
        <w:rPr>
          <w:b/>
          <w:bCs/>
        </w:rPr>
        <w:t>Checklist</w:t>
      </w:r>
      <w:proofErr w:type="spellEnd"/>
      <w:r w:rsidRPr="002960B5">
        <w:rPr>
          <w:b/>
          <w:bCs/>
        </w:rPr>
        <w:t xml:space="preserve"> de defensa para el asesor fiscal</w:t>
      </w:r>
    </w:p>
    <w:p w14:paraId="2B242F4E" w14:textId="77777777" w:rsidR="002960B5" w:rsidRPr="002960B5" w:rsidRDefault="002960B5" w:rsidP="002960B5">
      <w:pPr>
        <w:numPr>
          <w:ilvl w:val="0"/>
          <w:numId w:val="29"/>
        </w:numPr>
        <w:jc w:val="both"/>
      </w:pPr>
      <w:r w:rsidRPr="002960B5">
        <w:lastRenderedPageBreak/>
        <w:t>Revisar el tipo de sociedad: ¿Es S.A. de C.F. (Capital Fijo) o S.A. de C.V. (Capital Variable)? Buscar el acta constitutiva, leer la cláusula de capital.</w:t>
      </w:r>
    </w:p>
    <w:p w14:paraId="26379B4E" w14:textId="77777777" w:rsidR="002960B5" w:rsidRPr="002960B5" w:rsidRDefault="002960B5" w:rsidP="002960B5">
      <w:pPr>
        <w:numPr>
          <w:ilvl w:val="0"/>
          <w:numId w:val="29"/>
        </w:numPr>
        <w:jc w:val="both"/>
      </w:pPr>
      <w:r w:rsidRPr="002960B5">
        <w:t>Si es S.A. de C.V., los aumentos de capital no requieren asamblea extraordinaria. Basta con anotarlo en el libro de registro de variaciones de capital.</w:t>
      </w:r>
    </w:p>
    <w:p w14:paraId="3E4DBC41" w14:textId="77777777" w:rsidR="002960B5" w:rsidRPr="002960B5" w:rsidRDefault="002960B5" w:rsidP="002960B5">
      <w:pPr>
        <w:numPr>
          <w:ilvl w:val="0"/>
          <w:numId w:val="29"/>
        </w:numPr>
        <w:jc w:val="both"/>
      </w:pPr>
      <w:r w:rsidRPr="002960B5">
        <w:t>Revisar el libro de registro de variaciones de capital: ¿Está actualizado? ¿Firmado por los socios? ¿Registrado ante el Registro Público? Si no, hacerlo hoy.</w:t>
      </w:r>
    </w:p>
    <w:p w14:paraId="473BD6F0" w14:textId="77777777" w:rsidR="002960B5" w:rsidRPr="002960B5" w:rsidRDefault="002960B5" w:rsidP="002960B5">
      <w:pPr>
        <w:numPr>
          <w:ilvl w:val="0"/>
          <w:numId w:val="29"/>
        </w:numPr>
        <w:jc w:val="both"/>
      </w:pPr>
      <w:r w:rsidRPr="002960B5">
        <w:t>Revisar los poderes del representante legal. Si venció, otorgar uno nuevo.</w:t>
      </w:r>
    </w:p>
    <w:p w14:paraId="5DB1A069" w14:textId="77777777" w:rsidR="002960B5" w:rsidRPr="002960B5" w:rsidRDefault="002960B5" w:rsidP="002960B5">
      <w:pPr>
        <w:numPr>
          <w:ilvl w:val="0"/>
          <w:numId w:val="29"/>
        </w:numPr>
        <w:jc w:val="both"/>
      </w:pPr>
      <w:r w:rsidRPr="002960B5">
        <w:t>Revisar las actas de asamblea de los últimos cinco años. Si falta alguna, convocar asamblea para regularizar.</w:t>
      </w:r>
    </w:p>
    <w:p w14:paraId="0263B337" w14:textId="77777777" w:rsidR="002960B5" w:rsidRPr="002960B5" w:rsidRDefault="002960B5" w:rsidP="002960B5">
      <w:pPr>
        <w:numPr>
          <w:ilvl w:val="0"/>
          <w:numId w:val="29"/>
        </w:numPr>
        <w:jc w:val="both"/>
      </w:pPr>
      <w:r w:rsidRPr="002960B5">
        <w:t>Revisar las reducciones de capital: si la empresa le reembolsó dinero, verificar que la reducción haya seguido todos los pasos legales según el tipo societario.</w:t>
      </w:r>
    </w:p>
    <w:p w14:paraId="45DEFB01" w14:textId="77777777" w:rsidR="002960B5" w:rsidRPr="002960B5" w:rsidRDefault="002960B5" w:rsidP="002960B5">
      <w:pPr>
        <w:numPr>
          <w:ilvl w:val="0"/>
          <w:numId w:val="29"/>
        </w:numPr>
        <w:jc w:val="both"/>
      </w:pPr>
      <w:r w:rsidRPr="002960B5">
        <w:t>No confiar en el contador si no distingue entre capital fijo y variable. Buscar una segunda opinión.</w:t>
      </w:r>
    </w:p>
    <w:p w14:paraId="16502DC9" w14:textId="77777777" w:rsidR="002960B5" w:rsidRPr="002960B5" w:rsidRDefault="002960B5" w:rsidP="002960B5">
      <w:pPr>
        <w:jc w:val="both"/>
      </w:pPr>
      <w:r w:rsidRPr="002960B5">
        <w:rPr>
          <w:b/>
          <w:bCs/>
        </w:rPr>
        <w:t>Nota final para el asesor fiscal:</w:t>
      </w:r>
      <w:r w:rsidRPr="002960B5">
        <w:t> La diferencia entre capital fijo y capital variable no es un detalle menor. Para una S.A. de C.F., el aumento de capital requiere asamblea extraordinaria protocolizada ante notario. Para una S.A. de C.V., NO. El SAT a veces aplica las reglas del capital fijo a empresas de capital variable. El Tribunal corrige, pero la empresa pierde tiempo y dinero. El empresario que nunca hizo una asamblea no es un mal empresario. Es un empresario que no sabe que, para el SAT, lo que no está en papel no existe. Revise sus actas hoy. Actualice sus poderes mañana. Regularice su capital esta semana. La forma no es enemiga del fondo. La forma es el vehículo que lleva el fondo a la seguridad jurídica.</w:t>
      </w:r>
    </w:p>
    <w:p w14:paraId="45B7E870" w14:textId="2CDDCA2A" w:rsidR="004A3B6E" w:rsidRPr="004A3B6E" w:rsidRDefault="0043687B" w:rsidP="004A3B6E">
      <w:pPr>
        <w:jc w:val="both"/>
        <w:rPr>
          <w:b/>
          <w:bCs/>
        </w:rPr>
      </w:pPr>
      <w:r>
        <w:rPr>
          <w:b/>
          <w:bCs/>
        </w:rPr>
        <w:t>A</w:t>
      </w:r>
      <w:r w:rsidR="004A3B6E" w:rsidRPr="004A3B6E">
        <w:rPr>
          <w:b/>
          <w:bCs/>
        </w:rPr>
        <w:t>péndice 25 – Capítulo 25</w:t>
      </w:r>
    </w:p>
    <w:p w14:paraId="3B5CFBB0" w14:textId="77777777" w:rsidR="004A3B6E" w:rsidRPr="004A3B6E" w:rsidRDefault="004A3B6E" w:rsidP="004A3B6E">
      <w:pPr>
        <w:jc w:val="both"/>
      </w:pPr>
      <w:r w:rsidRPr="004A3B6E">
        <w:rPr>
          <w:b/>
          <w:bCs/>
        </w:rPr>
        <w:t>Recibir pérdidas fiscales "gratis" le costó $127M: la trampa de la permanencia accionaria en una escisión</w:t>
      </w:r>
    </w:p>
    <w:p w14:paraId="79305119" w14:textId="77777777" w:rsidR="004A3B6E" w:rsidRPr="004A3B6E" w:rsidRDefault="004A3B6E" w:rsidP="004A3B6E">
      <w:pPr>
        <w:jc w:val="both"/>
      </w:pPr>
      <w:r w:rsidRPr="004A3B6E">
        <w:rPr>
          <w:b/>
          <w:bCs/>
        </w:rPr>
        <w:t>Expediente:</w:t>
      </w:r>
      <w:r w:rsidRPr="004A3B6E">
        <w:t> 6514/11-06-01-7/697/12-S2-09-04 del Tribunal Federal de Justicia Administrativa (Segunda Sección de la Sala Superior)</w:t>
      </w:r>
    </w:p>
    <w:p w14:paraId="4DA414D5" w14:textId="77777777" w:rsidR="004A3B6E" w:rsidRPr="004A3B6E" w:rsidRDefault="004A3B6E" w:rsidP="004A3B6E">
      <w:pPr>
        <w:jc w:val="both"/>
      </w:pPr>
      <w:r w:rsidRPr="004A3B6E">
        <w:rPr>
          <w:b/>
          <w:bCs/>
        </w:rPr>
        <w:t>Los 10 puntos técnicos más relevantes para el asesor fiscal</w:t>
      </w:r>
    </w:p>
    <w:p w14:paraId="2AC006D2" w14:textId="77777777" w:rsidR="004A3B6E" w:rsidRPr="004A3B6E" w:rsidRDefault="004A3B6E" w:rsidP="004A3B6E">
      <w:pPr>
        <w:jc w:val="both"/>
      </w:pPr>
      <w:r w:rsidRPr="004A3B6E">
        <w:rPr>
          <w:b/>
          <w:bCs/>
        </w:rPr>
        <w:t>1. La falta de permanencia accionaria convierte la escisión en enajenación</w:t>
      </w:r>
      <w:r w:rsidRPr="004A3B6E">
        <w:br/>
        <w:t xml:space="preserve">El artículo 14-B, fracción II, inciso a) del CFF exige que los mismos accionistas que </w:t>
      </w:r>
      <w:r w:rsidRPr="004A3B6E">
        <w:lastRenderedPageBreak/>
        <w:t>tenían al menos el 51% de las acciones con derecho a voto antes de la escisión conserven esa misma proporción durante tres años después. Si se rompe ese requisito, la transmisión se considera una venta (artículo 14, fracción IX del CFF).</w:t>
      </w:r>
    </w:p>
    <w:p w14:paraId="23D27F28" w14:textId="77777777" w:rsidR="004A3B6E" w:rsidRPr="004A3B6E" w:rsidRDefault="004A3B6E" w:rsidP="004A3B6E">
      <w:pPr>
        <w:jc w:val="both"/>
      </w:pPr>
      <w:r w:rsidRPr="004A3B6E">
        <w:rPr>
          <w:i/>
          <w:iCs/>
        </w:rPr>
        <w:t>Fundamento:</w:t>
      </w:r>
      <w:r w:rsidRPr="004A3B6E">
        <w:t> Artículo 14-B, fracción II, inciso a) del CFF; artículo 14, fracción IX del CFF.</w:t>
      </w:r>
    </w:p>
    <w:p w14:paraId="5D64E557" w14:textId="77777777" w:rsidR="004A3B6E" w:rsidRPr="004A3B6E" w:rsidRDefault="004A3B6E" w:rsidP="004A3B6E">
      <w:pPr>
        <w:jc w:val="both"/>
      </w:pPr>
      <w:r w:rsidRPr="004A3B6E">
        <w:rPr>
          <w:b/>
          <w:bCs/>
        </w:rPr>
        <w:t>2. La ganancia derivada de la escisión debe ser acumulada por la sociedad escindida, no por los accionistas</w:t>
      </w:r>
      <w:r w:rsidRPr="004A3B6E">
        <w:br/>
        <w:t>La escindida tiene personalidad jurídica propia (artículo 2º de la LGSM) y recibe directamente el patrimonio fragmentado. Es la escindida quien debe acumular el ingreso, no los socios.</w:t>
      </w:r>
    </w:p>
    <w:p w14:paraId="02BF2336" w14:textId="77777777" w:rsidR="004A3B6E" w:rsidRPr="004A3B6E" w:rsidRDefault="004A3B6E" w:rsidP="004A3B6E">
      <w:pPr>
        <w:jc w:val="both"/>
      </w:pPr>
      <w:r w:rsidRPr="004A3B6E">
        <w:rPr>
          <w:i/>
          <w:iCs/>
        </w:rPr>
        <w:t>Fundamento:</w:t>
      </w:r>
      <w:r w:rsidRPr="004A3B6E">
        <w:t> Artículo 2º de la LGSM; artículo 20, fracción V de la LISR.</w:t>
      </w:r>
    </w:p>
    <w:p w14:paraId="79B6719B" w14:textId="77777777" w:rsidR="004A3B6E" w:rsidRPr="004A3B6E" w:rsidRDefault="004A3B6E" w:rsidP="004A3B6E">
      <w:pPr>
        <w:jc w:val="both"/>
      </w:pPr>
      <w:r w:rsidRPr="004A3B6E">
        <w:rPr>
          <w:b/>
          <w:bCs/>
        </w:rPr>
        <w:t>3. Las pérdidas fiscales transmitidas que se aplican representan un ingreso acumulable</w:t>
      </w:r>
      <w:r w:rsidRPr="004A3B6E">
        <w:br/>
        <w:t>Recibir el derecho a deducir pérdidas fiscales sin pagar por él es un beneficio económico. Si ese derecho proviene de una enajenación (por ruptura de permanencia), su valor es ingreso gravable (artículo 17 LISR).</w:t>
      </w:r>
    </w:p>
    <w:p w14:paraId="673140D8" w14:textId="77777777" w:rsidR="004A3B6E" w:rsidRPr="004A3B6E" w:rsidRDefault="004A3B6E" w:rsidP="004A3B6E">
      <w:pPr>
        <w:jc w:val="both"/>
      </w:pPr>
      <w:r w:rsidRPr="004A3B6E">
        <w:rPr>
          <w:i/>
          <w:iCs/>
        </w:rPr>
        <w:t>Fundamento:</w:t>
      </w:r>
      <w:r w:rsidRPr="004A3B6E">
        <w:t> Artículo 17 de la LISR; artículo 14-B del CFF.</w:t>
      </w:r>
    </w:p>
    <w:p w14:paraId="679180D9" w14:textId="77777777" w:rsidR="004A3B6E" w:rsidRPr="004A3B6E" w:rsidRDefault="004A3B6E" w:rsidP="004A3B6E">
      <w:pPr>
        <w:jc w:val="both"/>
      </w:pPr>
      <w:r w:rsidRPr="004A3B6E">
        <w:rPr>
          <w:b/>
          <w:bCs/>
        </w:rPr>
        <w:t>4. La cuenta de capital de aportación (CUCA) transmitida también es ingreso acumulable cuando se utiliza en reducciones de capital</w:t>
      </w:r>
      <w:r w:rsidRPr="004A3B6E">
        <w:br/>
        <w:t>No se puede recibir una CUCA "gratis" y luego usarla para retirar capital sin impuestos. Si la CUCA se recibió en una enajenación, su valor es ingreso.</w:t>
      </w:r>
    </w:p>
    <w:p w14:paraId="5408F1A1" w14:textId="77777777" w:rsidR="004A3B6E" w:rsidRPr="004A3B6E" w:rsidRDefault="004A3B6E" w:rsidP="004A3B6E">
      <w:pPr>
        <w:jc w:val="both"/>
      </w:pPr>
      <w:r w:rsidRPr="004A3B6E">
        <w:rPr>
          <w:i/>
          <w:iCs/>
        </w:rPr>
        <w:t>Fundamento:</w:t>
      </w:r>
      <w:r w:rsidRPr="004A3B6E">
        <w:t> Artículo 11 de la LISR; artículo 17 de la LISR.</w:t>
      </w:r>
    </w:p>
    <w:p w14:paraId="762A7D6F" w14:textId="77777777" w:rsidR="004A3B6E" w:rsidRPr="004A3B6E" w:rsidRDefault="004A3B6E" w:rsidP="004A3B6E">
      <w:pPr>
        <w:jc w:val="both"/>
      </w:pPr>
      <w:r w:rsidRPr="004A3B6E">
        <w:rPr>
          <w:b/>
          <w:bCs/>
        </w:rPr>
        <w:t>5. No se aplica costo de adquisición a las pérdidas fiscales ni a la CUCA (artículos 21 y 25 de la LISR)</w:t>
      </w:r>
      <w:r w:rsidRPr="004A3B6E">
        <w:br/>
        <w:t>Las pérdidas fiscales y la CUCA no son bienes enajenables; por tanto, no puede restarse costo alguno. Primero se acumula el ingreso por la recepción (artículo 17), luego, si se venden bienes, se aplica costo fiscal.</w:t>
      </w:r>
    </w:p>
    <w:p w14:paraId="571B0442" w14:textId="77777777" w:rsidR="004A3B6E" w:rsidRPr="004A3B6E" w:rsidRDefault="004A3B6E" w:rsidP="004A3B6E">
      <w:pPr>
        <w:jc w:val="both"/>
      </w:pPr>
      <w:r w:rsidRPr="004A3B6E">
        <w:rPr>
          <w:i/>
          <w:iCs/>
        </w:rPr>
        <w:t>Fundamento:</w:t>
      </w:r>
      <w:r w:rsidRPr="004A3B6E">
        <w:t> Artículo 21 de la LISR; artículo 25 de la LISR; artículo 17 de la LISR.</w:t>
      </w:r>
    </w:p>
    <w:p w14:paraId="427F3869" w14:textId="77777777" w:rsidR="004A3B6E" w:rsidRPr="004A3B6E" w:rsidRDefault="004A3B6E" w:rsidP="004A3B6E">
      <w:pPr>
        <w:jc w:val="both"/>
      </w:pPr>
      <w:r w:rsidRPr="004A3B6E">
        <w:rPr>
          <w:b/>
          <w:bCs/>
        </w:rPr>
        <w:t>6. La responsabilidad de la escindida es directa, no solidaria (artículo 26, fracción XII del CFF)</w:t>
      </w:r>
      <w:r w:rsidRPr="004A3B6E">
        <w:br/>
        <w:t>La fracción XII se refiere a contribuciones causadas por la escindente. Aquí el crédito se determinó a cargo de la propia escindida por beneficios que ella recibió y aplicó. Es responsable directa.</w:t>
      </w:r>
    </w:p>
    <w:p w14:paraId="25A3E538" w14:textId="77777777" w:rsidR="004A3B6E" w:rsidRPr="004A3B6E" w:rsidRDefault="004A3B6E" w:rsidP="004A3B6E">
      <w:pPr>
        <w:jc w:val="both"/>
      </w:pPr>
      <w:r w:rsidRPr="004A3B6E">
        <w:rPr>
          <w:i/>
          <w:iCs/>
        </w:rPr>
        <w:lastRenderedPageBreak/>
        <w:t>Fundamento:</w:t>
      </w:r>
      <w:r w:rsidRPr="004A3B6E">
        <w:t> Artículo 26, fracción XII del CFF.</w:t>
      </w:r>
    </w:p>
    <w:p w14:paraId="1B9D5D5A" w14:textId="77777777" w:rsidR="004A3B6E" w:rsidRPr="004A3B6E" w:rsidRDefault="004A3B6E" w:rsidP="004A3B6E">
      <w:pPr>
        <w:jc w:val="both"/>
      </w:pPr>
      <w:r w:rsidRPr="004A3B6E">
        <w:rPr>
          <w:b/>
          <w:bCs/>
        </w:rPr>
        <w:t>7. La calificación de pérdidas y CUCA como "bienes" (aplicación supletoria del Código Civil) fue errónea, pero no anula el crédito</w:t>
      </w:r>
      <w:r w:rsidRPr="004A3B6E">
        <w:br/>
        <w:t>El error de calificación no desvirtúa la validez del crédito, pues existían otras razones suficientes para confirmar la acumulación del ingreso (artículo 17 LISR).</w:t>
      </w:r>
    </w:p>
    <w:p w14:paraId="7F130E86" w14:textId="77777777" w:rsidR="004A3B6E" w:rsidRPr="004A3B6E" w:rsidRDefault="004A3B6E" w:rsidP="004A3B6E">
      <w:pPr>
        <w:jc w:val="both"/>
      </w:pPr>
      <w:r w:rsidRPr="004A3B6E">
        <w:rPr>
          <w:i/>
          <w:iCs/>
        </w:rPr>
        <w:t>Fundamento:</w:t>
      </w:r>
      <w:r w:rsidRPr="004A3B6E">
        <w:t> Artículo 17 de la LISR; artículo 5 del CFF.</w:t>
      </w:r>
    </w:p>
    <w:p w14:paraId="192119CD" w14:textId="77777777" w:rsidR="004A3B6E" w:rsidRPr="004A3B6E" w:rsidRDefault="004A3B6E" w:rsidP="004A3B6E">
      <w:pPr>
        <w:jc w:val="both"/>
      </w:pPr>
      <w:r w:rsidRPr="004A3B6E">
        <w:rPr>
          <w:b/>
          <w:bCs/>
        </w:rPr>
        <w:t>8. La escisión no implica una enajenación de acciones ni una modificación patrimonial para los accionistas</w:t>
      </w:r>
      <w:r w:rsidRPr="004A3B6E">
        <w:br/>
        <w:t>Los accionistas reciben nuevas acciones en la misma proporción, sin que su patrimonio se modifique. La ganancia corresponde a la escindida, no a los socios.</w:t>
      </w:r>
    </w:p>
    <w:p w14:paraId="25E78F56" w14:textId="77777777" w:rsidR="004A3B6E" w:rsidRPr="004A3B6E" w:rsidRDefault="004A3B6E" w:rsidP="004A3B6E">
      <w:pPr>
        <w:jc w:val="both"/>
      </w:pPr>
      <w:r w:rsidRPr="004A3B6E">
        <w:rPr>
          <w:i/>
          <w:iCs/>
        </w:rPr>
        <w:t>Fundamento:</w:t>
      </w:r>
      <w:r w:rsidRPr="004A3B6E">
        <w:t> Artículo 14-B del CFF; artículo 2º de la LGSM.</w:t>
      </w:r>
    </w:p>
    <w:p w14:paraId="3F72A31E" w14:textId="77777777" w:rsidR="004A3B6E" w:rsidRPr="004A3B6E" w:rsidRDefault="004A3B6E" w:rsidP="004A3B6E">
      <w:pPr>
        <w:jc w:val="both"/>
      </w:pPr>
      <w:r w:rsidRPr="004A3B6E">
        <w:rPr>
          <w:b/>
          <w:bCs/>
        </w:rPr>
        <w:t>9. El requisito de permanencia accionaria distingue la reestructuración genuina de la enajenación simulada</w:t>
      </w:r>
      <w:r w:rsidRPr="004A3B6E">
        <w:br/>
        <w:t>La exposición de motivos de la reforma al CFF (2004) señala que los requisitos se endurecieron para evitar que los contribuyentes disfracen enajenaciones como escisiones.</w:t>
      </w:r>
    </w:p>
    <w:p w14:paraId="2BE89DAD" w14:textId="77777777" w:rsidR="004A3B6E" w:rsidRPr="004A3B6E" w:rsidRDefault="004A3B6E" w:rsidP="004A3B6E">
      <w:pPr>
        <w:jc w:val="both"/>
      </w:pPr>
      <w:r w:rsidRPr="004A3B6E">
        <w:rPr>
          <w:i/>
          <w:iCs/>
        </w:rPr>
        <w:t>Fundamento:</w:t>
      </w:r>
      <w:r w:rsidRPr="004A3B6E">
        <w:t> Exposición de motivos de la reforma al CFF de 2004.</w:t>
      </w:r>
    </w:p>
    <w:p w14:paraId="15F5BF48" w14:textId="77777777" w:rsidR="004A3B6E" w:rsidRPr="004A3B6E" w:rsidRDefault="004A3B6E" w:rsidP="004A3B6E">
      <w:pPr>
        <w:jc w:val="both"/>
      </w:pPr>
      <w:r w:rsidRPr="004A3B6E">
        <w:rPr>
          <w:b/>
          <w:bCs/>
        </w:rPr>
        <w:t>10. El criterio es firme: en escisión con ruptura de permanencia accionaria, la escindida debe acumular como ingreso el valor de las pérdidas fiscales y la CUCA transmitidas</w:t>
      </w:r>
      <w:r w:rsidRPr="004A3B6E">
        <w:br/>
        <w:t>El caso tuvo múltiples amparos y fue resuelto por la Segunda Sala de la SCJN. El criterio es firme y reiterado.</w:t>
      </w:r>
    </w:p>
    <w:p w14:paraId="0FB7E0EF" w14:textId="77777777" w:rsidR="004A3B6E" w:rsidRPr="004A3B6E" w:rsidRDefault="004A3B6E" w:rsidP="004A3B6E">
      <w:pPr>
        <w:jc w:val="both"/>
      </w:pPr>
      <w:r w:rsidRPr="004A3B6E">
        <w:rPr>
          <w:i/>
          <w:iCs/>
        </w:rPr>
        <w:t>Fundamento:</w:t>
      </w:r>
      <w:r w:rsidRPr="004A3B6E">
        <w:t> Jurisprudencia del TFJA; sentencia de la Segunda Sala de la SCJN.</w:t>
      </w:r>
    </w:p>
    <w:p w14:paraId="1C3CF802" w14:textId="77777777" w:rsidR="004A3B6E" w:rsidRPr="004A3B6E" w:rsidRDefault="004A3B6E" w:rsidP="004A3B6E">
      <w:pPr>
        <w:jc w:val="both"/>
      </w:pPr>
      <w:r w:rsidRPr="004A3B6E">
        <w:rPr>
          <w:b/>
          <w:bCs/>
        </w:rPr>
        <w:t>Fundamento legal completo del caso</w:t>
      </w:r>
    </w:p>
    <w:p w14:paraId="6A032DA1" w14:textId="77777777" w:rsidR="004A3B6E" w:rsidRPr="004A3B6E" w:rsidRDefault="004A3B6E" w:rsidP="004A3B6E">
      <w:pPr>
        <w:jc w:val="both"/>
      </w:pPr>
      <w:r w:rsidRPr="004A3B6E">
        <w:rPr>
          <w:i/>
          <w:iCs/>
        </w:rPr>
        <w:t>Legislación aplicable:</w:t>
      </w:r>
      <w:r w:rsidRPr="004A3B6E">
        <w:t> Artículo 14-B fracción II inciso a, 14 fracción IX del CFF; artículos 17, 11, 21, 25 de la LISR; artículo 26 fracción XII del CFF; artículo 2º de la LGSM.</w:t>
      </w:r>
    </w:p>
    <w:p w14:paraId="16FA6F94" w14:textId="77777777" w:rsidR="004A3B6E" w:rsidRPr="004A3B6E" w:rsidRDefault="004A3B6E" w:rsidP="004A3B6E">
      <w:pPr>
        <w:jc w:val="both"/>
      </w:pPr>
      <w:r w:rsidRPr="004A3B6E">
        <w:rPr>
          <w:i/>
          <w:iCs/>
        </w:rPr>
        <w:t>Jurisprudencia:</w:t>
      </w:r>
      <w:r w:rsidRPr="004A3B6E">
        <w:t> 2a./J. 56/2017 (10a.); tesis 1a. XX/2015 (10a.) de la SCJN; exposición de motivos de la reforma al CFF de 2004.</w:t>
      </w:r>
    </w:p>
    <w:p w14:paraId="20973E6F" w14:textId="77777777" w:rsidR="004A3B6E" w:rsidRPr="004A3B6E" w:rsidRDefault="004A3B6E" w:rsidP="004A3B6E">
      <w:pPr>
        <w:jc w:val="both"/>
      </w:pPr>
      <w:r w:rsidRPr="004A3B6E">
        <w:rPr>
          <w:b/>
          <w:bCs/>
        </w:rPr>
        <w:t>Referencia al expediente completo</w:t>
      </w:r>
      <w:r w:rsidRPr="004A3B6E">
        <w:br/>
        <w:t>El expediente 6514/11-06-01-7/697/12-S2-09-04 puede ser consultado en el TFJA o SISE.</w:t>
      </w:r>
    </w:p>
    <w:p w14:paraId="6542EE9B" w14:textId="77777777" w:rsidR="004A3B6E" w:rsidRPr="004A3B6E" w:rsidRDefault="004A3B6E" w:rsidP="004A3B6E">
      <w:pPr>
        <w:jc w:val="both"/>
      </w:pPr>
      <w:proofErr w:type="spellStart"/>
      <w:r w:rsidRPr="004A3B6E">
        <w:rPr>
          <w:b/>
          <w:bCs/>
        </w:rPr>
        <w:t>Checklist</w:t>
      </w:r>
      <w:proofErr w:type="spellEnd"/>
      <w:r w:rsidRPr="004A3B6E">
        <w:rPr>
          <w:b/>
          <w:bCs/>
        </w:rPr>
        <w:t xml:space="preserve"> de defensa para el asesor fiscal</w:t>
      </w:r>
    </w:p>
    <w:p w14:paraId="53C898AF" w14:textId="77777777" w:rsidR="004A3B6E" w:rsidRPr="004A3B6E" w:rsidRDefault="004A3B6E" w:rsidP="004A3B6E">
      <w:pPr>
        <w:numPr>
          <w:ilvl w:val="0"/>
          <w:numId w:val="30"/>
        </w:numPr>
        <w:jc w:val="both"/>
      </w:pPr>
      <w:r w:rsidRPr="004A3B6E">
        <w:lastRenderedPageBreak/>
        <w:t>Si está pensando en una escisión, verificar el requisito de permanencia accionaria: los mismos accionistas con al menos 51% del voto antes deben conservar esa proporción durante tres años después.</w:t>
      </w:r>
    </w:p>
    <w:p w14:paraId="51964C63" w14:textId="77777777" w:rsidR="004A3B6E" w:rsidRPr="004A3B6E" w:rsidRDefault="004A3B6E" w:rsidP="004A3B6E">
      <w:pPr>
        <w:numPr>
          <w:ilvl w:val="0"/>
          <w:numId w:val="30"/>
        </w:numPr>
        <w:jc w:val="both"/>
      </w:pPr>
      <w:r w:rsidRPr="004A3B6E">
        <w:t>Si ya hizo una escisión, verificar la permanencia accionaria de los últimos tres años. Si hubo venta que rompió el requisito, prepararse: el SAT puede determinar crédito fiscal por el valor de todo lo transmitido.</w:t>
      </w:r>
    </w:p>
    <w:p w14:paraId="0DFD5180" w14:textId="77777777" w:rsidR="004A3B6E" w:rsidRPr="004A3B6E" w:rsidRDefault="004A3B6E" w:rsidP="004A3B6E">
      <w:pPr>
        <w:numPr>
          <w:ilvl w:val="0"/>
          <w:numId w:val="30"/>
        </w:numPr>
        <w:jc w:val="both"/>
      </w:pPr>
      <w:r w:rsidRPr="004A3B6E">
        <w:t>Si recibió pérdidas fiscales o CUCA en una escisión que resultó ser enajenación, no aplicarlas sin calcular el impuesto. Cada peso de pérdida aplicado puede ser considerado ingreso.</w:t>
      </w:r>
    </w:p>
    <w:p w14:paraId="4A2C65AE" w14:textId="77777777" w:rsidR="004A3B6E" w:rsidRPr="004A3B6E" w:rsidRDefault="004A3B6E" w:rsidP="004A3B6E">
      <w:pPr>
        <w:numPr>
          <w:ilvl w:val="0"/>
          <w:numId w:val="30"/>
        </w:numPr>
        <w:jc w:val="both"/>
      </w:pPr>
      <w:r w:rsidRPr="004A3B6E">
        <w:t>Guardar constancia de composición accionaria del día de la escisión y de cada aniversario de los tres años siguientes. La prueba de la permanencia es suya.</w:t>
      </w:r>
    </w:p>
    <w:p w14:paraId="2445974F" w14:textId="77777777" w:rsidR="004A3B6E" w:rsidRPr="004A3B6E" w:rsidRDefault="004A3B6E" w:rsidP="004A3B6E">
      <w:pPr>
        <w:numPr>
          <w:ilvl w:val="0"/>
          <w:numId w:val="30"/>
        </w:numPr>
        <w:jc w:val="both"/>
      </w:pPr>
      <w:r w:rsidRPr="004A3B6E">
        <w:t>Si necesita que un socio se salga, no hacerlo dentro de los tres años posteriores a la escisión. Esperar a que el plazo se cumpla.</w:t>
      </w:r>
    </w:p>
    <w:p w14:paraId="1CCA7609" w14:textId="77777777" w:rsidR="004A3B6E" w:rsidRPr="004A3B6E" w:rsidRDefault="004A3B6E" w:rsidP="004A3B6E">
      <w:pPr>
        <w:jc w:val="both"/>
      </w:pPr>
      <w:r w:rsidRPr="004A3B6E">
        <w:rPr>
          <w:b/>
          <w:bCs/>
        </w:rPr>
        <w:t>Nota final para el asesor fiscal:</w:t>
      </w:r>
      <w:r w:rsidRPr="004A3B6E">
        <w:t> La permanencia accionaria no es un detalle menor. Es la línea que separa una reestructura neutral de una venta gravada. Si los accionistas no se quedan, la escisión es una enajenación. Y en una enajenación, todo lo que se recibe sin costo es ingreso. Las pérdidas fiscales recibidas "gratis" se convierten en ingreso gravable. El SAT cruza bases de datos. Cuando detecta que un socio se fue, llega con un crédito fiscal que no perdona.</w:t>
      </w:r>
    </w:p>
    <w:p w14:paraId="1E1F03EC" w14:textId="77777777" w:rsidR="004A3B6E" w:rsidRPr="004A3B6E" w:rsidRDefault="00000000" w:rsidP="004A3B6E">
      <w:pPr>
        <w:jc w:val="both"/>
      </w:pPr>
      <w:r>
        <w:pict w14:anchorId="6999D026">
          <v:rect id="_x0000_i1048" style="width:0;height:.75pt" o:hralign="center" o:hrstd="t" o:hr="t" fillcolor="#a0a0a0" stroked="f"/>
        </w:pict>
      </w:r>
    </w:p>
    <w:p w14:paraId="26E6479B" w14:textId="77777777" w:rsidR="004A3B6E" w:rsidRDefault="004A3B6E" w:rsidP="004A3B6E">
      <w:pPr>
        <w:jc w:val="both"/>
        <w:rPr>
          <w:b/>
          <w:bCs/>
        </w:rPr>
      </w:pPr>
      <w:r w:rsidRPr="004A3B6E">
        <w:rPr>
          <w:b/>
          <w:bCs/>
        </w:rPr>
        <w:t>Apéndice 26 – Capítulo 26</w:t>
      </w:r>
    </w:p>
    <w:p w14:paraId="69C2C798" w14:textId="77777777" w:rsidR="006E3FF6" w:rsidRPr="006E3FF6" w:rsidRDefault="006E3FF6" w:rsidP="006E3FF6">
      <w:pPr>
        <w:jc w:val="both"/>
      </w:pPr>
      <w:r w:rsidRPr="006E3FF6">
        <w:rPr>
          <w:b/>
          <w:bCs/>
        </w:rPr>
        <w:t>El día que el socio mayoritario se quedó con la marca por el precio de un café: administración fraudulenta y prisión efectiva</w:t>
      </w:r>
    </w:p>
    <w:p w14:paraId="70700528" w14:textId="77777777" w:rsidR="006E3FF6" w:rsidRPr="006E3FF6" w:rsidRDefault="006E3FF6" w:rsidP="006E3FF6">
      <w:pPr>
        <w:jc w:val="both"/>
      </w:pPr>
      <w:r w:rsidRPr="006E3FF6">
        <w:rPr>
          <w:b/>
          <w:bCs/>
        </w:rPr>
        <w:t>Capítulo 26 del libro</w:t>
      </w:r>
    </w:p>
    <w:p w14:paraId="1482C1CD" w14:textId="77777777" w:rsidR="006E3FF6" w:rsidRPr="006E3FF6" w:rsidRDefault="006E3FF6" w:rsidP="006E3FF6">
      <w:pPr>
        <w:jc w:val="both"/>
      </w:pPr>
      <w:r w:rsidRPr="006E3FF6">
        <w:rPr>
          <w:b/>
          <w:bCs/>
        </w:rPr>
        <w:t>Expediente:</w:t>
      </w:r>
      <w:r w:rsidRPr="006E3FF6">
        <w:t> Caso ilustrativo basado en criterios jurisprudenciales firmes (no se cita expediente real por tratarse de un caso de estudio con fundamento en tesis publicadas)</w:t>
      </w:r>
    </w:p>
    <w:p w14:paraId="77518918" w14:textId="77777777" w:rsidR="006E3FF6" w:rsidRPr="006E3FF6" w:rsidRDefault="00000000" w:rsidP="006E3FF6">
      <w:pPr>
        <w:jc w:val="both"/>
      </w:pPr>
      <w:r>
        <w:pict w14:anchorId="6FD884B0">
          <v:rect id="_x0000_i1049" style="width:0;height:.75pt" o:hralign="center" o:hrstd="t" o:hr="t" fillcolor="#a0a0a0" stroked="f"/>
        </w:pict>
      </w:r>
    </w:p>
    <w:p w14:paraId="0E0563B2" w14:textId="77777777" w:rsidR="006E3FF6" w:rsidRPr="006E3FF6" w:rsidRDefault="006E3FF6" w:rsidP="006E3FF6">
      <w:pPr>
        <w:jc w:val="both"/>
        <w:rPr>
          <w:b/>
          <w:bCs/>
        </w:rPr>
      </w:pPr>
      <w:r w:rsidRPr="006E3FF6">
        <w:rPr>
          <w:b/>
          <w:bCs/>
        </w:rPr>
        <w:t>Los 10 puntos técnicos más relevantes para el asesor fiscal</w:t>
      </w:r>
    </w:p>
    <w:p w14:paraId="7FCE4E72" w14:textId="77777777" w:rsidR="006E3FF6" w:rsidRPr="006E3FF6" w:rsidRDefault="006E3FF6" w:rsidP="006E3FF6">
      <w:pPr>
        <w:jc w:val="both"/>
      </w:pPr>
      <w:r w:rsidRPr="006E3FF6">
        <w:rPr>
          <w:b/>
          <w:bCs/>
        </w:rPr>
        <w:t>1. La administración fraudulenta (artículo 234 del Código Penal para el Distrito Federal) no viola la garantía de exacta aplicación de la ley penal.</w:t>
      </w:r>
      <w:r w:rsidRPr="006E3FF6">
        <w:br/>
        <w:t xml:space="preserve">La SCJN ha establecido que el tipo penal describe con suficiente claridad las </w:t>
      </w:r>
      <w:r w:rsidRPr="006E3FF6">
        <w:lastRenderedPageBreak/>
        <w:t>conductas prohibidas: realizar operaciones simuladas, hacer aparecer gastos inexistentes, ocultar valores o emplearlos indebidamente, o realizar operaciones perjudiciales al patrimonio del titular en beneficio propio. La conducta del socio mayoritario que crea empresas satélite sin razón de negocios, se transfiere activos a precio vil y cobra regalías simuladas encuadra perfectamente en este tipo penal.</w:t>
      </w:r>
    </w:p>
    <w:p w14:paraId="28A460C1" w14:textId="77777777" w:rsidR="006E3FF6" w:rsidRPr="006E3FF6" w:rsidRDefault="006E3FF6" w:rsidP="006E3FF6">
      <w:pPr>
        <w:jc w:val="both"/>
      </w:pPr>
      <w:r w:rsidRPr="006E3FF6">
        <w:rPr>
          <w:i/>
          <w:iCs/>
        </w:rPr>
        <w:t>Fundamento:</w:t>
      </w:r>
      <w:r w:rsidRPr="006E3FF6">
        <w:t> Artículo 234 del Código Penal para el Distrito Federal; tesis de la Novena Época de la SCJN (Registro digital: 176768).</w:t>
      </w:r>
    </w:p>
    <w:p w14:paraId="452090F9" w14:textId="77777777" w:rsidR="006E3FF6" w:rsidRPr="006E3FF6" w:rsidRDefault="006E3FF6" w:rsidP="006E3FF6">
      <w:pPr>
        <w:jc w:val="both"/>
      </w:pPr>
      <w:r w:rsidRPr="006E3FF6">
        <w:rPr>
          <w:b/>
          <w:bCs/>
        </w:rPr>
        <w:t>2. El socio mayoritario que controla la administración de la sociedad tiene el deber de cuidar los bienes sociales; desviarlos a su beneficio personal constituye administración fraudulenta.</w:t>
      </w:r>
      <w:r w:rsidRPr="006E3FF6">
        <w:br/>
        <w:t>El artículo 234 no distingue entre administrador profesional y socio mayoritario que actúa como administrador de hecho. El control accionario no es un permiso para disponer de los bienes sociales como propios. El Tribunal valora si el socio actuó con ánimo de lucro personal y en perjuicio de la sociedad o de los demás socios.</w:t>
      </w:r>
    </w:p>
    <w:p w14:paraId="0D667787" w14:textId="77777777" w:rsidR="006E3FF6" w:rsidRPr="006E3FF6" w:rsidRDefault="006E3FF6" w:rsidP="006E3FF6">
      <w:pPr>
        <w:jc w:val="both"/>
      </w:pPr>
      <w:r w:rsidRPr="006E3FF6">
        <w:rPr>
          <w:i/>
          <w:iCs/>
        </w:rPr>
        <w:t>Fundamento:</w:t>
      </w:r>
      <w:r w:rsidRPr="006E3FF6">
        <w:t> Artículo 234 del Código Penal para el Distrito Federal; jurisprudencia 2a./J. 56/2017 (10a.) de la SCJN.</w:t>
      </w:r>
    </w:p>
    <w:p w14:paraId="2F042C11" w14:textId="77777777" w:rsidR="006E3FF6" w:rsidRPr="006E3FF6" w:rsidRDefault="006E3FF6" w:rsidP="006E3FF6">
      <w:pPr>
        <w:jc w:val="both"/>
      </w:pPr>
      <w:r w:rsidRPr="006E3FF6">
        <w:rPr>
          <w:b/>
          <w:bCs/>
        </w:rPr>
        <w:t>3. El fraude fiscal genérico (artículo 108 del CFF) se configura cuando el contribuyente consigna ingresos acumulables menores a los realmente obtenidos, aunque lo haga a través de estructuras societarias interpuestas.</w:t>
      </w:r>
      <w:r w:rsidRPr="006E3FF6">
        <w:br/>
        <w:t>El socio mayoritario que desvía utilidades de la empresa familiar hacia empresas satélite que él controla, y consecuentemente declara ingresos menores en la empresa original, está cometiendo fraude fiscal. La simulación de operaciones entre partes relacionadas no es una defensa válida; es el corazón del delito.</w:t>
      </w:r>
    </w:p>
    <w:p w14:paraId="4E1B6097" w14:textId="77777777" w:rsidR="006E3FF6" w:rsidRPr="006E3FF6" w:rsidRDefault="006E3FF6" w:rsidP="006E3FF6">
      <w:pPr>
        <w:jc w:val="both"/>
      </w:pPr>
      <w:r w:rsidRPr="006E3FF6">
        <w:rPr>
          <w:i/>
          <w:iCs/>
        </w:rPr>
        <w:t>Fundamento:</w:t>
      </w:r>
      <w:r w:rsidRPr="006E3FF6">
        <w:t> Artículo 108 del CFF; tesis de la Décima Época de la SCJN (Registro digital: 2006698).</w:t>
      </w:r>
    </w:p>
    <w:p w14:paraId="0B556796" w14:textId="77777777" w:rsidR="006E3FF6" w:rsidRPr="006E3FF6" w:rsidRDefault="006E3FF6" w:rsidP="006E3FF6">
      <w:pPr>
        <w:jc w:val="both"/>
      </w:pPr>
      <w:r w:rsidRPr="006E3FF6">
        <w:rPr>
          <w:b/>
          <w:bCs/>
        </w:rPr>
        <w:t>4. No se requiere un engaño activo complejo; basta con la presentación de declaraciones falsas o incompletas.</w:t>
      </w:r>
      <w:r w:rsidRPr="006E3FF6">
        <w:br/>
        <w:t>La acción omisiva de declarar menos ingresos de los realmente obtenidos, o de presentar facturas de operaciones simuladas para reducir la base gravable, es suficiente para configurar el delito. El dolo se presume cuando hay una diferencia significativa entre los ingresos reales (detectables por depósitos bancarios) y los declarados.</w:t>
      </w:r>
    </w:p>
    <w:p w14:paraId="66739A17" w14:textId="77777777" w:rsidR="006E3FF6" w:rsidRPr="006E3FF6" w:rsidRDefault="006E3FF6" w:rsidP="006E3FF6">
      <w:pPr>
        <w:jc w:val="both"/>
      </w:pPr>
      <w:r w:rsidRPr="006E3FF6">
        <w:rPr>
          <w:i/>
          <w:iCs/>
        </w:rPr>
        <w:t>Fundamento:</w:t>
      </w:r>
      <w:r w:rsidRPr="006E3FF6">
        <w:t> Artículo 108, fracción I del CFF; artículo 109, fracción I del CFF.</w:t>
      </w:r>
    </w:p>
    <w:p w14:paraId="7BEB51D3" w14:textId="77777777" w:rsidR="006E3FF6" w:rsidRPr="006E3FF6" w:rsidRDefault="006E3FF6" w:rsidP="006E3FF6">
      <w:pPr>
        <w:jc w:val="both"/>
      </w:pPr>
      <w:r w:rsidRPr="006E3FF6">
        <w:rPr>
          <w:b/>
          <w:bCs/>
        </w:rPr>
        <w:lastRenderedPageBreak/>
        <w:t>5. El monto defraudado determina la procedencia de la prisión efectiva. Si supera el umbral del artículo 108, fracción III del CFF, no procede la sustitución de la pena.</w:t>
      </w:r>
      <w:r w:rsidRPr="006E3FF6">
        <w:br/>
        <w:t>El artículo 101 del CFF es claro: en delitos fiscales de alta cuantía, la prisión es efectiva y no se otorgan beneficios sustitutivos (condena condicional, trabajo en favor de la comunidad, etc.). El umbral se actualiza anualmente; en el caso de desviación de utilidades por más de 127 millones de pesos, se supera con creces.</w:t>
      </w:r>
    </w:p>
    <w:p w14:paraId="0DAEF3F5" w14:textId="77777777" w:rsidR="006E3FF6" w:rsidRPr="006E3FF6" w:rsidRDefault="006E3FF6" w:rsidP="006E3FF6">
      <w:pPr>
        <w:jc w:val="both"/>
      </w:pPr>
      <w:r w:rsidRPr="006E3FF6">
        <w:rPr>
          <w:i/>
          <w:iCs/>
        </w:rPr>
        <w:t>Fundamento:</w:t>
      </w:r>
      <w:r w:rsidRPr="006E3FF6">
        <w:t> Artículo 101 del CFF; artículo 108, fracción III del CFF; Tesis 2029391 del Semanario Judicial de la Federación (20 de septiembre de 2024).</w:t>
      </w:r>
    </w:p>
    <w:p w14:paraId="0BD1AB7D" w14:textId="77777777" w:rsidR="006E3FF6" w:rsidRPr="006E3FF6" w:rsidRDefault="006E3FF6" w:rsidP="006E3FF6">
      <w:pPr>
        <w:jc w:val="both"/>
      </w:pPr>
      <w:r w:rsidRPr="006E3FF6">
        <w:rPr>
          <w:b/>
          <w:bCs/>
        </w:rPr>
        <w:t>6. La prevención y combate al fraude fiscal es una finalidad constitucionalmente válida que justifica la prisión efectiva.</w:t>
      </w:r>
      <w:r w:rsidRPr="006E3FF6">
        <w:br/>
        <w:t>La SCJN ha declarado que combatir la evasión y el fraude fiscal es una finalidad constitucionalmente válida, porque lo que unos dejan de pagar lo pagan otros, contraviniendo la solidaridad social. Por tanto, las medidas que impiden la sustitución de la pena en delitos fiscales de alta cuantía son constitucionales.</w:t>
      </w:r>
    </w:p>
    <w:p w14:paraId="05AC97B5" w14:textId="77777777" w:rsidR="006E3FF6" w:rsidRPr="006E3FF6" w:rsidRDefault="006E3FF6" w:rsidP="006E3FF6">
      <w:pPr>
        <w:jc w:val="both"/>
      </w:pPr>
      <w:r w:rsidRPr="006E3FF6">
        <w:rPr>
          <w:i/>
          <w:iCs/>
        </w:rPr>
        <w:t>Fundamento:</w:t>
      </w:r>
      <w:r w:rsidRPr="006E3FF6">
        <w:t> Tesis 2a./J. 81/2024 (11a.) de la SCJN (Registro digital: 2029391); artículo 31 constitucional.</w:t>
      </w:r>
    </w:p>
    <w:p w14:paraId="49449E32" w14:textId="77777777" w:rsidR="006E3FF6" w:rsidRPr="006E3FF6" w:rsidRDefault="006E3FF6" w:rsidP="006E3FF6">
      <w:pPr>
        <w:jc w:val="both"/>
      </w:pPr>
      <w:r w:rsidRPr="006E3FF6">
        <w:rPr>
          <w:b/>
          <w:bCs/>
        </w:rPr>
        <w:t>7. La carga de la prueba de que las operaciones no fueron simuladas recae en el contribuyente cuando el SAT acredita indicios de desviación de utilidades.</w:t>
      </w:r>
      <w:r w:rsidRPr="006E3FF6">
        <w:br/>
        <w:t>Si el SAT demuestra que el socio mayoritario creó empresas sin razón de negocios, que se transfirió activos a precio vil y que cobró regalías sin sustancia económica, la carga se invierte. El socio debe probar que las operaciones tuvieron un propósito económico real distinto a obtener un beneficio fiscal indebido.</w:t>
      </w:r>
    </w:p>
    <w:p w14:paraId="6875BAC7" w14:textId="77777777" w:rsidR="006E3FF6" w:rsidRPr="006E3FF6" w:rsidRDefault="006E3FF6" w:rsidP="006E3FF6">
      <w:pPr>
        <w:jc w:val="both"/>
      </w:pPr>
      <w:r w:rsidRPr="006E3FF6">
        <w:rPr>
          <w:i/>
          <w:iCs/>
        </w:rPr>
        <w:t>Fundamento:</w:t>
      </w:r>
      <w:r w:rsidRPr="006E3FF6">
        <w:t> Artículo 40 de la LFCA; artículo 5-A del CFF (razón de negocios); jurisprudencia VIII-J-2aS-62 del TFJA.</w:t>
      </w:r>
    </w:p>
    <w:p w14:paraId="078B639A" w14:textId="77777777" w:rsidR="006E3FF6" w:rsidRPr="006E3FF6" w:rsidRDefault="006E3FF6" w:rsidP="006E3FF6">
      <w:pPr>
        <w:jc w:val="both"/>
      </w:pPr>
      <w:r w:rsidRPr="006E3FF6">
        <w:rPr>
          <w:b/>
          <w:bCs/>
        </w:rPr>
        <w:t>8. La transferencia de una marca a un precio notoriamente inferior a su valor de mercado, sin una razón de negocios válida, es un acto de administración fraudulenta.</w:t>
      </w:r>
      <w:r w:rsidRPr="006E3FF6">
        <w:br/>
        <w:t>El socio mayoritario que se transfiere a sí mismo (o a una empresa de su propiedad) un activo intangible de la sociedad por un precio irrisorio (ej. 1,500 pesos cuando el valor real supera los 8 millones) está incurriendo en la conducta típica del artículo 234: realizar operaciones perjudiciales al patrimonio del titular en beneficio propio.</w:t>
      </w:r>
    </w:p>
    <w:p w14:paraId="0978AF5D" w14:textId="77777777" w:rsidR="006E3FF6" w:rsidRPr="006E3FF6" w:rsidRDefault="006E3FF6" w:rsidP="006E3FF6">
      <w:pPr>
        <w:jc w:val="both"/>
      </w:pPr>
      <w:r w:rsidRPr="006E3FF6">
        <w:rPr>
          <w:i/>
          <w:iCs/>
        </w:rPr>
        <w:t>Fundamento:</w:t>
      </w:r>
      <w:r w:rsidRPr="006E3FF6">
        <w:t> Artículo 234 del Código Penal para el Distrito Federal; artículo 5-A del CFF.</w:t>
      </w:r>
    </w:p>
    <w:p w14:paraId="75EC40E6" w14:textId="77777777" w:rsidR="006E3FF6" w:rsidRPr="006E3FF6" w:rsidRDefault="006E3FF6" w:rsidP="006E3FF6">
      <w:pPr>
        <w:jc w:val="both"/>
      </w:pPr>
      <w:r w:rsidRPr="006E3FF6">
        <w:rPr>
          <w:b/>
          <w:bCs/>
        </w:rPr>
        <w:lastRenderedPageBreak/>
        <w:t>9. Las regalías pagadas por la empresa original a la empresa satélite del socio mayoritario por el uso de una marca que antes era propiedad de la propia empresa original son simuladas si no existe una razón de negocios real.</w:t>
      </w:r>
      <w:r w:rsidRPr="006E3FF6">
        <w:br/>
        <w:t>Si el socio mayoritario se transfiere la marca a sí mismo y luego la empresa original le paga regalías por usar su propia marca, sin que exista una reestructuración legítima (como la separación de una unidad de negocio independiente), la operación es simulada. Las regalías no son deducibles y el ingreso para el socio mayoritario es gravable. Además, esta conducta refuerza el ánimo de lucro personal del administrador.</w:t>
      </w:r>
    </w:p>
    <w:p w14:paraId="0382A7A7" w14:textId="77777777" w:rsidR="006E3FF6" w:rsidRPr="006E3FF6" w:rsidRDefault="006E3FF6" w:rsidP="006E3FF6">
      <w:pPr>
        <w:jc w:val="both"/>
      </w:pPr>
      <w:r w:rsidRPr="006E3FF6">
        <w:rPr>
          <w:i/>
          <w:iCs/>
        </w:rPr>
        <w:t>Fundamento:</w:t>
      </w:r>
      <w:r w:rsidRPr="006E3FF6">
        <w:t> Artículo 108 del CFF; artículo 5 del CFF (sustancia económica); artículo 14 del Convenio México-</w:t>
      </w:r>
      <w:proofErr w:type="gramStart"/>
      <w:r w:rsidRPr="006E3FF6">
        <w:t>EE.UU.</w:t>
      </w:r>
      <w:proofErr w:type="gramEnd"/>
      <w:r w:rsidRPr="006E3FF6">
        <w:t xml:space="preserve"> (en su caso).</w:t>
      </w:r>
    </w:p>
    <w:p w14:paraId="46665AF4" w14:textId="77777777" w:rsidR="006E3FF6" w:rsidRPr="006E3FF6" w:rsidRDefault="006E3FF6" w:rsidP="006E3FF6">
      <w:pPr>
        <w:jc w:val="both"/>
      </w:pPr>
      <w:r w:rsidRPr="006E3FF6">
        <w:rPr>
          <w:b/>
          <w:bCs/>
        </w:rPr>
        <w:t>10. La sentencia condenatoria por fraude fiscal de alta cuantía no admite beneficios sustitutivos, independientemente de la edad, la buena conducta previa o la voluntad de pago posterior.</w:t>
      </w:r>
      <w:r w:rsidRPr="006E3FF6">
        <w:br/>
        <w:t>El artículo 101 del CFF no distingue por edad, sexo, ocupación o conducta anterior. Una vez dictada sentencia firme por delito fiscal que supera el umbral de la fracción III del artículo 108, la prisión es efectiva. La regularización fiscal voluntaria antes de la querella puede atenuar la pena o evitar el proceso, pero una vez dictada sentencia, no hay camino de regreso.</w:t>
      </w:r>
    </w:p>
    <w:p w14:paraId="5FBC1FB3" w14:textId="77777777" w:rsidR="006E3FF6" w:rsidRPr="006E3FF6" w:rsidRDefault="006E3FF6" w:rsidP="006E3FF6">
      <w:pPr>
        <w:jc w:val="both"/>
      </w:pPr>
      <w:r w:rsidRPr="006E3FF6">
        <w:rPr>
          <w:i/>
          <w:iCs/>
        </w:rPr>
        <w:t>Fundamento:</w:t>
      </w:r>
      <w:r w:rsidRPr="006E3FF6">
        <w:t> Artículo 101 del CFF; artículo 108, fracción III del CFF; Tesis 2029391 del Semanario Judicial de la Federación (20 de septiembre de 2024).</w:t>
      </w:r>
    </w:p>
    <w:p w14:paraId="4F1906CB" w14:textId="77777777" w:rsidR="006E3FF6" w:rsidRPr="006E3FF6" w:rsidRDefault="00000000" w:rsidP="006E3FF6">
      <w:pPr>
        <w:jc w:val="both"/>
      </w:pPr>
      <w:r>
        <w:pict w14:anchorId="606745C0">
          <v:rect id="_x0000_i1050" style="width:0;height:.75pt" o:hralign="center" o:hrstd="t" o:hr="t" fillcolor="#a0a0a0" stroked="f"/>
        </w:pict>
      </w:r>
    </w:p>
    <w:p w14:paraId="0E2681C0" w14:textId="77777777" w:rsidR="006E3FF6" w:rsidRPr="006E3FF6" w:rsidRDefault="006E3FF6" w:rsidP="006E3FF6">
      <w:pPr>
        <w:jc w:val="both"/>
        <w:rPr>
          <w:b/>
          <w:bCs/>
        </w:rPr>
      </w:pPr>
      <w:r w:rsidRPr="006E3FF6">
        <w:rPr>
          <w:b/>
          <w:bCs/>
        </w:rPr>
        <w:t>Fundamento legal completo del caso</w:t>
      </w:r>
    </w:p>
    <w:p w14:paraId="764C5AB8" w14:textId="77777777" w:rsidR="006E3FF6" w:rsidRPr="006E3FF6" w:rsidRDefault="006E3FF6" w:rsidP="006E3FF6">
      <w:pPr>
        <w:jc w:val="both"/>
      </w:pPr>
      <w:r w:rsidRPr="006E3FF6">
        <w:rPr>
          <w:b/>
          <w:bCs/>
        </w:rPr>
        <w:t>Legislación aplicable:</w:t>
      </w:r>
    </w:p>
    <w:p w14:paraId="6A4138FB" w14:textId="77777777" w:rsidR="006E3FF6" w:rsidRPr="006E3FF6" w:rsidRDefault="006E3FF6" w:rsidP="006E3FF6">
      <w:pPr>
        <w:numPr>
          <w:ilvl w:val="0"/>
          <w:numId w:val="69"/>
        </w:numPr>
        <w:jc w:val="both"/>
      </w:pPr>
      <w:r w:rsidRPr="006E3FF6">
        <w:rPr>
          <w:b/>
          <w:bCs/>
        </w:rPr>
        <w:t>Artículo 234 del Código Penal para el Distrito Federal (aplicable en materia federal por remisión):</w:t>
      </w:r>
      <w:r w:rsidRPr="006E3FF6">
        <w:br/>
      </w:r>
      <w:r w:rsidRPr="006E3FF6">
        <w:rPr>
          <w:i/>
          <w:iCs/>
        </w:rPr>
        <w:t>“Al que por cualquier motivo, teniendo a su cargo la administración o el cuidado de bienes ajenos, con ánimo de lucro perjudique al titular de éstos, alterando las cuentas o condiciones de los contratos, haciendo aparecer operaciones o gastos inexistentes o exagerando los reales, ocultando o reteniendo valores o empleándolos indebidamente, o a sabiendas, realice operaciones perjudiciales al patrimonio del titular en beneficio propio o de un tercero…”</w:t>
      </w:r>
    </w:p>
    <w:p w14:paraId="6333E400" w14:textId="77777777" w:rsidR="006E3FF6" w:rsidRPr="006E3FF6" w:rsidRDefault="006E3FF6" w:rsidP="006E3FF6">
      <w:pPr>
        <w:numPr>
          <w:ilvl w:val="0"/>
          <w:numId w:val="69"/>
        </w:numPr>
        <w:jc w:val="both"/>
      </w:pPr>
      <w:r w:rsidRPr="006E3FF6">
        <w:rPr>
          <w:b/>
          <w:bCs/>
        </w:rPr>
        <w:t>Artículo 108 del Código Fiscal de la Federación (CFF):</w:t>
      </w:r>
      <w:r w:rsidRPr="006E3FF6">
        <w:br/>
      </w:r>
      <w:r w:rsidRPr="006E3FF6">
        <w:rPr>
          <w:i/>
          <w:iCs/>
        </w:rPr>
        <w:t xml:space="preserve">“Comete el delito de defraudación fiscal quien, mediante engaños o </w:t>
      </w:r>
      <w:r w:rsidRPr="006E3FF6">
        <w:rPr>
          <w:i/>
          <w:iCs/>
        </w:rPr>
        <w:lastRenderedPageBreak/>
        <w:t>aprovechándose de errores, omita total o parcialmente el pago de alguna contribución u obtenga un beneficio indebido con perjuicio del fisco federal.”</w:t>
      </w:r>
    </w:p>
    <w:p w14:paraId="58BEC6A4" w14:textId="77777777" w:rsidR="006E3FF6" w:rsidRPr="006E3FF6" w:rsidRDefault="006E3FF6" w:rsidP="006E3FF6">
      <w:pPr>
        <w:numPr>
          <w:ilvl w:val="0"/>
          <w:numId w:val="69"/>
        </w:numPr>
        <w:jc w:val="both"/>
      </w:pPr>
      <w:r w:rsidRPr="006E3FF6">
        <w:rPr>
          <w:b/>
          <w:bCs/>
        </w:rPr>
        <w:t>Artículo 108, fracción III del CFF:</w:t>
      </w:r>
      <w:r w:rsidRPr="006E3FF6">
        <w:br/>
        <w:t>Establece los umbrales a partir de los cuales la pena es de 3 a 9 años de prisión y no procede la sustitución.</w:t>
      </w:r>
    </w:p>
    <w:p w14:paraId="29D757F9" w14:textId="77777777" w:rsidR="006E3FF6" w:rsidRPr="006E3FF6" w:rsidRDefault="006E3FF6" w:rsidP="006E3FF6">
      <w:pPr>
        <w:numPr>
          <w:ilvl w:val="0"/>
          <w:numId w:val="69"/>
        </w:numPr>
        <w:jc w:val="both"/>
      </w:pPr>
      <w:r w:rsidRPr="006E3FF6">
        <w:rPr>
          <w:b/>
          <w:bCs/>
        </w:rPr>
        <w:t>Artículo 101 del CFF:</w:t>
      </w:r>
      <w:r w:rsidRPr="006E3FF6">
        <w:br/>
      </w:r>
      <w:r w:rsidRPr="006E3FF6">
        <w:rPr>
          <w:i/>
          <w:iCs/>
        </w:rPr>
        <w:t>“No procede la substitución y conmutación de sanciones o cualquier otro beneficio a los sentenciados por delitos fiscales, cuando se trate de los delitos previstos en los artículos 108 y 109 cuando les correspondan las sanciones dispuestas en la fracción III del artículo 108.”</w:t>
      </w:r>
    </w:p>
    <w:p w14:paraId="4556AF7E" w14:textId="77777777" w:rsidR="006E3FF6" w:rsidRPr="006E3FF6" w:rsidRDefault="006E3FF6" w:rsidP="006E3FF6">
      <w:pPr>
        <w:numPr>
          <w:ilvl w:val="0"/>
          <w:numId w:val="69"/>
        </w:numPr>
        <w:jc w:val="both"/>
      </w:pPr>
      <w:r w:rsidRPr="006E3FF6">
        <w:rPr>
          <w:b/>
          <w:bCs/>
        </w:rPr>
        <w:t>Artículo 40 de la LFCA:</w:t>
      </w:r>
      <w:r w:rsidRPr="006E3FF6">
        <w:t> Carga de la prueba; quien afirma un hecho debe probarlo.</w:t>
      </w:r>
    </w:p>
    <w:p w14:paraId="29974BEB" w14:textId="77777777" w:rsidR="006E3FF6" w:rsidRPr="006E3FF6" w:rsidRDefault="006E3FF6" w:rsidP="006E3FF6">
      <w:pPr>
        <w:numPr>
          <w:ilvl w:val="0"/>
          <w:numId w:val="69"/>
        </w:numPr>
        <w:jc w:val="both"/>
      </w:pPr>
      <w:r w:rsidRPr="006E3FF6">
        <w:rPr>
          <w:b/>
          <w:bCs/>
        </w:rPr>
        <w:t>Artículo 5-A del CFF:</w:t>
      </w:r>
      <w:r w:rsidRPr="006E3FF6">
        <w:t> Principio de razón de negocios.</w:t>
      </w:r>
    </w:p>
    <w:p w14:paraId="2C48335D" w14:textId="77777777" w:rsidR="006E3FF6" w:rsidRPr="006E3FF6" w:rsidRDefault="006E3FF6" w:rsidP="006E3FF6">
      <w:pPr>
        <w:numPr>
          <w:ilvl w:val="0"/>
          <w:numId w:val="69"/>
        </w:numPr>
        <w:jc w:val="both"/>
      </w:pPr>
      <w:r w:rsidRPr="006E3FF6">
        <w:rPr>
          <w:b/>
          <w:bCs/>
        </w:rPr>
        <w:t>Artículo 5 del CFF:</w:t>
      </w:r>
      <w:r w:rsidRPr="006E3FF6">
        <w:t> Principio de sustancia económica.</w:t>
      </w:r>
    </w:p>
    <w:p w14:paraId="68E74B14" w14:textId="77777777" w:rsidR="006E3FF6" w:rsidRPr="006E3FF6" w:rsidRDefault="006E3FF6" w:rsidP="006E3FF6">
      <w:pPr>
        <w:jc w:val="both"/>
      </w:pPr>
      <w:r w:rsidRPr="006E3FF6">
        <w:rPr>
          <w:b/>
          <w:bCs/>
        </w:rPr>
        <w:t>Jurisprudencia y tesis aplicables:</w:t>
      </w:r>
    </w:p>
    <w:p w14:paraId="0C38255F" w14:textId="77777777" w:rsidR="006E3FF6" w:rsidRPr="006E3FF6" w:rsidRDefault="006E3FF6" w:rsidP="006E3FF6">
      <w:pPr>
        <w:numPr>
          <w:ilvl w:val="0"/>
          <w:numId w:val="70"/>
        </w:numPr>
        <w:jc w:val="both"/>
      </w:pPr>
      <w:r w:rsidRPr="006E3FF6">
        <w:rPr>
          <w:b/>
          <w:bCs/>
        </w:rPr>
        <w:t>Tesis de la Novena Época de la SCJN (Registro digital: 176768):</w:t>
      </w:r>
      <w:r w:rsidRPr="006E3FF6">
        <w:br/>
      </w:r>
      <w:r w:rsidRPr="006E3FF6">
        <w:rPr>
          <w:i/>
          <w:iCs/>
        </w:rPr>
        <w:t>“ADMINISTRACIÓN FRAUDULENTA. EL ARTÍCULO 234 DEL NUEVO CÓDIGO PENAL PARA EL DISTRITO FEDERAL, NO VIOLA LA GARANTÍA DE EXACTA APLICACIÓN DE LA LEY PENAL.”</w:t>
      </w:r>
      <w:r w:rsidRPr="006E3FF6">
        <w:br/>
        <w:t>Primera Sala. Fuente: Semanario Judicial de la Federación y su Gaceta, Tomo XXII, Noviembre de 2005, página 32.</w:t>
      </w:r>
    </w:p>
    <w:p w14:paraId="60FE5E97" w14:textId="77777777" w:rsidR="006E3FF6" w:rsidRPr="006E3FF6" w:rsidRDefault="006E3FF6" w:rsidP="006E3FF6">
      <w:pPr>
        <w:numPr>
          <w:ilvl w:val="0"/>
          <w:numId w:val="70"/>
        </w:numPr>
        <w:jc w:val="both"/>
      </w:pPr>
      <w:r w:rsidRPr="006E3FF6">
        <w:rPr>
          <w:b/>
          <w:bCs/>
        </w:rPr>
        <w:t>Tesis de la Décima Época de la SCJN (Registro digital: 2006698):</w:t>
      </w:r>
      <w:r w:rsidRPr="006E3FF6">
        <w:br/>
      </w:r>
      <w:r w:rsidRPr="006E3FF6">
        <w:rPr>
          <w:i/>
          <w:iCs/>
        </w:rPr>
        <w:t>“FRAUDE FISCAL GENÉRICO PREVISTO EN EL ARTÍCULO 108 DEL CÓDIGO FISCAL DE LA FEDERACIÓN. NO PROCEDE LA SUBSUNCIÓN EN ÉL, DEL EQUIPARADO CONTENIDO EN EL ARTÍCULO 109.”</w:t>
      </w:r>
      <w:r w:rsidRPr="006E3FF6">
        <w:br/>
        <w:t>Primera Sala. Fuente: Semanario Judicial de la Federación y su Gaceta, Libro 7, Junio de 2014, Tomo I, página 577.</w:t>
      </w:r>
    </w:p>
    <w:p w14:paraId="197F9FB9" w14:textId="77777777" w:rsidR="006E3FF6" w:rsidRPr="006E3FF6" w:rsidRDefault="006E3FF6" w:rsidP="006E3FF6">
      <w:pPr>
        <w:numPr>
          <w:ilvl w:val="0"/>
          <w:numId w:val="70"/>
        </w:numPr>
        <w:jc w:val="both"/>
      </w:pPr>
      <w:r w:rsidRPr="006E3FF6">
        <w:rPr>
          <w:b/>
          <w:bCs/>
        </w:rPr>
        <w:t>Tesis 2a./J. 81/2024 (11a. Época) (Registro digital: 2029391):</w:t>
      </w:r>
      <w:r w:rsidRPr="006E3FF6">
        <w:br/>
      </w:r>
      <w:r w:rsidRPr="006E3FF6">
        <w:rPr>
          <w:i/>
          <w:iCs/>
        </w:rPr>
        <w:t>“FRAUDE, ELUSIÓN, EVASIÓN O CONDUCTAS ILÍCITAS EN MATERIA FISCAL. SU PREVENCIÓN Y COMBATE SON UNA FINALIDAD CONSTITUCIONALMENTE VÁLIDA.”</w:t>
      </w:r>
      <w:r w:rsidRPr="006E3FF6">
        <w:br/>
        <w:t>Segunda Sala de la SCJN. Publicada el viernes 20 de septiembre de 2024.</w:t>
      </w:r>
    </w:p>
    <w:p w14:paraId="501F4004" w14:textId="77777777" w:rsidR="006E3FF6" w:rsidRPr="006E3FF6" w:rsidRDefault="006E3FF6" w:rsidP="006E3FF6">
      <w:pPr>
        <w:numPr>
          <w:ilvl w:val="0"/>
          <w:numId w:val="70"/>
        </w:numPr>
        <w:jc w:val="both"/>
      </w:pPr>
      <w:r w:rsidRPr="006E3FF6">
        <w:rPr>
          <w:b/>
          <w:bCs/>
        </w:rPr>
        <w:lastRenderedPageBreak/>
        <w:t>Jurisprudencia VIII-J-2aS-62 del TFJA:</w:t>
      </w:r>
      <w:r w:rsidRPr="006E3FF6">
        <w:br/>
        <w:t>“FALTA DE MATERIALIDAD. LA AUTORIDAD PUEDE CUESTIONARLA Y LA CARGA DE LA PRUEBA RECAE EN EL CONTRIBUYENTE.”</w:t>
      </w:r>
    </w:p>
    <w:p w14:paraId="59E7C20D" w14:textId="77777777" w:rsidR="006E3FF6" w:rsidRPr="006E3FF6" w:rsidRDefault="006E3FF6" w:rsidP="006E3FF6">
      <w:pPr>
        <w:numPr>
          <w:ilvl w:val="0"/>
          <w:numId w:val="70"/>
        </w:numPr>
        <w:jc w:val="both"/>
      </w:pPr>
      <w:r w:rsidRPr="006E3FF6">
        <w:rPr>
          <w:b/>
          <w:bCs/>
        </w:rPr>
        <w:t>Jurisprudencia 2a./J. 56/2017 (10a.) de la SCJN:</w:t>
      </w:r>
      <w:r w:rsidRPr="006E3FF6">
        <w:br/>
        <w:t>“PARTES RELACIONADAS. EL PRINCIPIO DE PLENA COMPETENCIA ES APLICABLE.”</w:t>
      </w:r>
    </w:p>
    <w:p w14:paraId="2B0C5C71" w14:textId="77777777" w:rsidR="006E3FF6" w:rsidRPr="006E3FF6" w:rsidRDefault="00000000" w:rsidP="006E3FF6">
      <w:pPr>
        <w:jc w:val="both"/>
      </w:pPr>
      <w:r>
        <w:pict w14:anchorId="74EBD3A7">
          <v:rect id="_x0000_i1051" style="width:0;height:.75pt" o:hralign="center" o:hrstd="t" o:hr="t" fillcolor="#a0a0a0" stroked="f"/>
        </w:pict>
      </w:r>
    </w:p>
    <w:p w14:paraId="14432E39" w14:textId="77777777" w:rsidR="006E3FF6" w:rsidRPr="006E3FF6" w:rsidRDefault="006E3FF6" w:rsidP="006E3FF6">
      <w:pPr>
        <w:jc w:val="both"/>
        <w:rPr>
          <w:b/>
          <w:bCs/>
        </w:rPr>
      </w:pPr>
      <w:r w:rsidRPr="006E3FF6">
        <w:rPr>
          <w:b/>
          <w:bCs/>
        </w:rPr>
        <w:t>Referencia a las tesis completas</w:t>
      </w:r>
    </w:p>
    <w:p w14:paraId="70510C02" w14:textId="77777777" w:rsidR="006E3FF6" w:rsidRPr="006E3FF6" w:rsidRDefault="006E3FF6" w:rsidP="006E3FF6">
      <w:pPr>
        <w:jc w:val="both"/>
      </w:pPr>
      <w:r w:rsidRPr="006E3FF6">
        <w:t>Las tesis citadas pueden ser consultadas en el Semanario Judicial de la Federación (SJF) a través del portal oficial de la SCJN (</w:t>
      </w:r>
      <w:hyperlink r:id="rId5" w:tgtFrame="_blank" w:history="1">
        <w:r w:rsidRPr="006E3FF6">
          <w:rPr>
            <w:rStyle w:val="Hipervnculo"/>
          </w:rPr>
          <w:t>https://www.scjn.gob.mx</w:t>
        </w:r>
      </w:hyperlink>
      <w:r w:rsidRPr="006E3FF6">
        <w:t>) o en las bases de datos autorizadas como el Instituto de Investigaciones Jurídicas de la UNAM (</w:t>
      </w:r>
      <w:hyperlink r:id="rId6" w:tgtFrame="_blank" w:history="1">
        <w:r w:rsidRPr="006E3FF6">
          <w:rPr>
            <w:rStyle w:val="Hipervnculo"/>
          </w:rPr>
          <w:t>https://www.iij.unam.mx</w:t>
        </w:r>
      </w:hyperlink>
      <w:r w:rsidRPr="006E3FF6">
        <w:t>). Los números de registro digital (176768, 2006698, 2029391) permiten su localización exacta.</w:t>
      </w:r>
    </w:p>
    <w:p w14:paraId="7046979E" w14:textId="77777777" w:rsidR="006E3FF6" w:rsidRPr="006E3FF6" w:rsidRDefault="00000000" w:rsidP="006E3FF6">
      <w:pPr>
        <w:jc w:val="both"/>
      </w:pPr>
      <w:r>
        <w:pict w14:anchorId="1623A601">
          <v:rect id="_x0000_i1052" style="width:0;height:.75pt" o:hralign="center" o:hrstd="t" o:hr="t" fillcolor="#a0a0a0" stroked="f"/>
        </w:pict>
      </w:r>
    </w:p>
    <w:p w14:paraId="5F338201" w14:textId="77777777" w:rsidR="006E3FF6" w:rsidRPr="006E3FF6" w:rsidRDefault="006E3FF6" w:rsidP="006E3FF6">
      <w:pPr>
        <w:jc w:val="both"/>
        <w:rPr>
          <w:b/>
          <w:bCs/>
        </w:rPr>
      </w:pPr>
      <w:proofErr w:type="spellStart"/>
      <w:r w:rsidRPr="006E3FF6">
        <w:rPr>
          <w:b/>
          <w:bCs/>
        </w:rPr>
        <w:t>Checklist</w:t>
      </w:r>
      <w:proofErr w:type="spellEnd"/>
      <w:r w:rsidRPr="006E3FF6">
        <w:rPr>
          <w:b/>
          <w:bCs/>
        </w:rPr>
        <w:t xml:space="preserve"> de defensa para el asesor fiscal (prevención y litigio)</w:t>
      </w:r>
    </w:p>
    <w:p w14:paraId="560F5912" w14:textId="77777777" w:rsidR="006E3FF6" w:rsidRPr="006E3FF6" w:rsidRDefault="006E3FF6" w:rsidP="006E3FF6">
      <w:pPr>
        <w:jc w:val="both"/>
      </w:pPr>
      <w:r w:rsidRPr="006E3FF6">
        <w:rPr>
          <w:b/>
          <w:bCs/>
        </w:rPr>
        <w:t>Para prevenir la responsabilidad penal del socio mayoritario o administrador:</w:t>
      </w:r>
    </w:p>
    <w:p w14:paraId="25D8F948" w14:textId="77777777" w:rsidR="006E3FF6" w:rsidRPr="006E3FF6" w:rsidRDefault="006E3FF6" w:rsidP="006E3FF6">
      <w:pPr>
        <w:jc w:val="both"/>
      </w:pPr>
      <w:r w:rsidRPr="006E3FF6">
        <w:rPr>
          <w:b/>
          <w:bCs/>
        </w:rPr>
        <w:t>Uno.</w:t>
      </w:r>
      <w:r w:rsidRPr="006E3FF6">
        <w:t> Revisar si existen empresas satélite que carezcan de razón de negocios real. Si el cliente ha constituido empresas que solo facturan a la empresa principal sin activos, personal o infraestructura propios, disolverlas o regularizar su operación documentando la razón de negocios.</w:t>
      </w:r>
    </w:p>
    <w:p w14:paraId="0FE00EA9" w14:textId="77777777" w:rsidR="006E3FF6" w:rsidRPr="006E3FF6" w:rsidRDefault="006E3FF6" w:rsidP="006E3FF6">
      <w:pPr>
        <w:jc w:val="both"/>
      </w:pPr>
      <w:r w:rsidRPr="006E3FF6">
        <w:rPr>
          <w:b/>
          <w:bCs/>
        </w:rPr>
        <w:t>Dos.</w:t>
      </w:r>
      <w:r w:rsidRPr="006E3FF6">
        <w:t> Documentar todas las operaciones entre partes relacionadas con contratos escritos, precios de mercado (estudios de precios de transferencia) y pago bancario trazable. No basta con “es mi socio” o “es mi hermano”. El SAT y los tribunales penales no distinguen.</w:t>
      </w:r>
    </w:p>
    <w:p w14:paraId="219F1228" w14:textId="77777777" w:rsidR="006E3FF6" w:rsidRPr="006E3FF6" w:rsidRDefault="006E3FF6" w:rsidP="006E3FF6">
      <w:pPr>
        <w:jc w:val="both"/>
      </w:pPr>
      <w:r w:rsidRPr="006E3FF6">
        <w:rPr>
          <w:b/>
          <w:bCs/>
        </w:rPr>
        <w:t>Tres.</w:t>
      </w:r>
      <w:r w:rsidRPr="006E3FF6">
        <w:t> No transferirse activos intangibles (marcas, patentes, nombres comerciales) a título personal o a empresas satélite sin un avalúo independiente y sin aprobación de la asamblea de accionistas (incluyendo el voto de los minoritarios). El precio debe ser el de mercado. Cualquier transferencia a precio vil es un acto de administración fraudulenta.</w:t>
      </w:r>
    </w:p>
    <w:p w14:paraId="6E885B2D" w14:textId="77777777" w:rsidR="006E3FF6" w:rsidRPr="006E3FF6" w:rsidRDefault="006E3FF6" w:rsidP="006E3FF6">
      <w:pPr>
        <w:jc w:val="both"/>
      </w:pPr>
      <w:r w:rsidRPr="006E3FF6">
        <w:rPr>
          <w:b/>
          <w:bCs/>
        </w:rPr>
        <w:t>Cuatro.</w:t>
      </w:r>
      <w:r w:rsidRPr="006E3FF6">
        <w:t> No pagar gastos personales (tarjetas de crédito, colegiaturas, impuestos individuales) con dinero de la empresa. Esa conducta es apropiación indebida de bienes sociales y encuadra en el artículo 234.</w:t>
      </w:r>
    </w:p>
    <w:p w14:paraId="001EB49A" w14:textId="77777777" w:rsidR="006E3FF6" w:rsidRPr="006E3FF6" w:rsidRDefault="006E3FF6" w:rsidP="006E3FF6">
      <w:pPr>
        <w:jc w:val="both"/>
      </w:pPr>
      <w:r w:rsidRPr="006E3FF6">
        <w:rPr>
          <w:b/>
          <w:bCs/>
        </w:rPr>
        <w:lastRenderedPageBreak/>
        <w:t>Cinco.</w:t>
      </w:r>
      <w:r w:rsidRPr="006E3FF6">
        <w:t> Si el cliente es socio minoritario y detecta anomalías, documentar todo antes de denunciar. Guardar estados de cuenta, actas de asamblea, contratos de empresas satélite, correos electrónicos del socio mayoritario. La denuncia penal debe estar respaldada por pruebas técnicas.</w:t>
      </w:r>
    </w:p>
    <w:p w14:paraId="3503371C" w14:textId="77777777" w:rsidR="006E3FF6" w:rsidRPr="006E3FF6" w:rsidRDefault="006E3FF6" w:rsidP="006E3FF6">
      <w:pPr>
        <w:jc w:val="both"/>
      </w:pPr>
      <w:r w:rsidRPr="006E3FF6">
        <w:rPr>
          <w:b/>
          <w:bCs/>
        </w:rPr>
        <w:t>Para la defensa en sede penal (si ya hay querella):</w:t>
      </w:r>
    </w:p>
    <w:p w14:paraId="57660BBB" w14:textId="77777777" w:rsidR="006E3FF6" w:rsidRPr="006E3FF6" w:rsidRDefault="006E3FF6" w:rsidP="006E3FF6">
      <w:pPr>
        <w:jc w:val="both"/>
      </w:pPr>
      <w:r w:rsidRPr="006E3FF6">
        <w:rPr>
          <w:b/>
          <w:bCs/>
        </w:rPr>
        <w:t>Seis.</w:t>
      </w:r>
      <w:r w:rsidRPr="006E3FF6">
        <w:t> Si el SAT ya inició una auditoría y detectó desviación de utilidades, buscar asesoría penal fiscal de inmediato. Regularizar fiscalmente antes de que se presente la querella. La regularización voluntaria puede atenuar la pena o, en algunos casos, evitar el ejercicio de la acción penal (criterio de oportunidad, artículo 256 del CNPP).</w:t>
      </w:r>
    </w:p>
    <w:p w14:paraId="00DCF601" w14:textId="77777777" w:rsidR="006E3FF6" w:rsidRPr="006E3FF6" w:rsidRDefault="006E3FF6" w:rsidP="006E3FF6">
      <w:pPr>
        <w:jc w:val="both"/>
      </w:pPr>
      <w:r w:rsidRPr="006E3FF6">
        <w:rPr>
          <w:b/>
          <w:bCs/>
        </w:rPr>
        <w:t>Siete.</w:t>
      </w:r>
      <w:r w:rsidRPr="006E3FF6">
        <w:t> Si ya hay querella, ofrecer prueba pericial contable que demuestre que las operaciones entre partes relacionadas tuvieron razón de negocios y precios de mercado. La pericial debe ser robusta, basada en estudios de comparabilidad y metodologías aceptadas por la OCDE.</w:t>
      </w:r>
    </w:p>
    <w:p w14:paraId="37D63B83" w14:textId="77777777" w:rsidR="006E3FF6" w:rsidRPr="006E3FF6" w:rsidRDefault="006E3FF6" w:rsidP="006E3FF6">
      <w:pPr>
        <w:jc w:val="both"/>
      </w:pPr>
      <w:r w:rsidRPr="006E3FF6">
        <w:rPr>
          <w:b/>
          <w:bCs/>
        </w:rPr>
        <w:t>Ocho.</w:t>
      </w:r>
      <w:r w:rsidRPr="006E3FF6">
        <w:t> Si el monto defraudado supera el umbral del artículo 108, fracción III del CFF, asumir que la prisión será efectiva. No confiar en que la edad, la buena conducta o el pago posterior evitarán la cárcel. La defensa debe concentrarse en reducir el monto o demostrar ausencia de dolo.</w:t>
      </w:r>
    </w:p>
    <w:p w14:paraId="30B5DE71" w14:textId="77777777" w:rsidR="006E3FF6" w:rsidRPr="006E3FF6" w:rsidRDefault="006E3FF6" w:rsidP="006E3FF6">
      <w:pPr>
        <w:jc w:val="both"/>
      </w:pPr>
      <w:r w:rsidRPr="006E3FF6">
        <w:rPr>
          <w:b/>
          <w:bCs/>
        </w:rPr>
        <w:t>Nueve.</w:t>
      </w:r>
      <w:r w:rsidRPr="006E3FF6">
        <w:t xml:space="preserve"> Si el cliente es persona física y fue designado como administrador sin su consentimiento (usurpación de identidad), ofrecer prueba pericial </w:t>
      </w:r>
      <w:proofErr w:type="spellStart"/>
      <w:r w:rsidRPr="006E3FF6">
        <w:t>grafoscópica</w:t>
      </w:r>
      <w:proofErr w:type="spellEnd"/>
      <w:r w:rsidRPr="006E3FF6">
        <w:t xml:space="preserve"> de inmediato. No esperar. La prueba debe desahogarse en el procedimiento administrativo antes de que se presente la querella penal.</w:t>
      </w:r>
    </w:p>
    <w:p w14:paraId="4C236FCA" w14:textId="77777777" w:rsidR="006E3FF6" w:rsidRPr="006E3FF6" w:rsidRDefault="006E3FF6" w:rsidP="006E3FF6">
      <w:pPr>
        <w:jc w:val="both"/>
      </w:pPr>
      <w:r w:rsidRPr="006E3FF6">
        <w:rPr>
          <w:b/>
          <w:bCs/>
        </w:rPr>
        <w:t>Diez.</w:t>
      </w:r>
      <w:r w:rsidRPr="006E3FF6">
        <w:t> Si ya hay sentencia condenatoria, evaluar recurso de apelación (artículos 468 y 469 del CNPP). La apelación puede corregir errores como la indebida aplicación del delito continuado (artículo 99 del CFF) o la incorrecta cuantificación del monto defraudado. Una reducción del monto por debajo del umbral del artículo 108, fracción III podría permitir la sustitución de la pena.</w:t>
      </w:r>
    </w:p>
    <w:p w14:paraId="068470F4" w14:textId="77777777" w:rsidR="006E3FF6" w:rsidRPr="006E3FF6" w:rsidRDefault="00000000" w:rsidP="006E3FF6">
      <w:pPr>
        <w:jc w:val="both"/>
      </w:pPr>
      <w:r>
        <w:pict w14:anchorId="70A44369">
          <v:rect id="_x0000_i1053" style="width:0;height:.75pt" o:hralign="center" o:hrstd="t" o:hr="t" fillcolor="#a0a0a0" stroked="f"/>
        </w:pict>
      </w:r>
    </w:p>
    <w:p w14:paraId="21EDE894" w14:textId="77777777" w:rsidR="006E3FF6" w:rsidRPr="006E3FF6" w:rsidRDefault="006E3FF6" w:rsidP="006E3FF6">
      <w:pPr>
        <w:jc w:val="both"/>
        <w:rPr>
          <w:b/>
          <w:bCs/>
        </w:rPr>
      </w:pPr>
      <w:r w:rsidRPr="006E3FF6">
        <w:rPr>
          <w:b/>
          <w:bCs/>
        </w:rPr>
        <w:t>Nota final para el asesor fiscal</w:t>
      </w:r>
    </w:p>
    <w:p w14:paraId="3F00487D" w14:textId="77777777" w:rsidR="006E3FF6" w:rsidRPr="006E3FF6" w:rsidRDefault="006E3FF6" w:rsidP="006E3FF6">
      <w:pPr>
        <w:jc w:val="both"/>
      </w:pPr>
      <w:r w:rsidRPr="006E3FF6">
        <w:t>Este caso enseña que el socio mayoritario que confunde “control accionario” con “propiedad absoluta” no solo enfrenta créditos fiscales millonarios. Enfrenta la prisión efectiva. Las tres tesis que respaldan este capítulo son claras:</w:t>
      </w:r>
    </w:p>
    <w:p w14:paraId="08E9AB45" w14:textId="77777777" w:rsidR="006E3FF6" w:rsidRPr="006E3FF6" w:rsidRDefault="006E3FF6" w:rsidP="006E3FF6">
      <w:pPr>
        <w:numPr>
          <w:ilvl w:val="0"/>
          <w:numId w:val="71"/>
        </w:numPr>
        <w:jc w:val="both"/>
      </w:pPr>
      <w:r w:rsidRPr="006E3FF6">
        <w:rPr>
          <w:b/>
          <w:bCs/>
        </w:rPr>
        <w:t>El artículo 234 del Código Penal</w:t>
      </w:r>
      <w:r w:rsidRPr="006E3FF6">
        <w:t xml:space="preserve"> (administración fraudulenta) es constitucional y aplicable a socios mayoritarios que se apropian indebidamente </w:t>
      </w:r>
      <w:r w:rsidRPr="006E3FF6">
        <w:lastRenderedPageBreak/>
        <w:t>de bienes sociales, incluso si son “dueños del 60% de las acciones”. La SCJN (Novena Época) ya lo validó.</w:t>
      </w:r>
    </w:p>
    <w:p w14:paraId="075C30F7" w14:textId="77777777" w:rsidR="006E3FF6" w:rsidRPr="006E3FF6" w:rsidRDefault="006E3FF6" w:rsidP="006E3FF6">
      <w:pPr>
        <w:numPr>
          <w:ilvl w:val="0"/>
          <w:numId w:val="71"/>
        </w:numPr>
        <w:jc w:val="both"/>
      </w:pPr>
      <w:r w:rsidRPr="006E3FF6">
        <w:rPr>
          <w:b/>
          <w:bCs/>
        </w:rPr>
        <w:t>El artículo 108 del CFF</w:t>
      </w:r>
      <w:r w:rsidRPr="006E3FF6">
        <w:t> (fraude fiscal genérico) castiga la simulación de operaciones y la consignación de ingresos menores, aunque se utilicen estructuras societarias interpuestas. La Décima Época de la SCJN confirmó su autonomía.</w:t>
      </w:r>
    </w:p>
    <w:p w14:paraId="76CF1E5D" w14:textId="77777777" w:rsidR="006E3FF6" w:rsidRPr="006E3FF6" w:rsidRDefault="006E3FF6" w:rsidP="006E3FF6">
      <w:pPr>
        <w:numPr>
          <w:ilvl w:val="0"/>
          <w:numId w:val="71"/>
        </w:numPr>
        <w:jc w:val="both"/>
      </w:pPr>
      <w:r w:rsidRPr="006E3FF6">
        <w:rPr>
          <w:b/>
          <w:bCs/>
        </w:rPr>
        <w:t>La Tesis 2029391</w:t>
      </w:r>
      <w:r w:rsidRPr="006E3FF6">
        <w:t> (2a./J. 81/2024, 11a. Época) cierra la puerta a cualquier beneficio sustitutivo cuando el monto defraudado es alto. La prisión es efectiva. La prevención y combate al fraude fiscal es una finalidad constitucionalmente válida.</w:t>
      </w:r>
    </w:p>
    <w:p w14:paraId="02CCBD31" w14:textId="77777777" w:rsidR="006E3FF6" w:rsidRPr="006E3FF6" w:rsidRDefault="006E3FF6" w:rsidP="006E3FF6">
      <w:pPr>
        <w:jc w:val="both"/>
      </w:pPr>
      <w:r w:rsidRPr="006E3FF6">
        <w:t>El error más común que cometen los asesores fiscales es pensar que los delitos fiscales son “menores” o que “con pagar la multa se arregla”. No es así. El artículo 101 del CFF no distingue por edad, ocupación o intención. Si el monto supera el umbral, la cárcel es real.</w:t>
      </w:r>
    </w:p>
    <w:p w14:paraId="0382A765" w14:textId="77777777" w:rsidR="006E3FF6" w:rsidRPr="006E3FF6" w:rsidRDefault="006E3FF6" w:rsidP="006E3FF6">
      <w:pPr>
        <w:jc w:val="both"/>
      </w:pPr>
      <w:r w:rsidRPr="006E3FF6">
        <w:t>Revise las operaciones entre partes relacionadas de su cliente. Documente cada transacción como si fuera con un extraño. No deje que el “control accionario” se convierta en una sentencia de prisión. La libertad de su cliente depende de ello.</w:t>
      </w:r>
    </w:p>
    <w:p w14:paraId="2BF41E99" w14:textId="77777777" w:rsidR="004A3B6E" w:rsidRPr="004A3B6E" w:rsidRDefault="00000000" w:rsidP="004A3B6E">
      <w:pPr>
        <w:jc w:val="both"/>
      </w:pPr>
      <w:r>
        <w:pict w14:anchorId="4CD3386A">
          <v:rect id="_x0000_i1054" style="width:0;height:.75pt" o:hralign="center" o:hrstd="t" o:hr="t" fillcolor="#a0a0a0" stroked="f"/>
        </w:pict>
      </w:r>
    </w:p>
    <w:p w14:paraId="4F46A122" w14:textId="77777777" w:rsidR="004A3B6E" w:rsidRPr="004A3B6E" w:rsidRDefault="004A3B6E" w:rsidP="004A3B6E">
      <w:pPr>
        <w:jc w:val="both"/>
        <w:rPr>
          <w:b/>
          <w:bCs/>
        </w:rPr>
      </w:pPr>
      <w:r w:rsidRPr="004A3B6E">
        <w:rPr>
          <w:b/>
          <w:bCs/>
        </w:rPr>
        <w:t>Apéndice 27 – Capítulo 27</w:t>
      </w:r>
    </w:p>
    <w:p w14:paraId="63A06F1D" w14:textId="77777777" w:rsidR="004A3B6E" w:rsidRPr="004A3B6E" w:rsidRDefault="004A3B6E" w:rsidP="004A3B6E">
      <w:pPr>
        <w:jc w:val="both"/>
      </w:pPr>
      <w:r w:rsidRPr="004A3B6E">
        <w:rPr>
          <w:b/>
          <w:bCs/>
        </w:rPr>
        <w:t>Su madre no puede defenderlo si usted muere sin nombrar un albacea: $200M perdidos por falta de planeación sucesoria</w:t>
      </w:r>
    </w:p>
    <w:p w14:paraId="1CD39C9B" w14:textId="77777777" w:rsidR="004A3B6E" w:rsidRPr="004A3B6E" w:rsidRDefault="004A3B6E" w:rsidP="004A3B6E">
      <w:pPr>
        <w:jc w:val="both"/>
      </w:pPr>
      <w:r w:rsidRPr="004A3B6E">
        <w:rPr>
          <w:b/>
          <w:bCs/>
        </w:rPr>
        <w:t>Expediente:</w:t>
      </w:r>
      <w:r w:rsidRPr="004A3B6E">
        <w:t> 1203/22-30-01-6/558/24-PL-04-04 del Tribunal Federal de Justicia Administrativa (Pleno Jurisdiccional de la Sala Superior)</w:t>
      </w:r>
    </w:p>
    <w:p w14:paraId="7D2B9D74" w14:textId="77777777" w:rsidR="004A3B6E" w:rsidRPr="004A3B6E" w:rsidRDefault="004A3B6E" w:rsidP="004A3B6E">
      <w:pPr>
        <w:jc w:val="both"/>
      </w:pPr>
      <w:r w:rsidRPr="004A3B6E">
        <w:rPr>
          <w:i/>
          <w:iCs/>
        </w:rPr>
        <w:t>Nota: Este apéndice se extrae del contenido del Capítulo 27 del libro, ya que el archivo técnico no contiene este expediente específico.</w:t>
      </w:r>
    </w:p>
    <w:p w14:paraId="0D445F5C" w14:textId="77777777" w:rsidR="004A3B6E" w:rsidRPr="004A3B6E" w:rsidRDefault="004A3B6E" w:rsidP="004A3B6E">
      <w:pPr>
        <w:jc w:val="both"/>
      </w:pPr>
      <w:r w:rsidRPr="004A3B6E">
        <w:rPr>
          <w:b/>
          <w:bCs/>
        </w:rPr>
        <w:t>Los 10 puntos técnicos más relevantes para el asesor fiscal</w:t>
      </w:r>
    </w:p>
    <w:p w14:paraId="130AF569" w14:textId="77777777" w:rsidR="004A3B6E" w:rsidRPr="004A3B6E" w:rsidRDefault="004A3B6E" w:rsidP="004A3B6E">
      <w:pPr>
        <w:jc w:val="both"/>
      </w:pPr>
      <w:r w:rsidRPr="004A3B6E">
        <w:rPr>
          <w:b/>
          <w:bCs/>
        </w:rPr>
        <w:t>1. Para representar a una sucesión se requiere nombramiento de albacea mediante resolución judicial</w:t>
      </w:r>
      <w:r w:rsidRPr="004A3B6E">
        <w:br/>
        <w:t>Ser heredero o familiar del causante no basta. El artículo 5 de la LFCA exige acreditar la representación al presentar la demanda. Solo el albacea designado por juez (o por testamento con aceptación y protesta del cargo) tiene legitimación activa.</w:t>
      </w:r>
    </w:p>
    <w:p w14:paraId="26757E56" w14:textId="77777777" w:rsidR="004A3B6E" w:rsidRPr="004A3B6E" w:rsidRDefault="004A3B6E" w:rsidP="004A3B6E">
      <w:pPr>
        <w:jc w:val="both"/>
      </w:pPr>
      <w:r w:rsidRPr="004A3B6E">
        <w:rPr>
          <w:i/>
          <w:iCs/>
        </w:rPr>
        <w:t>Fundamento:</w:t>
      </w:r>
      <w:r w:rsidRPr="004A3B6E">
        <w:t> Artículo 5 de la LFCA; artículos 1705 y 1706 del Código Civil Federal.</w:t>
      </w:r>
    </w:p>
    <w:p w14:paraId="047C5DC5" w14:textId="77777777" w:rsidR="004A3B6E" w:rsidRPr="004A3B6E" w:rsidRDefault="004A3B6E" w:rsidP="004A3B6E">
      <w:pPr>
        <w:jc w:val="both"/>
      </w:pPr>
      <w:r w:rsidRPr="004A3B6E">
        <w:rPr>
          <w:b/>
          <w:bCs/>
        </w:rPr>
        <w:lastRenderedPageBreak/>
        <w:t>2. El carácter "sub judice" del albaceazgo no suple el interés jurídico actual</w:t>
      </w:r>
      <w:r w:rsidRPr="004A3B6E">
        <w:br/>
        <w:t>Aunque existan litigios sucesorios pendientes, si al momento de la demanda no hay resolución que nombre albacea, el interés jurídico es futuro e incierto, no actual (artículo 8, fracción I de la LFCA).</w:t>
      </w:r>
    </w:p>
    <w:p w14:paraId="32260EB5" w14:textId="77777777" w:rsidR="004A3B6E" w:rsidRPr="004A3B6E" w:rsidRDefault="004A3B6E" w:rsidP="004A3B6E">
      <w:pPr>
        <w:jc w:val="both"/>
      </w:pPr>
      <w:r w:rsidRPr="004A3B6E">
        <w:rPr>
          <w:i/>
          <w:iCs/>
        </w:rPr>
        <w:t>Fundamento:</w:t>
      </w:r>
      <w:r w:rsidRPr="004A3B6E">
        <w:t> Artículo 8, fracción I de la LFCA; artículo 5 de la LFCA.</w:t>
      </w:r>
    </w:p>
    <w:p w14:paraId="790EFBCF" w14:textId="77777777" w:rsidR="004A3B6E" w:rsidRPr="004A3B6E" w:rsidRDefault="004A3B6E" w:rsidP="004A3B6E">
      <w:pPr>
        <w:jc w:val="both"/>
      </w:pPr>
      <w:r w:rsidRPr="004A3B6E">
        <w:rPr>
          <w:b/>
          <w:bCs/>
        </w:rPr>
        <w:t>3. La ratificación posterior de actuaciones por el albacea no subsana la falta de personalidad al inicio del juicio</w:t>
      </w:r>
      <w:r w:rsidRPr="004A3B6E">
        <w:br/>
        <w:t>Conforme a la tesis 1a. CCCLVII/2013 de la SCJN, la falta de representación en un proceso de orden público no se convalida con ratificación tardía.</w:t>
      </w:r>
    </w:p>
    <w:p w14:paraId="4EDF2E08" w14:textId="77777777" w:rsidR="004A3B6E" w:rsidRPr="004A3B6E" w:rsidRDefault="004A3B6E" w:rsidP="004A3B6E">
      <w:pPr>
        <w:jc w:val="both"/>
      </w:pPr>
      <w:r w:rsidRPr="004A3B6E">
        <w:rPr>
          <w:i/>
          <w:iCs/>
        </w:rPr>
        <w:t>Fundamento:</w:t>
      </w:r>
      <w:r w:rsidRPr="004A3B6E">
        <w:t> Tesis 1a. CCCLVII/2013 de la SCJN; artículo 5 de la LFCA.</w:t>
      </w:r>
    </w:p>
    <w:p w14:paraId="62F5D03B" w14:textId="77777777" w:rsidR="004A3B6E" w:rsidRPr="004A3B6E" w:rsidRDefault="004A3B6E" w:rsidP="004A3B6E">
      <w:pPr>
        <w:jc w:val="both"/>
      </w:pPr>
      <w:r w:rsidRPr="004A3B6E">
        <w:rPr>
          <w:b/>
          <w:bCs/>
        </w:rPr>
        <w:t>4. No procede la gestión de negocios en el juicio contencioso administrativo</w:t>
      </w:r>
      <w:r w:rsidRPr="004A3B6E">
        <w:br/>
        <w:t>El artículo 5, primer párrafo de la LFCA prohíbe expresamente la gestión de negocios. Un heredero que actúa por su propio derecho sin ser albacea incurre en esa prohibición.</w:t>
      </w:r>
    </w:p>
    <w:p w14:paraId="0B4253C9" w14:textId="77777777" w:rsidR="004A3B6E" w:rsidRPr="004A3B6E" w:rsidRDefault="004A3B6E" w:rsidP="004A3B6E">
      <w:pPr>
        <w:jc w:val="both"/>
      </w:pPr>
      <w:r w:rsidRPr="004A3B6E">
        <w:rPr>
          <w:i/>
          <w:iCs/>
        </w:rPr>
        <w:t>Fundamento:</w:t>
      </w:r>
      <w:r w:rsidRPr="004A3B6E">
        <w:t> Artículo 5, primer párrafo de la LFCA; artículo 5 del Código Civil Federal.</w:t>
      </w:r>
    </w:p>
    <w:p w14:paraId="0A94EC29" w14:textId="77777777" w:rsidR="004A3B6E" w:rsidRPr="004A3B6E" w:rsidRDefault="004A3B6E" w:rsidP="004A3B6E">
      <w:pPr>
        <w:jc w:val="both"/>
      </w:pPr>
      <w:r w:rsidRPr="004A3B6E">
        <w:rPr>
          <w:b/>
          <w:bCs/>
        </w:rPr>
        <w:t>5. Solo el albacea puede deducir acciones en defensa de la herencia</w:t>
      </w:r>
      <w:r w:rsidRPr="004A3B6E">
        <w:br/>
        <w:t xml:space="preserve">La jurisprudencia "ALBACEA. SE ENCUENTRA LEGALMENTE LEGITIMADO PARA AGOTAR MEDIO DE DEFENSA ADMINISTRATIVO" (V-TASR-XXIII-1796) confirma </w:t>
      </w:r>
      <w:proofErr w:type="gramStart"/>
      <w:r w:rsidRPr="004A3B6E">
        <w:t>que</w:t>
      </w:r>
      <w:proofErr w:type="gramEnd"/>
      <w:r w:rsidRPr="004A3B6E">
        <w:t xml:space="preserve"> sin aceptación y discernimiento del cargo de albacea, no hay legitimación activa.</w:t>
      </w:r>
    </w:p>
    <w:p w14:paraId="0E34A5D5" w14:textId="77777777" w:rsidR="004A3B6E" w:rsidRPr="004A3B6E" w:rsidRDefault="004A3B6E" w:rsidP="004A3B6E">
      <w:pPr>
        <w:jc w:val="both"/>
      </w:pPr>
      <w:r w:rsidRPr="004A3B6E">
        <w:rPr>
          <w:i/>
          <w:iCs/>
        </w:rPr>
        <w:t>Fundamento:</w:t>
      </w:r>
      <w:r w:rsidRPr="004A3B6E">
        <w:t> Jurisprudencia V-TASR-XXIII-1796; jurisprudencia IV.30.J/22.</w:t>
      </w:r>
    </w:p>
    <w:p w14:paraId="14CA940E" w14:textId="77777777" w:rsidR="004A3B6E" w:rsidRPr="004A3B6E" w:rsidRDefault="004A3B6E" w:rsidP="004A3B6E">
      <w:pPr>
        <w:jc w:val="both"/>
      </w:pPr>
      <w:r w:rsidRPr="004A3B6E">
        <w:rPr>
          <w:b/>
          <w:bCs/>
        </w:rPr>
        <w:t>6. La suspensión del plazo del artículo 13, quinto párrafo de la LFCA beneficia al albacea, no al heredero sin nombramiento</w:t>
      </w:r>
      <w:r w:rsidRPr="004A3B6E">
        <w:br/>
        <w:t>El plazo se suspende hasta por un año para que el albacea acepte el cargo y promueva el juicio. No autoriza a un heredero a promover por su cuenta antes de ser nombrado.</w:t>
      </w:r>
    </w:p>
    <w:p w14:paraId="3A9E8EFD" w14:textId="77777777" w:rsidR="004A3B6E" w:rsidRPr="004A3B6E" w:rsidRDefault="004A3B6E" w:rsidP="004A3B6E">
      <w:pPr>
        <w:jc w:val="both"/>
      </w:pPr>
      <w:r w:rsidRPr="004A3B6E">
        <w:rPr>
          <w:i/>
          <w:iCs/>
        </w:rPr>
        <w:t>Fundamento:</w:t>
      </w:r>
      <w:r w:rsidRPr="004A3B6E">
        <w:t> Artículo 13, quinto párrafo de la LFCA.</w:t>
      </w:r>
    </w:p>
    <w:p w14:paraId="6FE058B3" w14:textId="77777777" w:rsidR="004A3B6E" w:rsidRPr="004A3B6E" w:rsidRDefault="004A3B6E" w:rsidP="004A3B6E">
      <w:pPr>
        <w:jc w:val="both"/>
      </w:pPr>
      <w:r w:rsidRPr="004A3B6E">
        <w:rPr>
          <w:b/>
          <w:bCs/>
        </w:rPr>
        <w:t>7. El interés jurídico es presupuesto de orden público; su falta se estudia de oficio en sentencia, aunque la demanda se haya admitido</w:t>
      </w:r>
      <w:r w:rsidRPr="004A3B6E">
        <w:br/>
        <w:t>El Tribunal está obligado a analizar de oficio su competencia y la procedencia de la vía. Si advierte que la actora carece de interés jurídico (por no ser albacea), debe sobreseer.</w:t>
      </w:r>
    </w:p>
    <w:p w14:paraId="0CB7AE3C" w14:textId="77777777" w:rsidR="004A3B6E" w:rsidRPr="004A3B6E" w:rsidRDefault="004A3B6E" w:rsidP="004A3B6E">
      <w:pPr>
        <w:jc w:val="both"/>
      </w:pPr>
      <w:r w:rsidRPr="004A3B6E">
        <w:rPr>
          <w:i/>
          <w:iCs/>
        </w:rPr>
        <w:t>Fundamento:</w:t>
      </w:r>
      <w:r w:rsidRPr="004A3B6E">
        <w:t> Jurisprudencia VI.2o.C.671 C; artículo 5 de la LFCA.</w:t>
      </w:r>
    </w:p>
    <w:p w14:paraId="7DA3FA27" w14:textId="77777777" w:rsidR="004A3B6E" w:rsidRPr="004A3B6E" w:rsidRDefault="004A3B6E" w:rsidP="004A3B6E">
      <w:pPr>
        <w:jc w:val="both"/>
      </w:pPr>
      <w:r w:rsidRPr="004A3B6E">
        <w:rPr>
          <w:b/>
          <w:bCs/>
        </w:rPr>
        <w:t xml:space="preserve">8. El sobreseimiento por falta de interés jurídico </w:t>
      </w:r>
      <w:proofErr w:type="gramStart"/>
      <w:r w:rsidRPr="004A3B6E">
        <w:rPr>
          <w:b/>
          <w:bCs/>
        </w:rPr>
        <w:t>procede</w:t>
      </w:r>
      <w:proofErr w:type="gramEnd"/>
      <w:r w:rsidRPr="004A3B6E">
        <w:rPr>
          <w:b/>
          <w:bCs/>
        </w:rPr>
        <w:t xml:space="preserve"> aunque existan litigios sucesorios y denuncias penales</w:t>
      </w:r>
      <w:r w:rsidRPr="004A3B6E">
        <w:br/>
      </w:r>
      <w:r w:rsidRPr="004A3B6E">
        <w:lastRenderedPageBreak/>
        <w:t xml:space="preserve">El Tribunal fiscal no puede sustituir al juez familiar. Si el juicio sucesorio está en </w:t>
      </w:r>
      <w:proofErr w:type="gramStart"/>
      <w:r w:rsidRPr="004A3B6E">
        <w:t>curso</w:t>
      </w:r>
      <w:proofErr w:type="gramEnd"/>
      <w:r w:rsidRPr="004A3B6E">
        <w:t xml:space="preserve"> pero aún no hay albacea, la demanda fiscal es improcedente.</w:t>
      </w:r>
    </w:p>
    <w:p w14:paraId="16C09984" w14:textId="77777777" w:rsidR="004A3B6E" w:rsidRPr="004A3B6E" w:rsidRDefault="004A3B6E" w:rsidP="004A3B6E">
      <w:pPr>
        <w:jc w:val="both"/>
      </w:pPr>
      <w:r w:rsidRPr="004A3B6E">
        <w:rPr>
          <w:i/>
          <w:iCs/>
        </w:rPr>
        <w:t>Fundamento:</w:t>
      </w:r>
      <w:r w:rsidRPr="004A3B6E">
        <w:t> Artículo 8, fracción I de la LFCA; artículo 5 de la LFCA.</w:t>
      </w:r>
    </w:p>
    <w:p w14:paraId="75CE0D6E" w14:textId="77777777" w:rsidR="004A3B6E" w:rsidRPr="004A3B6E" w:rsidRDefault="004A3B6E" w:rsidP="004A3B6E">
      <w:pPr>
        <w:jc w:val="both"/>
      </w:pPr>
      <w:r w:rsidRPr="004A3B6E">
        <w:rPr>
          <w:b/>
          <w:bCs/>
        </w:rPr>
        <w:t>9. El principio de mayor beneficio (artículo 17 constitucional) no elimina los presupuestos procesales esenciales</w:t>
      </w:r>
      <w:r w:rsidRPr="004A3B6E">
        <w:br/>
        <w:t>La exigencia de nombramiento de albacea no viola derechos humanos; es una formalidad necesaria para la certeza jurídica. Sin albacea, no hay juicio.</w:t>
      </w:r>
    </w:p>
    <w:p w14:paraId="7CE622CD" w14:textId="77777777" w:rsidR="004A3B6E" w:rsidRPr="004A3B6E" w:rsidRDefault="004A3B6E" w:rsidP="004A3B6E">
      <w:pPr>
        <w:jc w:val="both"/>
      </w:pPr>
      <w:r w:rsidRPr="004A3B6E">
        <w:rPr>
          <w:i/>
          <w:iCs/>
        </w:rPr>
        <w:t>Fundamento:</w:t>
      </w:r>
      <w:r w:rsidRPr="004A3B6E">
        <w:t> Artículo 17 constitucional; artículo 5 de la LFCA.</w:t>
      </w:r>
    </w:p>
    <w:p w14:paraId="23D21DC4" w14:textId="77777777" w:rsidR="004A3B6E" w:rsidRPr="004A3B6E" w:rsidRDefault="004A3B6E" w:rsidP="004A3B6E">
      <w:pPr>
        <w:jc w:val="both"/>
      </w:pPr>
      <w:r w:rsidRPr="004A3B6E">
        <w:rPr>
          <w:b/>
          <w:bCs/>
        </w:rPr>
        <w:t>10. El sobreseimiento no deja indefensa a la masa hereditaria; sus derechos quedan a salvo para cuando se designe albacea definitivo</w:t>
      </w:r>
      <w:r w:rsidRPr="004A3B6E">
        <w:br/>
        <w:t>Una vez nombrado albacea, podrá promover nuevo juicio de nulidad dentro del plazo suspendido conforme al artículo 13, quinto párrafo de la LFCA.</w:t>
      </w:r>
    </w:p>
    <w:p w14:paraId="4ECCB574" w14:textId="77777777" w:rsidR="004A3B6E" w:rsidRPr="004A3B6E" w:rsidRDefault="004A3B6E" w:rsidP="004A3B6E">
      <w:pPr>
        <w:jc w:val="both"/>
      </w:pPr>
      <w:r w:rsidRPr="004A3B6E">
        <w:rPr>
          <w:i/>
          <w:iCs/>
        </w:rPr>
        <w:t>Fundamento:</w:t>
      </w:r>
      <w:r w:rsidRPr="004A3B6E">
        <w:t> Artículo 13, quinto párrafo de la LFCA; artículo 5 de la LFCA.</w:t>
      </w:r>
    </w:p>
    <w:p w14:paraId="1E5A0766" w14:textId="77777777" w:rsidR="004A3B6E" w:rsidRPr="004A3B6E" w:rsidRDefault="004A3B6E" w:rsidP="004A3B6E">
      <w:pPr>
        <w:jc w:val="both"/>
      </w:pPr>
      <w:r w:rsidRPr="004A3B6E">
        <w:rPr>
          <w:b/>
          <w:bCs/>
        </w:rPr>
        <w:t>Fundamento legal completo del caso</w:t>
      </w:r>
    </w:p>
    <w:p w14:paraId="7EDA88E0" w14:textId="77777777" w:rsidR="004A3B6E" w:rsidRPr="004A3B6E" w:rsidRDefault="004A3B6E" w:rsidP="004A3B6E">
      <w:pPr>
        <w:jc w:val="both"/>
      </w:pPr>
      <w:r w:rsidRPr="004A3B6E">
        <w:rPr>
          <w:i/>
          <w:iCs/>
        </w:rPr>
        <w:t>Legislación aplicable:</w:t>
      </w:r>
      <w:r w:rsidRPr="004A3B6E">
        <w:t> Artículos 5, 8 fracción I, 13 quinto párrafo de la LFCA; artículo 17 constitucional; artículos 1705, 1706, 5 del Código Civil Federal.</w:t>
      </w:r>
    </w:p>
    <w:p w14:paraId="20C1FBC1" w14:textId="77777777" w:rsidR="004A3B6E" w:rsidRPr="004A3B6E" w:rsidRDefault="004A3B6E" w:rsidP="004A3B6E">
      <w:pPr>
        <w:jc w:val="both"/>
      </w:pPr>
      <w:r w:rsidRPr="004A3B6E">
        <w:rPr>
          <w:i/>
          <w:iCs/>
        </w:rPr>
        <w:t>Jurisprudencia:</w:t>
      </w:r>
      <w:r w:rsidRPr="004A3B6E">
        <w:t> V-TASR-XXIII-1796; IV.30.J/22; 1a. CCCLVII/2013; VI.2o.C.671 C.</w:t>
      </w:r>
    </w:p>
    <w:p w14:paraId="4CE3D0B0" w14:textId="77777777" w:rsidR="004A3B6E" w:rsidRPr="004A3B6E" w:rsidRDefault="004A3B6E" w:rsidP="004A3B6E">
      <w:pPr>
        <w:jc w:val="both"/>
      </w:pPr>
      <w:r w:rsidRPr="004A3B6E">
        <w:rPr>
          <w:b/>
          <w:bCs/>
        </w:rPr>
        <w:t>Referencia al expediente completo</w:t>
      </w:r>
      <w:r w:rsidRPr="004A3B6E">
        <w:br/>
        <w:t>El expediente 1203/22-30-01-6/558/24-PL-04-04 puede ser consultado en el TFJA o SISE.</w:t>
      </w:r>
    </w:p>
    <w:p w14:paraId="5AC9C4E8" w14:textId="77777777" w:rsidR="004A3B6E" w:rsidRPr="004A3B6E" w:rsidRDefault="004A3B6E" w:rsidP="004A3B6E">
      <w:pPr>
        <w:jc w:val="both"/>
      </w:pPr>
      <w:proofErr w:type="spellStart"/>
      <w:r w:rsidRPr="004A3B6E">
        <w:rPr>
          <w:b/>
          <w:bCs/>
        </w:rPr>
        <w:t>Checklist</w:t>
      </w:r>
      <w:proofErr w:type="spellEnd"/>
      <w:r w:rsidRPr="004A3B6E">
        <w:rPr>
          <w:b/>
          <w:bCs/>
        </w:rPr>
        <w:t xml:space="preserve"> de defensa para el asesor fiscal</w:t>
      </w:r>
    </w:p>
    <w:p w14:paraId="0993D160" w14:textId="77777777" w:rsidR="004A3B6E" w:rsidRPr="004A3B6E" w:rsidRDefault="004A3B6E" w:rsidP="004A3B6E">
      <w:pPr>
        <w:numPr>
          <w:ilvl w:val="0"/>
          <w:numId w:val="32"/>
        </w:numPr>
        <w:jc w:val="both"/>
      </w:pPr>
      <w:r w:rsidRPr="004A3B6E">
        <w:t>Si es empresario, nombrar un albacea en vida. Hacer testamento. Designar persona de confianza con facultades expresas para representar a la sucesión en juicios fiscales.</w:t>
      </w:r>
    </w:p>
    <w:p w14:paraId="06D4023B" w14:textId="77777777" w:rsidR="004A3B6E" w:rsidRPr="004A3B6E" w:rsidRDefault="004A3B6E" w:rsidP="004A3B6E">
      <w:pPr>
        <w:numPr>
          <w:ilvl w:val="0"/>
          <w:numId w:val="32"/>
        </w:numPr>
        <w:jc w:val="both"/>
      </w:pPr>
      <w:r w:rsidRPr="004A3B6E">
        <w:t>Si un familiar fallece y tenía un juicio pendiente, actuar rápido. Acudir a juez familiar (o notario, según la entidad) y solicitar nombramiento de albacea de la sucesión.</w:t>
      </w:r>
    </w:p>
    <w:p w14:paraId="0E66474F" w14:textId="77777777" w:rsidR="004A3B6E" w:rsidRPr="004A3B6E" w:rsidRDefault="004A3B6E" w:rsidP="004A3B6E">
      <w:pPr>
        <w:numPr>
          <w:ilvl w:val="0"/>
          <w:numId w:val="32"/>
        </w:numPr>
        <w:jc w:val="both"/>
      </w:pPr>
      <w:r w:rsidRPr="004A3B6E">
        <w:t>No confiar en que "ser heredero es suficiente". Heredero recibe bienes; albacea representa a la sucesión en juicios. Para demandar al SAT, se necesita nombramiento de albacea.</w:t>
      </w:r>
    </w:p>
    <w:p w14:paraId="04CA6C2F" w14:textId="77777777" w:rsidR="004A3B6E" w:rsidRPr="004A3B6E" w:rsidRDefault="004A3B6E" w:rsidP="004A3B6E">
      <w:pPr>
        <w:numPr>
          <w:ilvl w:val="0"/>
          <w:numId w:val="32"/>
        </w:numPr>
        <w:jc w:val="both"/>
      </w:pPr>
      <w:r w:rsidRPr="004A3B6E">
        <w:lastRenderedPageBreak/>
        <w:t>Si es abogado o contador, preguntar siempre por el albacea antes de litigar. La primera pregunta no es "¿cuánto es la deuda?" sino "¿quién es el albacea?"</w:t>
      </w:r>
    </w:p>
    <w:p w14:paraId="64A4E951" w14:textId="77777777" w:rsidR="004A3B6E" w:rsidRPr="004A3B6E" w:rsidRDefault="004A3B6E" w:rsidP="004A3B6E">
      <w:pPr>
        <w:numPr>
          <w:ilvl w:val="0"/>
          <w:numId w:val="32"/>
        </w:numPr>
        <w:jc w:val="both"/>
      </w:pPr>
      <w:r w:rsidRPr="004A3B6E">
        <w:t>Revisar si algún familiar fallecido tenía auditorías del SAT pendientes. Un crédito fiscal no muere con el contribuyente. Puede cobrarse de la herencia.</w:t>
      </w:r>
    </w:p>
    <w:p w14:paraId="2597A2A4" w14:textId="77777777" w:rsidR="004A3B6E" w:rsidRPr="004A3B6E" w:rsidRDefault="004A3B6E" w:rsidP="004A3B6E">
      <w:pPr>
        <w:numPr>
          <w:ilvl w:val="0"/>
          <w:numId w:val="32"/>
        </w:numPr>
        <w:jc w:val="both"/>
      </w:pPr>
      <w:r w:rsidRPr="004A3B6E">
        <w:t>Si el SAT notifica un crédito fiscal a una persona fallecida, no ignorar. La muerte no detiene el procedimiento. La sucesión debe designar albacea y continuar la defensa.</w:t>
      </w:r>
    </w:p>
    <w:p w14:paraId="45473BBA" w14:textId="77777777" w:rsidR="004A3B6E" w:rsidRPr="004A3B6E" w:rsidRDefault="004A3B6E" w:rsidP="004A3B6E">
      <w:pPr>
        <w:numPr>
          <w:ilvl w:val="0"/>
          <w:numId w:val="32"/>
        </w:numPr>
        <w:jc w:val="both"/>
      </w:pPr>
      <w:r w:rsidRPr="004A3B6E">
        <w:t>Si ya se presentó una demanda sin ser albacea, y después se nombra albacea, evaluar si es posible promover un nuevo juicio (no "ratificar" el anterior). La ratificación tardía no subsana la falta de personalidad.</w:t>
      </w:r>
    </w:p>
    <w:p w14:paraId="58CB39B7" w14:textId="77777777" w:rsidR="004A3B6E" w:rsidRPr="004A3B6E" w:rsidRDefault="004A3B6E" w:rsidP="004A3B6E">
      <w:pPr>
        <w:numPr>
          <w:ilvl w:val="0"/>
          <w:numId w:val="32"/>
        </w:numPr>
        <w:jc w:val="both"/>
      </w:pPr>
      <w:r w:rsidRPr="004A3B6E">
        <w:t>Si el juicio sucesorio está en curso y hay disputa entre herederos, nombrar un albacea provisional. El albacea provisional sí tiene legitimación para promover juicios fiscales.</w:t>
      </w:r>
    </w:p>
    <w:p w14:paraId="077217F2" w14:textId="77777777" w:rsidR="004A3B6E" w:rsidRPr="004A3B6E" w:rsidRDefault="004A3B6E" w:rsidP="004A3B6E">
      <w:pPr>
        <w:jc w:val="both"/>
      </w:pPr>
      <w:r w:rsidRPr="004A3B6E">
        <w:rPr>
          <w:b/>
          <w:bCs/>
        </w:rPr>
        <w:t>Nota final para el asesor fiscal:</w:t>
      </w:r>
      <w:r w:rsidRPr="004A3B6E">
        <w:t> La muerte del contribuyente no detiene las auditorías del SAT. El SAT continúa. Puede notificar por edictos si el domicilio está desocupado. La carga de designar un representante (albacea) recae en la sucesión. El SAT no va a parar su reloj por un duelo. El error más común es creer que "ser heredero es suficiente". No lo es. El heredero recibe bienes. El albacea representa a la sucesión en juicios. La ley procesal exige al albacea, no al heredero. Planee su sucesión en vida. Haga un testamento. Nombre un albacea. Dele facultades expresas. No deje a su familia sin herramientas para defender su patrimonio.</w:t>
      </w:r>
    </w:p>
    <w:p w14:paraId="5FDFD8F4" w14:textId="77777777" w:rsidR="00A062A9" w:rsidRPr="00A062A9" w:rsidRDefault="00A062A9" w:rsidP="00A062A9">
      <w:pPr>
        <w:jc w:val="both"/>
        <w:rPr>
          <w:b/>
          <w:bCs/>
        </w:rPr>
      </w:pPr>
      <w:r w:rsidRPr="00A062A9">
        <w:rPr>
          <w:b/>
          <w:bCs/>
        </w:rPr>
        <w:t>Apéndice 28 – Capítulo 28</w:t>
      </w:r>
    </w:p>
    <w:p w14:paraId="2992E7E1" w14:textId="77777777" w:rsidR="00A062A9" w:rsidRPr="00A062A9" w:rsidRDefault="00A062A9" w:rsidP="00A062A9">
      <w:pPr>
        <w:jc w:val="both"/>
      </w:pPr>
      <w:r w:rsidRPr="00A062A9">
        <w:rPr>
          <w:b/>
          <w:bCs/>
        </w:rPr>
        <w:t>La administradora que nunca fue: usurpación de identidad y la carga probatoria que no admite buenas intenciones</w:t>
      </w:r>
    </w:p>
    <w:p w14:paraId="03D65F6F" w14:textId="77777777" w:rsidR="00A062A9" w:rsidRPr="00A062A9" w:rsidRDefault="00A062A9" w:rsidP="00A062A9">
      <w:pPr>
        <w:jc w:val="both"/>
      </w:pPr>
      <w:r w:rsidRPr="00A062A9">
        <w:rPr>
          <w:b/>
          <w:bCs/>
        </w:rPr>
        <w:t>Expediente:</w:t>
      </w:r>
      <w:r w:rsidRPr="00A062A9">
        <w:t> 346/23-27-01-3/73/24-PL-04-04 del Tribunal Federal de Justicia Administrativa (Pleno Jurisdiccional de la Sala Superior)</w:t>
      </w:r>
    </w:p>
    <w:p w14:paraId="5217DDBF" w14:textId="77777777" w:rsidR="00A062A9" w:rsidRPr="00A062A9" w:rsidRDefault="00A062A9" w:rsidP="00A062A9">
      <w:pPr>
        <w:jc w:val="both"/>
      </w:pPr>
      <w:r w:rsidRPr="00A062A9">
        <w:rPr>
          <w:b/>
          <w:bCs/>
        </w:rPr>
        <w:t>Los 10 puntos técnicos más relevantes para el asesor fiscal</w:t>
      </w:r>
    </w:p>
    <w:p w14:paraId="78A2B99B" w14:textId="77777777" w:rsidR="00A062A9" w:rsidRPr="00A062A9" w:rsidRDefault="00A062A9" w:rsidP="00A062A9">
      <w:pPr>
        <w:jc w:val="both"/>
      </w:pPr>
      <w:r w:rsidRPr="00A062A9">
        <w:rPr>
          <w:b/>
          <w:bCs/>
        </w:rPr>
        <w:t>1. El acta constitutiva protocolizada ante notario público es un documento público que hace prueba plena de su contenido</w:t>
      </w:r>
      <w:r w:rsidRPr="00A062A9">
        <w:br/>
        <w:t>El acta constitutiva fue elevada a documento público por un fedatario. Para desvirtuar lo que en ella se asienta (incluyendo la designación del administrador único), no basta con negarlo; se necesita prueba idónea que acredite la falsedad.</w:t>
      </w:r>
    </w:p>
    <w:p w14:paraId="15B76B9E" w14:textId="77777777" w:rsidR="00A062A9" w:rsidRPr="00A062A9" w:rsidRDefault="00A062A9" w:rsidP="00A062A9">
      <w:pPr>
        <w:jc w:val="both"/>
      </w:pPr>
      <w:r w:rsidRPr="00A062A9">
        <w:rPr>
          <w:i/>
          <w:iCs/>
        </w:rPr>
        <w:t>Fundamento:</w:t>
      </w:r>
      <w:r w:rsidRPr="00A062A9">
        <w:t> Artículo 46, fracción I de la LFCA; jurisprudencia VIII-P-SS-511 del TFJA.</w:t>
      </w:r>
    </w:p>
    <w:p w14:paraId="38A84D10" w14:textId="77777777" w:rsidR="00A062A9" w:rsidRPr="00A062A9" w:rsidRDefault="00A062A9" w:rsidP="00A062A9">
      <w:pPr>
        <w:jc w:val="both"/>
      </w:pPr>
      <w:r w:rsidRPr="00A062A9">
        <w:rPr>
          <w:b/>
          <w:bCs/>
        </w:rPr>
        <w:lastRenderedPageBreak/>
        <w:t>2. La carga de la prueba de la falsedad de la firma recae en quien la alega, y no se satisface con pruebas de "estilo de vida"</w:t>
      </w:r>
      <w:r w:rsidRPr="00A062A9">
        <w:br/>
        <w:t xml:space="preserve">Ser enfermera del IMSS o tener una vida intachable no es incompatible con fungir como administradora única. La única prueba idónea para desvirtuar la firma es la pericial </w:t>
      </w:r>
      <w:proofErr w:type="spellStart"/>
      <w:r w:rsidRPr="00A062A9">
        <w:t>grafoscópica</w:t>
      </w:r>
      <w:proofErr w:type="spellEnd"/>
      <w:r w:rsidRPr="00A062A9">
        <w:t xml:space="preserve"> debidamente desahogada.</w:t>
      </w:r>
    </w:p>
    <w:p w14:paraId="2BA12F49" w14:textId="77777777" w:rsidR="00A062A9" w:rsidRPr="00A062A9" w:rsidRDefault="00A062A9" w:rsidP="00A062A9">
      <w:pPr>
        <w:jc w:val="both"/>
      </w:pPr>
      <w:r w:rsidRPr="00A062A9">
        <w:rPr>
          <w:i/>
          <w:iCs/>
        </w:rPr>
        <w:t>Fundamento:</w:t>
      </w:r>
      <w:r w:rsidRPr="00A062A9">
        <w:t> Artículo 40 de la LFCA; artículo 46, fracción I de la LFCA.</w:t>
      </w:r>
    </w:p>
    <w:p w14:paraId="619FE081" w14:textId="77777777" w:rsidR="00A062A9" w:rsidRPr="00A062A9" w:rsidRDefault="00A062A9" w:rsidP="00A062A9">
      <w:pPr>
        <w:jc w:val="both"/>
      </w:pPr>
      <w:r w:rsidRPr="00A062A9">
        <w:rPr>
          <w:b/>
          <w:bCs/>
        </w:rPr>
        <w:t xml:space="preserve">3. La prueba pericial </w:t>
      </w:r>
      <w:proofErr w:type="spellStart"/>
      <w:r w:rsidRPr="00A062A9">
        <w:rPr>
          <w:b/>
          <w:bCs/>
        </w:rPr>
        <w:t>grafoscópica</w:t>
      </w:r>
      <w:proofErr w:type="spellEnd"/>
      <w:r w:rsidRPr="00A062A9">
        <w:rPr>
          <w:b/>
          <w:bCs/>
        </w:rPr>
        <w:t xml:space="preserve"> debe ser ofrecida y desahogada oportunamente; si el perito no se presenta a aceptar el cargo, se tiene por desierta</w:t>
      </w:r>
      <w:r w:rsidRPr="00A062A9">
        <w:br/>
        <w:t>Si el perito de la actora no se presenta a aceptar y protestar el cargo en la primera citación, el Tribunal hace efectivo el apercibimiento y la prueba se tiene por desierta. No hay segundas oportunidades.</w:t>
      </w:r>
    </w:p>
    <w:p w14:paraId="4D749EA9" w14:textId="77777777" w:rsidR="00A062A9" w:rsidRPr="00A062A9" w:rsidRDefault="00A062A9" w:rsidP="00A062A9">
      <w:pPr>
        <w:jc w:val="both"/>
      </w:pPr>
      <w:r w:rsidRPr="00A062A9">
        <w:rPr>
          <w:i/>
          <w:iCs/>
        </w:rPr>
        <w:t>Fundamento:</w:t>
      </w:r>
      <w:r w:rsidRPr="00A062A9">
        <w:t> Artículo 46, fracción III de la LFCA; artículo 119 del CFF.</w:t>
      </w:r>
    </w:p>
    <w:p w14:paraId="0DF7A585" w14:textId="77777777" w:rsidR="00A062A9" w:rsidRPr="00A062A9" w:rsidRDefault="00A062A9" w:rsidP="00A062A9">
      <w:pPr>
        <w:jc w:val="both"/>
      </w:pPr>
      <w:r w:rsidRPr="00A062A9">
        <w:rPr>
          <w:b/>
          <w:bCs/>
        </w:rPr>
        <w:t>4. El artículo 26, fracción III, inciso d) del CFF establece la responsabilidad solidaria del administrador único cuando la persona moral desocupa su domicilio fiscal sin presentar aviso</w:t>
      </w:r>
      <w:r w:rsidRPr="00A062A9">
        <w:br/>
        <w:t>La responsabilidad nace de la calidad formal de administradora, no de una conducta activa de desocupación. El solo hecho de estar designada como administradora en el acta constitutiva genera la responsabilidad.</w:t>
      </w:r>
    </w:p>
    <w:p w14:paraId="709596E9" w14:textId="77777777" w:rsidR="00A062A9" w:rsidRPr="00A062A9" w:rsidRDefault="00A062A9" w:rsidP="00A062A9">
      <w:pPr>
        <w:jc w:val="both"/>
      </w:pPr>
      <w:r w:rsidRPr="00A062A9">
        <w:rPr>
          <w:i/>
          <w:iCs/>
        </w:rPr>
        <w:t>Fundamento:</w:t>
      </w:r>
      <w:r w:rsidRPr="00A062A9">
        <w:t> Artículo 26, fracción III, inciso d) del CFF.</w:t>
      </w:r>
    </w:p>
    <w:p w14:paraId="35CB604E" w14:textId="77777777" w:rsidR="00A062A9" w:rsidRPr="00A062A9" w:rsidRDefault="00A062A9" w:rsidP="00A062A9">
      <w:pPr>
        <w:jc w:val="both"/>
      </w:pPr>
      <w:r w:rsidRPr="00A062A9">
        <w:rPr>
          <w:b/>
          <w:bCs/>
        </w:rPr>
        <w:t>5. La negativa lisa y llana de la firma no es suficiente para desvirtuar la presunción de legalidad del acta constitutiva</w:t>
      </w:r>
      <w:r w:rsidRPr="00A062A9">
        <w:br/>
        <w:t xml:space="preserve">Quien afirma un hecho (la falsedad de la firma) debe probarlo. La negativa bajo protesta no es suficiente. Se requiere prueba técnica (pericial </w:t>
      </w:r>
      <w:proofErr w:type="spellStart"/>
      <w:r w:rsidRPr="00A062A9">
        <w:t>grafoscópica</w:t>
      </w:r>
      <w:proofErr w:type="spellEnd"/>
      <w:r w:rsidRPr="00A062A9">
        <w:t>).</w:t>
      </w:r>
    </w:p>
    <w:p w14:paraId="563A6D52" w14:textId="77777777" w:rsidR="00A062A9" w:rsidRPr="00A062A9" w:rsidRDefault="00A062A9" w:rsidP="00A062A9">
      <w:pPr>
        <w:jc w:val="both"/>
      </w:pPr>
      <w:r w:rsidRPr="00A062A9">
        <w:rPr>
          <w:i/>
          <w:iCs/>
        </w:rPr>
        <w:t>Fundamento:</w:t>
      </w:r>
      <w:r w:rsidRPr="00A062A9">
        <w:t> Tesis II-TASS-9900 del TFJA; artículo 40 de la LFCA.</w:t>
      </w:r>
    </w:p>
    <w:p w14:paraId="1A80CC97" w14:textId="77777777" w:rsidR="00A062A9" w:rsidRPr="00A062A9" w:rsidRDefault="00A062A9" w:rsidP="00A062A9">
      <w:pPr>
        <w:jc w:val="both"/>
      </w:pPr>
      <w:r w:rsidRPr="00A062A9">
        <w:rPr>
          <w:b/>
          <w:bCs/>
        </w:rPr>
        <w:t>6. Las pruebas testimoniales de familiares y compañeros de trabajo que acreditan la "buena conducta" o la dedicación a otra actividad laboral no desvirtúan la designación formal contenida en un documento público</w:t>
      </w:r>
      <w:r w:rsidRPr="00A062A9">
        <w:br/>
        <w:t>Los testigos no presenciaron la firma del acta ni tienen conocimiento directo de los hechos ocurridos en la notaría. Las testimoniales sobre "estilo de vida" no generan convicción frente al acta notarial.</w:t>
      </w:r>
    </w:p>
    <w:p w14:paraId="5A35829D" w14:textId="77777777" w:rsidR="00A062A9" w:rsidRPr="00A062A9" w:rsidRDefault="00A062A9" w:rsidP="00A062A9">
      <w:pPr>
        <w:jc w:val="both"/>
      </w:pPr>
      <w:r w:rsidRPr="00A062A9">
        <w:rPr>
          <w:i/>
          <w:iCs/>
        </w:rPr>
        <w:t>Fundamento:</w:t>
      </w:r>
      <w:r w:rsidRPr="00A062A9">
        <w:t> Artículo 46, fracción I de la LFCA; artículo 40 de la LFCA.</w:t>
      </w:r>
    </w:p>
    <w:p w14:paraId="51E09EFF" w14:textId="77777777" w:rsidR="00A062A9" w:rsidRPr="00A062A9" w:rsidRDefault="00A062A9" w:rsidP="00A062A9">
      <w:pPr>
        <w:jc w:val="both"/>
      </w:pPr>
      <w:r w:rsidRPr="00A062A9">
        <w:rPr>
          <w:b/>
          <w:bCs/>
        </w:rPr>
        <w:t>7. La copia certificada del acta constitutiva expedida por el notario tiene valor probatorio pleno, aun cuando no se pueda exhibir el original</w:t>
      </w:r>
      <w:r w:rsidRPr="00A062A9">
        <w:br/>
      </w:r>
      <w:r w:rsidRPr="00A062A9">
        <w:lastRenderedPageBreak/>
        <w:t>Si el protocolo ordinario ya no se encuentra en el archivo por haber transcurrido el plazo de conservación (20 años), la copia certificada es prueba suficiente.</w:t>
      </w:r>
    </w:p>
    <w:p w14:paraId="31406DEF" w14:textId="77777777" w:rsidR="00A062A9" w:rsidRPr="00A062A9" w:rsidRDefault="00A062A9" w:rsidP="00A062A9">
      <w:pPr>
        <w:jc w:val="both"/>
      </w:pPr>
      <w:r w:rsidRPr="00A062A9">
        <w:rPr>
          <w:i/>
          <w:iCs/>
        </w:rPr>
        <w:t>Fundamento:</w:t>
      </w:r>
      <w:r w:rsidRPr="00A062A9">
        <w:t> Artículo 46, fracción I de la LFCA; artículo 96 de la Ley de Notariado.</w:t>
      </w:r>
    </w:p>
    <w:p w14:paraId="0FC646BD" w14:textId="77777777" w:rsidR="00A062A9" w:rsidRPr="00A062A9" w:rsidRDefault="00A062A9" w:rsidP="00A062A9">
      <w:pPr>
        <w:jc w:val="both"/>
      </w:pPr>
      <w:r w:rsidRPr="00A062A9">
        <w:rPr>
          <w:b/>
          <w:bCs/>
        </w:rPr>
        <w:t>8. La falta de consentimiento expreso de la administradora en el acta constitutiva no puede ser alegada en la vía fiscal si no se ha promovido previamente la nulidad del instrumento notarial ante la autoridad competente</w:t>
      </w:r>
      <w:r w:rsidRPr="00A062A9">
        <w:br/>
        <w:t>En el juicio contencioso administrativo fiscal, el Tribunal no tiene facultades para declarar la nulidad del acta constitutiva; solo puede valorarla como documento público.</w:t>
      </w:r>
    </w:p>
    <w:p w14:paraId="44947D21" w14:textId="77777777" w:rsidR="00A062A9" w:rsidRPr="00A062A9" w:rsidRDefault="00A062A9" w:rsidP="00A062A9">
      <w:pPr>
        <w:jc w:val="both"/>
      </w:pPr>
      <w:r w:rsidRPr="00A062A9">
        <w:rPr>
          <w:i/>
          <w:iCs/>
        </w:rPr>
        <w:t>Fundamento:</w:t>
      </w:r>
      <w:r w:rsidRPr="00A062A9">
        <w:t> Artículo 46, fracción I de la LFCA; artículo 4 del Código Civil Federal.</w:t>
      </w:r>
    </w:p>
    <w:p w14:paraId="0F9124DF" w14:textId="77777777" w:rsidR="00A062A9" w:rsidRPr="00A062A9" w:rsidRDefault="00A062A9" w:rsidP="00A062A9">
      <w:pPr>
        <w:jc w:val="both"/>
      </w:pPr>
      <w:r w:rsidRPr="00A062A9">
        <w:rPr>
          <w:b/>
          <w:bCs/>
        </w:rPr>
        <w:t xml:space="preserve">9. La invocación de hechos notorios (como la detención del notario por fraude) no sustituye la prueba pericial </w:t>
      </w:r>
      <w:proofErr w:type="spellStart"/>
      <w:r w:rsidRPr="00A062A9">
        <w:rPr>
          <w:b/>
          <w:bCs/>
        </w:rPr>
        <w:t>grafoscópica</w:t>
      </w:r>
      <w:proofErr w:type="spellEnd"/>
      <w:r w:rsidRPr="00A062A9">
        <w:rPr>
          <w:b/>
          <w:bCs/>
        </w:rPr>
        <w:t xml:space="preserve"> necesaria para acreditar que la firma no es de la actora</w:t>
      </w:r>
      <w:r w:rsidRPr="00A062A9">
        <w:br/>
        <w:t>La posible falta de probidad del notario no implica automáticamente que esta acta específica sea falsa. Se necesita prueba pericial que vincule al notario con la falsificación de la firma de la actora.</w:t>
      </w:r>
    </w:p>
    <w:p w14:paraId="4E40363C" w14:textId="77777777" w:rsidR="00A062A9" w:rsidRPr="00A062A9" w:rsidRDefault="00A062A9" w:rsidP="00A062A9">
      <w:pPr>
        <w:jc w:val="both"/>
      </w:pPr>
      <w:r w:rsidRPr="00A062A9">
        <w:rPr>
          <w:i/>
          <w:iCs/>
        </w:rPr>
        <w:t>Fundamento:</w:t>
      </w:r>
      <w:r w:rsidRPr="00A062A9">
        <w:t> Artículo 46, fracción VI de la LFCA; artículo 40 de la LFCA.</w:t>
      </w:r>
    </w:p>
    <w:p w14:paraId="106D709E" w14:textId="77777777" w:rsidR="00A062A9" w:rsidRPr="00A062A9" w:rsidRDefault="00A062A9" w:rsidP="00A062A9">
      <w:pPr>
        <w:jc w:val="both"/>
      </w:pPr>
      <w:r w:rsidRPr="00A062A9">
        <w:rPr>
          <w:b/>
          <w:bCs/>
        </w:rPr>
        <w:t>10. La falta de desahogo de la prueba pericial propia impide al Tribunal declarar la nulidad del crédito fiscal</w:t>
      </w:r>
      <w:r w:rsidRPr="00A062A9">
        <w:br/>
        <w:t>En materia de responsabilidad solidaria de administradores, la carga probatoria es alta y requiere pruebas técnicas (periciales) desahogadas oportunamente. Las pruebas de "buena persona" o "estilo de vida" son insuficientes.</w:t>
      </w:r>
    </w:p>
    <w:p w14:paraId="5186288D" w14:textId="77777777" w:rsidR="00A062A9" w:rsidRPr="00A062A9" w:rsidRDefault="00A062A9" w:rsidP="00A062A9">
      <w:pPr>
        <w:jc w:val="both"/>
      </w:pPr>
      <w:r w:rsidRPr="00A062A9">
        <w:rPr>
          <w:i/>
          <w:iCs/>
        </w:rPr>
        <w:t>Fundamento:</w:t>
      </w:r>
      <w:r w:rsidRPr="00A062A9">
        <w:t> Artículo 40 de la LFCA; artículo 119 del CFF.</w:t>
      </w:r>
    </w:p>
    <w:p w14:paraId="22CE8A2F" w14:textId="77777777" w:rsidR="00A062A9" w:rsidRPr="00A062A9" w:rsidRDefault="00A062A9" w:rsidP="00A062A9">
      <w:pPr>
        <w:jc w:val="both"/>
      </w:pPr>
      <w:r w:rsidRPr="00A062A9">
        <w:rPr>
          <w:b/>
          <w:bCs/>
        </w:rPr>
        <w:t>Fundamento legal completo del caso</w:t>
      </w:r>
    </w:p>
    <w:p w14:paraId="6897E232" w14:textId="77777777" w:rsidR="00A062A9" w:rsidRPr="00A062A9" w:rsidRDefault="00A062A9" w:rsidP="00A062A9">
      <w:pPr>
        <w:jc w:val="both"/>
      </w:pPr>
      <w:r w:rsidRPr="00A062A9">
        <w:rPr>
          <w:i/>
          <w:iCs/>
        </w:rPr>
        <w:t>Legislación aplicable:</w:t>
      </w:r>
      <w:r w:rsidRPr="00A062A9">
        <w:t> Artículo 26 fracción III inciso d del CFF; artículos 46 fracciones I, III, VI, 40 de la LFCA; artículo 119 del CFF; artículo 96 de la Ley de Notariado.</w:t>
      </w:r>
    </w:p>
    <w:p w14:paraId="25CD900D" w14:textId="77777777" w:rsidR="00A062A9" w:rsidRPr="00A062A9" w:rsidRDefault="00A062A9" w:rsidP="00A062A9">
      <w:pPr>
        <w:jc w:val="both"/>
        <w:rPr>
          <w:lang w:val="fr-FR"/>
        </w:rPr>
      </w:pPr>
      <w:r w:rsidRPr="00A062A9">
        <w:rPr>
          <w:i/>
          <w:iCs/>
        </w:rPr>
        <w:t>Jurisprudencia:</w:t>
      </w:r>
      <w:r w:rsidRPr="00A062A9">
        <w:t xml:space="preserve"> VIII-P-SS-511 del TFJA; II-TASS-9900; 2a./J. </w:t>
      </w:r>
      <w:r w:rsidRPr="00A062A9">
        <w:rPr>
          <w:lang w:val="fr-FR"/>
        </w:rPr>
        <w:t>161/2019 (10a.); P./J. 16/2018 (10a.) de la SCJN.</w:t>
      </w:r>
    </w:p>
    <w:p w14:paraId="5A1C0E2D" w14:textId="77777777" w:rsidR="00A062A9" w:rsidRPr="00A062A9" w:rsidRDefault="00A062A9" w:rsidP="00A062A9">
      <w:pPr>
        <w:jc w:val="both"/>
      </w:pPr>
      <w:r w:rsidRPr="00A062A9">
        <w:rPr>
          <w:b/>
          <w:bCs/>
        </w:rPr>
        <w:t>Referencia al expediente completo</w:t>
      </w:r>
      <w:r w:rsidRPr="00A062A9">
        <w:br/>
        <w:t>El expediente 346/23-27-01-3/73/24-PL-04-04 puede ser consultado en el TFJA o SISE.</w:t>
      </w:r>
    </w:p>
    <w:p w14:paraId="0158AAD2" w14:textId="77777777" w:rsidR="00A062A9" w:rsidRPr="00A062A9" w:rsidRDefault="00A062A9" w:rsidP="00A062A9">
      <w:pPr>
        <w:jc w:val="both"/>
      </w:pPr>
      <w:proofErr w:type="spellStart"/>
      <w:r w:rsidRPr="00A062A9">
        <w:rPr>
          <w:b/>
          <w:bCs/>
        </w:rPr>
        <w:t>Checklist</w:t>
      </w:r>
      <w:proofErr w:type="spellEnd"/>
      <w:r w:rsidRPr="00A062A9">
        <w:rPr>
          <w:b/>
          <w:bCs/>
        </w:rPr>
        <w:t xml:space="preserve"> de defensa para el asesor fiscal</w:t>
      </w:r>
    </w:p>
    <w:p w14:paraId="419DDEEE" w14:textId="77777777" w:rsidR="00A062A9" w:rsidRPr="00A062A9" w:rsidRDefault="00A062A9" w:rsidP="00A062A9">
      <w:pPr>
        <w:numPr>
          <w:ilvl w:val="0"/>
          <w:numId w:val="33"/>
        </w:numPr>
        <w:jc w:val="both"/>
      </w:pPr>
      <w:r w:rsidRPr="00A062A9">
        <w:lastRenderedPageBreak/>
        <w:t xml:space="preserve">Si el cliente recibe notificación como administrador de una empresa que desconoce, actuar en el procedimiento administrativo, no esperar al juicio. Ofrecer prueba pericial </w:t>
      </w:r>
      <w:proofErr w:type="spellStart"/>
      <w:r w:rsidRPr="00A062A9">
        <w:t>grafoscópica</w:t>
      </w:r>
      <w:proofErr w:type="spellEnd"/>
      <w:r w:rsidRPr="00A062A9">
        <w:t xml:space="preserve"> de inmediato.</w:t>
      </w:r>
    </w:p>
    <w:p w14:paraId="607E237B" w14:textId="77777777" w:rsidR="00A062A9" w:rsidRPr="00A062A9" w:rsidRDefault="00A062A9" w:rsidP="00A062A9">
      <w:pPr>
        <w:numPr>
          <w:ilvl w:val="0"/>
          <w:numId w:val="33"/>
        </w:numPr>
        <w:jc w:val="both"/>
      </w:pPr>
      <w:r w:rsidRPr="00A062A9">
        <w:t>Ofrecer la pericial y, lo más importante, presentar al perito a aceptar el cargo en la primera citación. Si no se presenta, la prueba se tiene por desierta. No hay segundas oportunidades.</w:t>
      </w:r>
    </w:p>
    <w:p w14:paraId="622414E0" w14:textId="77777777" w:rsidR="00A062A9" w:rsidRPr="00A062A9" w:rsidRDefault="00A062A9" w:rsidP="00A062A9">
      <w:pPr>
        <w:numPr>
          <w:ilvl w:val="0"/>
          <w:numId w:val="33"/>
        </w:numPr>
        <w:jc w:val="both"/>
      </w:pPr>
      <w:r w:rsidRPr="00A062A9">
        <w:t>No confiar en pruebas de "estilo de vida" (acta de nacimiento, constancias de trabajo, recibos de nómina). No demuestran que el cliente no estuvo en una notaría.</w:t>
      </w:r>
    </w:p>
    <w:p w14:paraId="1D41C47F" w14:textId="77777777" w:rsidR="00A062A9" w:rsidRPr="00A062A9" w:rsidRDefault="00A062A9" w:rsidP="00A062A9">
      <w:pPr>
        <w:numPr>
          <w:ilvl w:val="0"/>
          <w:numId w:val="33"/>
        </w:numPr>
        <w:jc w:val="both"/>
      </w:pPr>
      <w:r w:rsidRPr="00A062A9">
        <w:t>Si el notario está implicado en fraudes, denunciar penalmente y promover acción autónoma de nulidad del instrumento notarial en la vía civil o notarial. La vía fiscal no es la adecuada para declarar la nulidad del acta.</w:t>
      </w:r>
    </w:p>
    <w:p w14:paraId="7F1BFDEC" w14:textId="77777777" w:rsidR="00A062A9" w:rsidRPr="00A062A9" w:rsidRDefault="00A062A9" w:rsidP="00A062A9">
      <w:pPr>
        <w:numPr>
          <w:ilvl w:val="0"/>
          <w:numId w:val="33"/>
        </w:numPr>
        <w:jc w:val="both"/>
      </w:pPr>
      <w:r w:rsidRPr="00A062A9">
        <w:t>Si ya perdió el plazo para ofrecer la pericial en el procedimiento administrativo, promover juicio de nulidad y ofrecer la pericial en cuanto sea admitido, presentando al perito a aceptar el cargo de inmediato.</w:t>
      </w:r>
    </w:p>
    <w:p w14:paraId="6FE93301" w14:textId="77777777" w:rsidR="00A062A9" w:rsidRPr="00A062A9" w:rsidRDefault="00A062A9" w:rsidP="00A062A9">
      <w:pPr>
        <w:numPr>
          <w:ilvl w:val="0"/>
          <w:numId w:val="33"/>
        </w:numPr>
        <w:jc w:val="both"/>
      </w:pPr>
      <w:r w:rsidRPr="00A062A9">
        <w:t>Si el cliente es administrador único de una empresa real, mantener actualizado el domicilio fiscal y supervisar el cumplimiento de obligaciones.</w:t>
      </w:r>
    </w:p>
    <w:p w14:paraId="60569955" w14:textId="77777777" w:rsidR="00A062A9" w:rsidRPr="00A062A9" w:rsidRDefault="00A062A9" w:rsidP="00A062A9">
      <w:pPr>
        <w:jc w:val="both"/>
      </w:pPr>
      <w:r w:rsidRPr="00A062A9">
        <w:rPr>
          <w:b/>
          <w:bCs/>
        </w:rPr>
        <w:t>Nota final para el asesor fiscal:</w:t>
      </w:r>
      <w:r w:rsidRPr="00A062A9">
        <w:t> En el derecho fiscal, la verdad no se declara. Se prueba. Y la única prueba que admite el acta notarial es la que viene de la mano de un perito. La enfermera Cynthia perdió porque quiso probar su verdad con el instrumento equivocado. Creyó que su vida intachable era suficiente. El derecho fiscal no funciona con confianza. Funciona con papeles. Y el papel que manda es el acta notarial. Para romper su fuerza, no basta negar. Se necesita un perito que jure, bajo protesta, que esa firma no es suya. Y ese perito tiene que llegar a tiempo. La primera vez que lo citan. No hay segundas.</w:t>
      </w:r>
    </w:p>
    <w:p w14:paraId="75454856" w14:textId="77777777" w:rsidR="00A062A9" w:rsidRPr="00A062A9" w:rsidRDefault="00000000" w:rsidP="00A062A9">
      <w:pPr>
        <w:jc w:val="both"/>
      </w:pPr>
      <w:r>
        <w:pict w14:anchorId="0FC7D54C">
          <v:rect id="_x0000_i1055" style="width:0;height:.75pt" o:hralign="center" o:hrstd="t" o:hr="t" fillcolor="#a0a0a0" stroked="f"/>
        </w:pict>
      </w:r>
    </w:p>
    <w:p w14:paraId="7DF5121C" w14:textId="77777777" w:rsidR="00A062A9" w:rsidRPr="00A062A9" w:rsidRDefault="00A062A9" w:rsidP="00A062A9">
      <w:pPr>
        <w:jc w:val="both"/>
        <w:rPr>
          <w:b/>
          <w:bCs/>
        </w:rPr>
      </w:pPr>
      <w:r w:rsidRPr="00A062A9">
        <w:rPr>
          <w:b/>
          <w:bCs/>
        </w:rPr>
        <w:t>Apéndice 29 – Capítulo 29</w:t>
      </w:r>
    </w:p>
    <w:p w14:paraId="3DC4BA94" w14:textId="77777777" w:rsidR="00A062A9" w:rsidRPr="00A062A9" w:rsidRDefault="00A062A9" w:rsidP="00A062A9">
      <w:pPr>
        <w:jc w:val="both"/>
      </w:pPr>
      <w:r w:rsidRPr="00A062A9">
        <w:rPr>
          <w:b/>
          <w:bCs/>
        </w:rPr>
        <w:t>El falso ahorro de la subcontratación: servicios de distribución y la trampa del artículo 15-D del CFF</w:t>
      </w:r>
    </w:p>
    <w:p w14:paraId="3F3683BA" w14:textId="77777777" w:rsidR="00A062A9" w:rsidRPr="00A062A9" w:rsidRDefault="00A062A9" w:rsidP="00A062A9">
      <w:pPr>
        <w:jc w:val="both"/>
      </w:pPr>
      <w:r w:rsidRPr="00A062A9">
        <w:rPr>
          <w:b/>
          <w:bCs/>
        </w:rPr>
        <w:t>Expediente:</w:t>
      </w:r>
      <w:r w:rsidRPr="00A062A9">
        <w:t> TFJA 20456/25-17-03-1 (Tercera Sala Regional en la Ciudad de México)</w:t>
      </w:r>
    </w:p>
    <w:p w14:paraId="296846BF" w14:textId="77777777" w:rsidR="00A062A9" w:rsidRPr="00A062A9" w:rsidRDefault="00A062A9" w:rsidP="00A062A9">
      <w:pPr>
        <w:jc w:val="both"/>
      </w:pPr>
      <w:r w:rsidRPr="00A062A9">
        <w:rPr>
          <w:b/>
          <w:bCs/>
        </w:rPr>
        <w:t>Los 10 puntos técnicos más relevantes para el asesor fiscal</w:t>
      </w:r>
    </w:p>
    <w:p w14:paraId="206ECE80" w14:textId="77777777" w:rsidR="00A062A9" w:rsidRPr="00A062A9" w:rsidRDefault="00A062A9" w:rsidP="00A062A9">
      <w:pPr>
        <w:jc w:val="both"/>
      </w:pPr>
      <w:r w:rsidRPr="00A062A9">
        <w:rPr>
          <w:b/>
          <w:bCs/>
        </w:rPr>
        <w:lastRenderedPageBreak/>
        <w:t>1. El artículo 15-D del CFF establece una prohibición general: no son deducibles ni acreditables los pagos por subcontratación de actividades relacionadas con el objeto social o la actividad preponderante del contratante</w:t>
      </w:r>
      <w:r w:rsidRPr="00A062A9">
        <w:br/>
        <w:t>La excepción (servicios especializados que no formen parte del objeto social ni de la actividad preponderante) es de interpretación estricta.</w:t>
      </w:r>
    </w:p>
    <w:p w14:paraId="55F4D86B" w14:textId="77777777" w:rsidR="00A062A9" w:rsidRPr="00A062A9" w:rsidRDefault="00A062A9" w:rsidP="00A062A9">
      <w:pPr>
        <w:jc w:val="both"/>
      </w:pPr>
      <w:r w:rsidRPr="00A062A9">
        <w:rPr>
          <w:i/>
          <w:iCs/>
        </w:rPr>
        <w:t>Fundamento:</w:t>
      </w:r>
      <w:r w:rsidRPr="00A062A9">
        <w:t> Artículo 15-D del CFF.</w:t>
      </w:r>
    </w:p>
    <w:p w14:paraId="2D1F6B7F" w14:textId="77777777" w:rsidR="00A062A9" w:rsidRPr="00A062A9" w:rsidRDefault="00A062A9" w:rsidP="00A062A9">
      <w:pPr>
        <w:jc w:val="both"/>
      </w:pPr>
      <w:r w:rsidRPr="00A062A9">
        <w:rPr>
          <w:b/>
          <w:bCs/>
        </w:rPr>
        <w:t>2. La "actividad económica preponderante" se determina con base en el objeto social, los ingresos principales y las funciones reales del personal</w:t>
      </w:r>
      <w:r w:rsidRPr="00A062A9">
        <w:br/>
        <w:t>No es suficiente que el contratante no tenga registrada esa actividad como su actividad principal en el RFC; si la ejecuta materialmente o es indispensable para generar sus ingresos, se considera preponderante.</w:t>
      </w:r>
    </w:p>
    <w:p w14:paraId="296BACD2" w14:textId="77777777" w:rsidR="00A062A9" w:rsidRPr="00A062A9" w:rsidRDefault="00A062A9" w:rsidP="00A062A9">
      <w:pPr>
        <w:jc w:val="both"/>
      </w:pPr>
      <w:r w:rsidRPr="00A062A9">
        <w:rPr>
          <w:i/>
          <w:iCs/>
        </w:rPr>
        <w:t>Fundamento:</w:t>
      </w:r>
      <w:r w:rsidRPr="00A062A9">
        <w:t> Artículo 15-D del CFF; artículo 1 de la LIVA.</w:t>
      </w:r>
    </w:p>
    <w:p w14:paraId="22D1CB48" w14:textId="77777777" w:rsidR="00A062A9" w:rsidRPr="00A062A9" w:rsidRDefault="00A062A9" w:rsidP="00A062A9">
      <w:pPr>
        <w:jc w:val="both"/>
      </w:pPr>
      <w:r w:rsidRPr="00A062A9">
        <w:rPr>
          <w:b/>
          <w:bCs/>
        </w:rPr>
        <w:t>3. La carga de la prueba de que el servicio subcontratado es especializado recae en el contribuyente</w:t>
      </w:r>
      <w:r w:rsidRPr="00A062A9">
        <w:br/>
        <w:t>El SAT no tiene que demostrar que la actividad es preponderante; basta con que el contribuyente no acredite lo contrario (artículo 40 de la LFCA).</w:t>
      </w:r>
    </w:p>
    <w:p w14:paraId="65705E93" w14:textId="77777777" w:rsidR="00A062A9" w:rsidRPr="00A062A9" w:rsidRDefault="00A062A9" w:rsidP="00A062A9">
      <w:pPr>
        <w:jc w:val="both"/>
      </w:pPr>
      <w:r w:rsidRPr="00A062A9">
        <w:rPr>
          <w:i/>
          <w:iCs/>
        </w:rPr>
        <w:t>Fundamento:</w:t>
      </w:r>
      <w:r w:rsidRPr="00A062A9">
        <w:t> Artículo 40 de la LFCA; artículo 15-D del CFF.</w:t>
      </w:r>
    </w:p>
    <w:p w14:paraId="22E909F1" w14:textId="77777777" w:rsidR="00A062A9" w:rsidRPr="00A062A9" w:rsidRDefault="00A062A9" w:rsidP="00A062A9">
      <w:pPr>
        <w:jc w:val="both"/>
      </w:pPr>
      <w:r w:rsidRPr="00A062A9">
        <w:rPr>
          <w:b/>
          <w:bCs/>
        </w:rPr>
        <w:t>4. No basta con el registro REPSE del proveedor. Se requieren dos condiciones acumulativas: (i) que el servicio no forme parte del objeto social ni de la actividad preponderante, y (</w:t>
      </w:r>
      <w:proofErr w:type="spellStart"/>
      <w:r w:rsidRPr="00A062A9">
        <w:rPr>
          <w:b/>
          <w:bCs/>
        </w:rPr>
        <w:t>ii</w:t>
      </w:r>
      <w:proofErr w:type="spellEnd"/>
      <w:r w:rsidRPr="00A062A9">
        <w:rPr>
          <w:b/>
          <w:bCs/>
        </w:rPr>
        <w:t>) que el contratista cuente con el registro REPSE</w:t>
      </w:r>
      <w:r w:rsidRPr="00A062A9">
        <w:br/>
        <w:t>El cumplimiento del segundo requisito no subsana el incumplimiento del primero.</w:t>
      </w:r>
    </w:p>
    <w:p w14:paraId="612F228A" w14:textId="77777777" w:rsidR="00A062A9" w:rsidRPr="00A062A9" w:rsidRDefault="00A062A9" w:rsidP="00A062A9">
      <w:pPr>
        <w:jc w:val="both"/>
      </w:pPr>
      <w:r w:rsidRPr="00A062A9">
        <w:rPr>
          <w:i/>
          <w:iCs/>
        </w:rPr>
        <w:t>Fundamento:</w:t>
      </w:r>
      <w:r w:rsidRPr="00A062A9">
        <w:t> Artículo 15-D, tercer párrafo del CFF; artículo 13 de la LISR.</w:t>
      </w:r>
    </w:p>
    <w:p w14:paraId="684CE69E" w14:textId="77777777" w:rsidR="00A062A9" w:rsidRPr="00A062A9" w:rsidRDefault="00A062A9" w:rsidP="00A062A9">
      <w:pPr>
        <w:jc w:val="both"/>
      </w:pPr>
      <w:r w:rsidRPr="00A062A9">
        <w:rPr>
          <w:b/>
          <w:bCs/>
        </w:rPr>
        <w:t>5. Los servicios de "distribución" o "logística" serán considerados parte de la actividad preponderante cuando el contratante sea un comercializador o fabricante que requiere la entrega de productos para realizar su objeto social</w:t>
      </w:r>
      <w:r w:rsidRPr="00A062A9">
        <w:br/>
        <w:t>Sin distribución no se completa la venta. La distribución no es un servicio opcional o accesorio; es el corazón de la operación de venta.</w:t>
      </w:r>
    </w:p>
    <w:p w14:paraId="6938171C" w14:textId="77777777" w:rsidR="00A062A9" w:rsidRPr="00A062A9" w:rsidRDefault="00A062A9" w:rsidP="00A062A9">
      <w:pPr>
        <w:jc w:val="both"/>
      </w:pPr>
      <w:r w:rsidRPr="00A062A9">
        <w:rPr>
          <w:i/>
          <w:iCs/>
        </w:rPr>
        <w:t>Fundamento:</w:t>
      </w:r>
      <w:r w:rsidRPr="00A062A9">
        <w:t> Artículo 15-D del CFF; artículo 1 de la LIVA.</w:t>
      </w:r>
    </w:p>
    <w:p w14:paraId="27DB739A" w14:textId="77777777" w:rsidR="00A062A9" w:rsidRPr="00A062A9" w:rsidRDefault="00A062A9" w:rsidP="00A062A9">
      <w:pPr>
        <w:jc w:val="both"/>
      </w:pPr>
      <w:r w:rsidRPr="00A062A9">
        <w:rPr>
          <w:b/>
          <w:bCs/>
        </w:rPr>
        <w:t>6. La existencia de un contrato de servicios y de CFDI no genera por sí misma el derecho al acreditamiento</w:t>
      </w:r>
      <w:r w:rsidRPr="00A062A9">
        <w:br/>
        <w:t>Se requiere demostrar la materialidad de la especialización: equipamiento, tecnología, certificaciones, personal calificado, activos específicos que el proveedor posee y que el contratante no tiene.</w:t>
      </w:r>
    </w:p>
    <w:p w14:paraId="28EE9A09" w14:textId="77777777" w:rsidR="00A062A9" w:rsidRPr="00A062A9" w:rsidRDefault="00A062A9" w:rsidP="00A062A9">
      <w:pPr>
        <w:jc w:val="both"/>
      </w:pPr>
      <w:r w:rsidRPr="00A062A9">
        <w:rPr>
          <w:i/>
          <w:iCs/>
        </w:rPr>
        <w:lastRenderedPageBreak/>
        <w:t>Fundamento:</w:t>
      </w:r>
      <w:r w:rsidRPr="00A062A9">
        <w:t> Artículo 40 de la LFCA; artículo 28 del CFF.</w:t>
      </w:r>
    </w:p>
    <w:p w14:paraId="649822DC" w14:textId="77777777" w:rsidR="00A062A9" w:rsidRPr="00A062A9" w:rsidRDefault="00A062A9" w:rsidP="00A062A9">
      <w:pPr>
        <w:jc w:val="both"/>
      </w:pPr>
      <w:r w:rsidRPr="00A062A9">
        <w:rPr>
          <w:b/>
          <w:bCs/>
        </w:rPr>
        <w:t>7. La autoridad fiscal puede solicitar información detallada sobre las funciones del personal del contratante y del proveedor, así como los activos de ambos, para determinar si el servicio subcontratado es realmente especializado</w:t>
      </w:r>
      <w:r w:rsidRPr="00A062A9">
        <w:br/>
        <w:t>Negarse a proporcionarla o no contar con ella impide acreditar la excepción.</w:t>
      </w:r>
    </w:p>
    <w:p w14:paraId="3B7E38B9" w14:textId="77777777" w:rsidR="00A062A9" w:rsidRPr="00A062A9" w:rsidRDefault="00A062A9" w:rsidP="00A062A9">
      <w:pPr>
        <w:jc w:val="both"/>
      </w:pPr>
      <w:r w:rsidRPr="00A062A9">
        <w:rPr>
          <w:i/>
          <w:iCs/>
        </w:rPr>
        <w:t>Fundamento:</w:t>
      </w:r>
      <w:r w:rsidRPr="00A062A9">
        <w:t> Artículo 48 del CFF; artículo 42 del CFF.</w:t>
      </w:r>
    </w:p>
    <w:p w14:paraId="7452F323" w14:textId="77777777" w:rsidR="00A062A9" w:rsidRPr="00A062A9" w:rsidRDefault="00A062A9" w:rsidP="00A062A9">
      <w:pPr>
        <w:jc w:val="both"/>
      </w:pPr>
      <w:r w:rsidRPr="00A062A9">
        <w:rPr>
          <w:b/>
          <w:bCs/>
        </w:rPr>
        <w:t>8. El principio de litis abierta (artículo 1 de la LFCA) permite analizar la legalidad de la resolución recurrida y la original, pero no transfiere la carga probatoria al SAT</w:t>
      </w:r>
      <w:r w:rsidRPr="00A062A9">
        <w:br/>
        <w:t>La litis abierta no invierte la carga de la prueba. El actor debe seguir acreditando su derecho.</w:t>
      </w:r>
    </w:p>
    <w:p w14:paraId="2D466F11" w14:textId="77777777" w:rsidR="00A062A9" w:rsidRPr="00A062A9" w:rsidRDefault="00A062A9" w:rsidP="00A062A9">
      <w:pPr>
        <w:jc w:val="both"/>
      </w:pPr>
      <w:r w:rsidRPr="00A062A9">
        <w:rPr>
          <w:i/>
          <w:iCs/>
        </w:rPr>
        <w:t>Fundamento:</w:t>
      </w:r>
      <w:r w:rsidRPr="00A062A9">
        <w:t> Artículo 1 de la LFCA; jurisprudencia 2a./J. 73/2013 (10a.) de la SCJN.</w:t>
      </w:r>
    </w:p>
    <w:p w14:paraId="021FA1A4" w14:textId="77777777" w:rsidR="00A062A9" w:rsidRPr="00A062A9" w:rsidRDefault="00A062A9" w:rsidP="00A062A9">
      <w:pPr>
        <w:jc w:val="both"/>
      </w:pPr>
      <w:r w:rsidRPr="00A062A9">
        <w:rPr>
          <w:b/>
          <w:bCs/>
        </w:rPr>
        <w:t>9. La jurisprudencia sobre el artículo 15-D es abundante y desfavorable al contribuyente cuando el servicio subcontratado es indispensable para la operación principal</w:t>
      </w:r>
      <w:r w:rsidRPr="00A062A9">
        <w:br/>
        <w:t>La excepción se aplica sólo para servicios completamente ajenos al giro del contratante (ej. vigilancia, limpieza, mantenimiento especializado de maquinaria que no es parte del proceso productivo).</w:t>
      </w:r>
    </w:p>
    <w:p w14:paraId="1288C87A" w14:textId="77777777" w:rsidR="00A062A9" w:rsidRPr="00A062A9" w:rsidRDefault="00A062A9" w:rsidP="00A062A9">
      <w:pPr>
        <w:jc w:val="both"/>
      </w:pPr>
      <w:r w:rsidRPr="00A062A9">
        <w:rPr>
          <w:i/>
          <w:iCs/>
        </w:rPr>
        <w:t>Fundamento:</w:t>
      </w:r>
      <w:r w:rsidRPr="00A062A9">
        <w:t> Jurisprudencia del TFJA; artículo 15-D del CFF.</w:t>
      </w:r>
    </w:p>
    <w:p w14:paraId="247FB722" w14:textId="77777777" w:rsidR="00A062A9" w:rsidRPr="00A062A9" w:rsidRDefault="00A062A9" w:rsidP="00A062A9">
      <w:pPr>
        <w:jc w:val="both"/>
      </w:pPr>
      <w:r w:rsidRPr="00A062A9">
        <w:rPr>
          <w:b/>
          <w:bCs/>
        </w:rPr>
        <w:t>10. La pérdida de la devolución de IVA fue confirmada porque la actora no aportó pruebas idóneas para desvirtuar la presunción de que la distribución formaba parte de su actividad preponderante</w:t>
      </w:r>
      <w:r w:rsidRPr="00A062A9">
        <w:br/>
        <w:t>Exhibió el contrato y los CFDI, pero no demostró que el proveedor tuviera activos o personal especializado distintos a los suyos, ni que sus propios trabajadores no realizaran funciones de distribución.</w:t>
      </w:r>
    </w:p>
    <w:p w14:paraId="52A1506B" w14:textId="77777777" w:rsidR="00A062A9" w:rsidRPr="00A062A9" w:rsidRDefault="00A062A9" w:rsidP="00A062A9">
      <w:pPr>
        <w:jc w:val="both"/>
      </w:pPr>
      <w:r w:rsidRPr="00A062A9">
        <w:rPr>
          <w:i/>
          <w:iCs/>
        </w:rPr>
        <w:t>Fundamento:</w:t>
      </w:r>
      <w:r w:rsidRPr="00A062A9">
        <w:t> Artículo 15-D del CFF; artículo 40 de la LFCA.</w:t>
      </w:r>
    </w:p>
    <w:p w14:paraId="1196F423" w14:textId="77777777" w:rsidR="00A062A9" w:rsidRPr="00A062A9" w:rsidRDefault="00A062A9" w:rsidP="00A062A9">
      <w:pPr>
        <w:jc w:val="both"/>
      </w:pPr>
      <w:r w:rsidRPr="00A062A9">
        <w:rPr>
          <w:b/>
          <w:bCs/>
        </w:rPr>
        <w:t>Fundamento legal completo del caso</w:t>
      </w:r>
    </w:p>
    <w:p w14:paraId="67209F54" w14:textId="77777777" w:rsidR="00A062A9" w:rsidRPr="00A062A9" w:rsidRDefault="00A062A9" w:rsidP="00A062A9">
      <w:pPr>
        <w:jc w:val="both"/>
      </w:pPr>
      <w:r w:rsidRPr="00A062A9">
        <w:rPr>
          <w:i/>
          <w:iCs/>
        </w:rPr>
        <w:t>Legislación aplicable:</w:t>
      </w:r>
      <w:r w:rsidRPr="00A062A9">
        <w:t> Artículo 15-D del CFF; artículo 13 de la LISR; artículos 1, 5 de la LIVA; artículos 40, 48, 42, 28 del CFF; artículo 1 de la LFCA.</w:t>
      </w:r>
    </w:p>
    <w:p w14:paraId="698D57B1" w14:textId="77777777" w:rsidR="00A062A9" w:rsidRPr="00A062A9" w:rsidRDefault="00A062A9" w:rsidP="00A062A9">
      <w:pPr>
        <w:jc w:val="both"/>
      </w:pPr>
      <w:r w:rsidRPr="00A062A9">
        <w:rPr>
          <w:i/>
          <w:iCs/>
        </w:rPr>
        <w:t>Jurisprudencia:</w:t>
      </w:r>
      <w:r w:rsidRPr="00A062A9">
        <w:t> 2a./J. 73/2013 (10a.); VIII-J-2aS-62 del TFJA; tesis 1a. XX/2015 (10a.) de la SCJN.</w:t>
      </w:r>
    </w:p>
    <w:p w14:paraId="6E6A1D01" w14:textId="77777777" w:rsidR="00A062A9" w:rsidRPr="00A062A9" w:rsidRDefault="00A062A9" w:rsidP="00A062A9">
      <w:pPr>
        <w:jc w:val="both"/>
      </w:pPr>
      <w:r w:rsidRPr="00A062A9">
        <w:rPr>
          <w:b/>
          <w:bCs/>
        </w:rPr>
        <w:t>Referencia al expediente completo</w:t>
      </w:r>
      <w:r w:rsidRPr="00A062A9">
        <w:br/>
        <w:t>El expediente TFJA 20456/25-17-03-1 puede ser consultado en el TFJA o SISE.</w:t>
      </w:r>
    </w:p>
    <w:p w14:paraId="77E7AB4B" w14:textId="77777777" w:rsidR="00A062A9" w:rsidRPr="00A062A9" w:rsidRDefault="00A062A9" w:rsidP="00A062A9">
      <w:pPr>
        <w:jc w:val="both"/>
      </w:pPr>
      <w:proofErr w:type="spellStart"/>
      <w:r w:rsidRPr="00A062A9">
        <w:rPr>
          <w:b/>
          <w:bCs/>
        </w:rPr>
        <w:lastRenderedPageBreak/>
        <w:t>Checklist</w:t>
      </w:r>
      <w:proofErr w:type="spellEnd"/>
      <w:r w:rsidRPr="00A062A9">
        <w:rPr>
          <w:b/>
          <w:bCs/>
        </w:rPr>
        <w:t xml:space="preserve"> de defensa para el asesor fiscal</w:t>
      </w:r>
    </w:p>
    <w:p w14:paraId="0DA346DF" w14:textId="77777777" w:rsidR="00A062A9" w:rsidRPr="00A062A9" w:rsidRDefault="00A062A9" w:rsidP="00A062A9">
      <w:pPr>
        <w:numPr>
          <w:ilvl w:val="0"/>
          <w:numId w:val="34"/>
        </w:numPr>
        <w:jc w:val="both"/>
      </w:pPr>
      <w:r w:rsidRPr="00A062A9">
        <w:t>Revisar el objeto social y la actividad preponderante. Preguntarse: ¿los servicios a subcontratar son realmente ajenos a ese giro?</w:t>
      </w:r>
    </w:p>
    <w:p w14:paraId="4BE29EC5" w14:textId="77777777" w:rsidR="00A062A9" w:rsidRPr="00A062A9" w:rsidRDefault="00A062A9" w:rsidP="00A062A9">
      <w:pPr>
        <w:numPr>
          <w:ilvl w:val="0"/>
          <w:numId w:val="34"/>
        </w:numPr>
        <w:jc w:val="both"/>
      </w:pPr>
      <w:r w:rsidRPr="00A062A9">
        <w:t>Documentar la especialización: el proveedor debe tener equipamiento, tecnología o certificaciones que el contratante no posee; los trabajadores del proveedor tienen perfiles distintos; la actividad subcontratada no la realiza el personal propio.</w:t>
      </w:r>
    </w:p>
    <w:p w14:paraId="4FF1C987" w14:textId="77777777" w:rsidR="00A062A9" w:rsidRPr="00A062A9" w:rsidRDefault="00A062A9" w:rsidP="00A062A9">
      <w:pPr>
        <w:numPr>
          <w:ilvl w:val="0"/>
          <w:numId w:val="34"/>
        </w:numPr>
        <w:jc w:val="both"/>
      </w:pPr>
      <w:r w:rsidRPr="00A062A9">
        <w:t>Guardar evidencia de la materialidad de la prestación: bitácoras de entrega, acuses de recibo, correos de coordinación, reportes de incidencias.</w:t>
      </w:r>
    </w:p>
    <w:p w14:paraId="09CD1158" w14:textId="77777777" w:rsidR="00A062A9" w:rsidRPr="00A062A9" w:rsidRDefault="00A062A9" w:rsidP="00A062A9">
      <w:pPr>
        <w:numPr>
          <w:ilvl w:val="0"/>
          <w:numId w:val="34"/>
        </w:numPr>
        <w:jc w:val="both"/>
      </w:pPr>
      <w:r w:rsidRPr="00A062A9">
        <w:t>Si el SAT niega una devolución por este motivo, no confiar en que el contrato y el REPSE salvarán. La autoridad ya ganó numerosos casos similares.</w:t>
      </w:r>
    </w:p>
    <w:p w14:paraId="1B1F1385" w14:textId="77777777" w:rsidR="00A062A9" w:rsidRPr="00A062A9" w:rsidRDefault="00A062A9" w:rsidP="00A062A9">
      <w:pPr>
        <w:numPr>
          <w:ilvl w:val="0"/>
          <w:numId w:val="34"/>
        </w:numPr>
        <w:jc w:val="both"/>
      </w:pPr>
      <w:r w:rsidRPr="00A062A9">
        <w:t>Considerar si vale la pena subcontratar servicios que son parte del giro principal. Si es indispensable, asumir que el IVA no será acreditable.</w:t>
      </w:r>
    </w:p>
    <w:p w14:paraId="123C91C9" w14:textId="77777777" w:rsidR="00A062A9" w:rsidRPr="00A062A9" w:rsidRDefault="00A062A9" w:rsidP="00A062A9">
      <w:pPr>
        <w:numPr>
          <w:ilvl w:val="0"/>
          <w:numId w:val="34"/>
        </w:numPr>
        <w:jc w:val="both"/>
      </w:pPr>
      <w:r w:rsidRPr="00A062A9">
        <w:t>Si el cliente es un comercializador o fabricante, evaluar si la distribución es parte de su giro principal. Si lo es, no subcontratar esperando acreditar el IVA.</w:t>
      </w:r>
    </w:p>
    <w:p w14:paraId="38B195E6" w14:textId="77777777" w:rsidR="00A062A9" w:rsidRPr="00A062A9" w:rsidRDefault="00A062A9" w:rsidP="00A062A9">
      <w:pPr>
        <w:jc w:val="both"/>
      </w:pPr>
      <w:r w:rsidRPr="00A062A9">
        <w:rPr>
          <w:b/>
          <w:bCs/>
        </w:rPr>
        <w:t>Nota final para el asesor fiscal:</w:t>
      </w:r>
      <w:r w:rsidRPr="00A062A9">
        <w:t> El artículo 15-D del CFF no es un simple requisito de forma. Es una barrera que impide acreditar el IVA cuando se subcontrata lo que usted mismo debería hacer. La distribución de productos propios es parte de la actividad preponderante de un comercializador. Subcontratarla no la convierte en "servicio especializado". El error más común es confundir "servicio que contrato con alguien más" con "servicio especializado". El REPSE del proveedor no es suficiente. El contrato no es suficiente. Se necesita prueba de que el servicio es realmente ajeno al giro principal del contratante. Si no lo es, el IVA no es acreditable.</w:t>
      </w:r>
    </w:p>
    <w:p w14:paraId="0FD07625" w14:textId="77777777" w:rsidR="00A062A9" w:rsidRPr="00A062A9" w:rsidRDefault="00000000" w:rsidP="00A062A9">
      <w:pPr>
        <w:jc w:val="both"/>
      </w:pPr>
      <w:r>
        <w:pict w14:anchorId="004E88B9">
          <v:rect id="_x0000_i1056" style="width:0;height:.75pt" o:hralign="center" o:hrstd="t" o:hr="t" fillcolor="#a0a0a0" stroked="f"/>
        </w:pict>
      </w:r>
    </w:p>
    <w:p w14:paraId="4B5117E6" w14:textId="77777777" w:rsidR="00A062A9" w:rsidRPr="00A062A9" w:rsidRDefault="00A062A9" w:rsidP="00A062A9">
      <w:pPr>
        <w:jc w:val="both"/>
        <w:rPr>
          <w:b/>
          <w:bCs/>
        </w:rPr>
      </w:pPr>
      <w:r w:rsidRPr="00A062A9">
        <w:rPr>
          <w:b/>
          <w:bCs/>
        </w:rPr>
        <w:t>Apéndice 30 – Capítulo 30</w:t>
      </w:r>
    </w:p>
    <w:p w14:paraId="010E9DB6" w14:textId="77777777" w:rsidR="00A062A9" w:rsidRPr="00A062A9" w:rsidRDefault="00A062A9" w:rsidP="00A062A9">
      <w:pPr>
        <w:jc w:val="both"/>
      </w:pPr>
      <w:r w:rsidRPr="00A062A9">
        <w:rPr>
          <w:b/>
          <w:bCs/>
        </w:rPr>
        <w:t>La edad no perdona: la dueña del comedor que fue a prisión por 3 años</w:t>
      </w:r>
    </w:p>
    <w:p w14:paraId="28C509B6" w14:textId="77777777" w:rsidR="00A062A9" w:rsidRPr="00A062A9" w:rsidRDefault="00A062A9" w:rsidP="00A062A9">
      <w:pPr>
        <w:jc w:val="both"/>
      </w:pPr>
      <w:r w:rsidRPr="00A062A9">
        <w:rPr>
          <w:b/>
          <w:bCs/>
        </w:rPr>
        <w:t>Expedientes:</w:t>
      </w:r>
      <w:r w:rsidRPr="00A062A9">
        <w:t> Causa penal 363/2021, Juzgado de Distrito Especializada en el Sistema Penal Acusatorio del Centro de Justicia Penal Federal en el Estado de Querétaro (sentencia de 13 de diciembre de 2022); Toca penal 5/2023, Tribunal Colegiado de Apelación del Vigésimo Segundo Circuito (sentencia de cumplimiento de 18 de febrero de 2026)</w:t>
      </w:r>
    </w:p>
    <w:p w14:paraId="2A12669C" w14:textId="77777777" w:rsidR="00A062A9" w:rsidRPr="00A062A9" w:rsidRDefault="00A062A9" w:rsidP="00A062A9">
      <w:pPr>
        <w:jc w:val="both"/>
      </w:pPr>
      <w:r w:rsidRPr="00A062A9">
        <w:rPr>
          <w:b/>
          <w:bCs/>
        </w:rPr>
        <w:t>Los 10 puntos técnicos más relevantes para el asesor fiscal</w:t>
      </w:r>
    </w:p>
    <w:p w14:paraId="1EF72556" w14:textId="77777777" w:rsidR="00A062A9" w:rsidRPr="00A062A9" w:rsidRDefault="00A062A9" w:rsidP="00A062A9">
      <w:pPr>
        <w:jc w:val="both"/>
      </w:pPr>
      <w:r w:rsidRPr="00A062A9">
        <w:rPr>
          <w:b/>
          <w:bCs/>
        </w:rPr>
        <w:lastRenderedPageBreak/>
        <w:t>1. El engaño fiscal no requiere engañar a una persona específica. La simple presentación de una declaración fiscal falsa o incompleta ante el SAT constituye engaño</w:t>
      </w:r>
      <w:r w:rsidRPr="00A062A9">
        <w:br/>
        <w:t>El SAT es el receptor de la declaración, y la falsedad en los datos es suficiente para configurar el tipo penal. No importa si no hubo un "interlocutor" al que se le mintió.</w:t>
      </w:r>
    </w:p>
    <w:p w14:paraId="0A6007FC" w14:textId="77777777" w:rsidR="00A062A9" w:rsidRPr="00A062A9" w:rsidRDefault="00A062A9" w:rsidP="00A062A9">
      <w:pPr>
        <w:jc w:val="both"/>
      </w:pPr>
      <w:r w:rsidRPr="00A062A9">
        <w:rPr>
          <w:i/>
          <w:iCs/>
        </w:rPr>
        <w:t>Fundamento:</w:t>
      </w:r>
      <w:r w:rsidRPr="00A062A9">
        <w:t> Artículo 108 del CFF; artículo 109, fracción I del CFF.</w:t>
      </w:r>
    </w:p>
    <w:p w14:paraId="211EFF11" w14:textId="77777777" w:rsidR="00A062A9" w:rsidRPr="00A062A9" w:rsidRDefault="00A062A9" w:rsidP="00A062A9">
      <w:pPr>
        <w:jc w:val="both"/>
      </w:pPr>
      <w:r w:rsidRPr="00A062A9">
        <w:rPr>
          <w:b/>
          <w:bCs/>
        </w:rPr>
        <w:t>2. Defraudación fiscal equiparable (artículo 109, fracción I del CFF) es un delito autónomo. Basta con consignar ingresos acumulables menores a los realmente obtenidos</w:t>
      </w:r>
      <w:r w:rsidRPr="00A062A9">
        <w:br/>
        <w:t>La ley no exige "engaños activos". La acción omisiva de declarar menos es, por sí misma, la conducta delictiva.</w:t>
      </w:r>
    </w:p>
    <w:p w14:paraId="3D2BE6F6" w14:textId="77777777" w:rsidR="00A062A9" w:rsidRPr="00A062A9" w:rsidRDefault="00A062A9" w:rsidP="00A062A9">
      <w:pPr>
        <w:jc w:val="both"/>
      </w:pPr>
      <w:r w:rsidRPr="00A062A9">
        <w:rPr>
          <w:i/>
          <w:iCs/>
        </w:rPr>
        <w:t>Fundamento:</w:t>
      </w:r>
      <w:r w:rsidRPr="00A062A9">
        <w:t> Artículo 109, fracción I del CFF; artículo 108, fracción III del CFF.</w:t>
      </w:r>
    </w:p>
    <w:p w14:paraId="58483AE7" w14:textId="77777777" w:rsidR="00A062A9" w:rsidRPr="00A062A9" w:rsidRDefault="00A062A9" w:rsidP="00A062A9">
      <w:pPr>
        <w:jc w:val="both"/>
      </w:pPr>
      <w:r w:rsidRPr="00A062A9">
        <w:rPr>
          <w:b/>
          <w:bCs/>
        </w:rPr>
        <w:t>3. La responsable penal es la persona física que firmó la declaración, no el contador</w:t>
      </w:r>
      <w:r w:rsidRPr="00A062A9">
        <w:br/>
        <w:t>Quien firma con su Firma Electrónica Avanzada (FIEL) asume la responsabilidad de lo declarado. El hecho de que un contador externo preparara los cálculos no la exime.</w:t>
      </w:r>
    </w:p>
    <w:p w14:paraId="660895AB" w14:textId="77777777" w:rsidR="00A062A9" w:rsidRPr="00A062A9" w:rsidRDefault="00A062A9" w:rsidP="00A062A9">
      <w:pPr>
        <w:jc w:val="both"/>
      </w:pPr>
      <w:r w:rsidRPr="00A062A9">
        <w:rPr>
          <w:i/>
          <w:iCs/>
        </w:rPr>
        <w:t>Fundamento:</w:t>
      </w:r>
      <w:r w:rsidRPr="00A062A9">
        <w:t> Artículo 95, fracción II del CFF; artículo 17-D del CFF; artículo 8 del Código Penal Federal.</w:t>
      </w:r>
    </w:p>
    <w:p w14:paraId="7262B495" w14:textId="77777777" w:rsidR="00A062A9" w:rsidRPr="00A062A9" w:rsidRDefault="00A062A9" w:rsidP="00A062A9">
      <w:pPr>
        <w:jc w:val="both"/>
      </w:pPr>
      <w:r w:rsidRPr="00A062A9">
        <w:rPr>
          <w:b/>
          <w:bCs/>
        </w:rPr>
        <w:t>4. En delitos fiscales con montos superiores a los umbrales del artículo 108, fracción III del CFF, no procede la sustitución de la pena ni la condena condicional (artículo 101 del CFF)</w:t>
      </w:r>
      <w:r w:rsidRPr="00A062A9">
        <w:br/>
        <w:t>La cárcel es efectiva. No hay sustituto. El monto defraudado en este caso superó con creces el umbral.</w:t>
      </w:r>
    </w:p>
    <w:p w14:paraId="4FB6B4CF" w14:textId="77777777" w:rsidR="00A062A9" w:rsidRPr="00A062A9" w:rsidRDefault="00A062A9" w:rsidP="00A062A9">
      <w:pPr>
        <w:jc w:val="both"/>
      </w:pPr>
      <w:r w:rsidRPr="00A062A9">
        <w:rPr>
          <w:i/>
          <w:iCs/>
        </w:rPr>
        <w:t>Fundamento:</w:t>
      </w:r>
      <w:r w:rsidRPr="00A062A9">
        <w:t> Artículo 101 del CFF; artículo 108, fracción III del CFF.</w:t>
      </w:r>
    </w:p>
    <w:p w14:paraId="2F434CA1" w14:textId="77777777" w:rsidR="00A062A9" w:rsidRPr="00A062A9" w:rsidRDefault="00A062A9" w:rsidP="00A062A9">
      <w:pPr>
        <w:jc w:val="both"/>
      </w:pPr>
      <w:r w:rsidRPr="00A062A9">
        <w:rPr>
          <w:b/>
          <w:bCs/>
        </w:rPr>
        <w:t>5. La diferencia entre delito instantáneo y delito continuado es crucial. El delito continuado requiere "unidad de intención delictuosa"</w:t>
      </w:r>
      <w:r w:rsidRPr="00A062A9">
        <w:br/>
        <w:t>La sola pluralidad de conductas (varias declaraciones falsas en el mismo ejercicio) no acredita la continuidad. Cada declaración falsa es un acto independiente.</w:t>
      </w:r>
    </w:p>
    <w:p w14:paraId="43DF97C0" w14:textId="77777777" w:rsidR="00A062A9" w:rsidRPr="00A062A9" w:rsidRDefault="00A062A9" w:rsidP="00A062A9">
      <w:pPr>
        <w:jc w:val="both"/>
      </w:pPr>
      <w:r w:rsidRPr="00A062A9">
        <w:rPr>
          <w:i/>
          <w:iCs/>
        </w:rPr>
        <w:t>Fundamento:</w:t>
      </w:r>
      <w:r w:rsidRPr="00A062A9">
        <w:t> Artículo 99 del CFF; jurisprudencia 1a./J. 53/2020 (10a.) de la SCJN.</w:t>
      </w:r>
    </w:p>
    <w:p w14:paraId="73CD83BA" w14:textId="77777777" w:rsidR="00A062A9" w:rsidRPr="00A062A9" w:rsidRDefault="00A062A9" w:rsidP="00A062A9">
      <w:pPr>
        <w:jc w:val="both"/>
      </w:pPr>
      <w:r w:rsidRPr="00A062A9">
        <w:rPr>
          <w:b/>
          <w:bCs/>
        </w:rPr>
        <w:t>6. La pérdida cambiaria se asimila a intereses para efectos fiscales (referencia cruzada)</w:t>
      </w:r>
      <w:r w:rsidRPr="00A062A9">
        <w:br/>
        <w:t xml:space="preserve">El artículo 9, penúltimo párrafo de la LISR (vigente en 2010) equipara las pérdidas </w:t>
      </w:r>
      <w:r w:rsidRPr="00A062A9">
        <w:lastRenderedPageBreak/>
        <w:t>cambiarias a los intereses. Por tanto, si los intereses no son deducibles por subcapitalización, la pérdida cambiaria tampoco lo es.</w:t>
      </w:r>
    </w:p>
    <w:p w14:paraId="2E4374C0" w14:textId="77777777" w:rsidR="00A062A9" w:rsidRPr="00A062A9" w:rsidRDefault="00A062A9" w:rsidP="00A062A9">
      <w:pPr>
        <w:jc w:val="both"/>
      </w:pPr>
      <w:r w:rsidRPr="00A062A9">
        <w:rPr>
          <w:i/>
          <w:iCs/>
        </w:rPr>
        <w:t>Fundamento:</w:t>
      </w:r>
      <w:r w:rsidRPr="00A062A9">
        <w:t> Artículo 9, penúltimo párrafo de la LISR; artículo 32, fracción XXVI de la LISR.</w:t>
      </w:r>
    </w:p>
    <w:p w14:paraId="6CE2BF17" w14:textId="77777777" w:rsidR="00A062A9" w:rsidRPr="00A062A9" w:rsidRDefault="00A062A9" w:rsidP="00A062A9">
      <w:pPr>
        <w:jc w:val="both"/>
      </w:pPr>
      <w:r w:rsidRPr="00A062A9">
        <w:rPr>
          <w:b/>
          <w:bCs/>
        </w:rPr>
        <w:t>7. Para que un pago a un residente en el extranjero no genere retención en México, se requiere (i) certificado de residencia fiscal vigente, (</w:t>
      </w:r>
      <w:proofErr w:type="spellStart"/>
      <w:r w:rsidRPr="00A062A9">
        <w:rPr>
          <w:b/>
          <w:bCs/>
        </w:rPr>
        <w:t>ii</w:t>
      </w:r>
      <w:proofErr w:type="spellEnd"/>
      <w:r w:rsidRPr="00A062A9">
        <w:rPr>
          <w:b/>
          <w:bCs/>
        </w:rPr>
        <w:t>) que el servicio no se aproveche económicamente en México, (</w:t>
      </w:r>
      <w:proofErr w:type="spellStart"/>
      <w:r w:rsidRPr="00A062A9">
        <w:rPr>
          <w:b/>
          <w:bCs/>
        </w:rPr>
        <w:t>iii</w:t>
      </w:r>
      <w:proofErr w:type="spellEnd"/>
      <w:r w:rsidRPr="00A062A9">
        <w:rPr>
          <w:b/>
          <w:bCs/>
        </w:rPr>
        <w:t>) ausencia de base fija, y (</w:t>
      </w:r>
      <w:proofErr w:type="spellStart"/>
      <w:r w:rsidRPr="00A062A9">
        <w:rPr>
          <w:b/>
          <w:bCs/>
        </w:rPr>
        <w:t>iv</w:t>
      </w:r>
      <w:proofErr w:type="spellEnd"/>
      <w:r w:rsidRPr="00A062A9">
        <w:rPr>
          <w:b/>
          <w:bCs/>
        </w:rPr>
        <w:t>) estancia menor a 183 días (referencia cruzada)</w:t>
      </w:r>
      <w:r w:rsidRPr="00A062A9">
        <w:br/>
        <w:t>La falta de uno de estos requisitos mantiene la obligación de retener.</w:t>
      </w:r>
    </w:p>
    <w:p w14:paraId="51C9D149" w14:textId="77777777" w:rsidR="00A062A9" w:rsidRPr="00A062A9" w:rsidRDefault="00A062A9" w:rsidP="00A062A9">
      <w:pPr>
        <w:jc w:val="both"/>
      </w:pPr>
      <w:r w:rsidRPr="00A062A9">
        <w:rPr>
          <w:i/>
          <w:iCs/>
        </w:rPr>
        <w:t>Fundamento:</w:t>
      </w:r>
      <w:r w:rsidRPr="00A062A9">
        <w:t> Artículo 195 de la LISR; Convenio México-Suiza, artículo 14.</w:t>
      </w:r>
    </w:p>
    <w:p w14:paraId="466EC824" w14:textId="77777777" w:rsidR="00A062A9" w:rsidRPr="00A062A9" w:rsidRDefault="00A062A9" w:rsidP="00A062A9">
      <w:pPr>
        <w:jc w:val="both"/>
      </w:pPr>
      <w:r w:rsidRPr="00A062A9">
        <w:rPr>
          <w:b/>
          <w:bCs/>
        </w:rPr>
        <w:t>8. La carga de la prueba de la CUCA y del costo fiscal de las acciones recae en el contribuyente durante toda la vida de la sociedad. No aplica la regla de los cinco años (referencia cruzada)</w:t>
      </w:r>
      <w:r w:rsidRPr="00A062A9">
        <w:br/>
        <w:t>Los comprobantes de pago de aumentos de capital deben conservarse por todo el tiempo que subsista la sociedad (artículo 30, fracción II, inciso c del CFF).</w:t>
      </w:r>
    </w:p>
    <w:p w14:paraId="2300F920" w14:textId="77777777" w:rsidR="00A062A9" w:rsidRPr="00A062A9" w:rsidRDefault="00A062A9" w:rsidP="00A062A9">
      <w:pPr>
        <w:jc w:val="both"/>
      </w:pPr>
      <w:r w:rsidRPr="00A062A9">
        <w:rPr>
          <w:i/>
          <w:iCs/>
        </w:rPr>
        <w:t>Fundamento:</w:t>
      </w:r>
      <w:r w:rsidRPr="00A062A9">
        <w:t> Artículo 30, fracción II, inciso c del CFF; artículo 78 de la LISR.</w:t>
      </w:r>
    </w:p>
    <w:p w14:paraId="7762179D" w14:textId="77777777" w:rsidR="00A062A9" w:rsidRPr="00A062A9" w:rsidRDefault="00A062A9" w:rsidP="00A062A9">
      <w:pPr>
        <w:jc w:val="both"/>
      </w:pPr>
      <w:r w:rsidRPr="00A062A9">
        <w:rPr>
          <w:b/>
          <w:bCs/>
        </w:rPr>
        <w:t>9. El derecho penal fiscal no es un adorno. Cuando hay engaño y perjuicio, la prisión es real. La edad del contribuyente (63 años) no es una excluyente de responsabilidad penal</w:t>
      </w:r>
      <w:r w:rsidRPr="00A062A9">
        <w:br/>
        <w:t>La edad no es una atenuante en delitos fiscales. El artículo 101 del CFF no distingue por edad.</w:t>
      </w:r>
    </w:p>
    <w:p w14:paraId="0930DDD2" w14:textId="77777777" w:rsidR="00A062A9" w:rsidRPr="00A062A9" w:rsidRDefault="00A062A9" w:rsidP="00A062A9">
      <w:pPr>
        <w:jc w:val="both"/>
      </w:pPr>
      <w:r w:rsidRPr="00A062A9">
        <w:rPr>
          <w:i/>
          <w:iCs/>
        </w:rPr>
        <w:t>Fundamento:</w:t>
      </w:r>
      <w:r w:rsidRPr="00A062A9">
        <w:t> Artículo 101 del CFF; artículo 52 del Código Penal Federal.</w:t>
      </w:r>
    </w:p>
    <w:p w14:paraId="32BA7777" w14:textId="77777777" w:rsidR="00A062A9" w:rsidRPr="00A062A9" w:rsidRDefault="00A062A9" w:rsidP="00A062A9">
      <w:pPr>
        <w:jc w:val="both"/>
      </w:pPr>
      <w:r w:rsidRPr="00A062A9">
        <w:rPr>
          <w:b/>
          <w:bCs/>
        </w:rPr>
        <w:t>10. La Firma Electrónica Avanzada (FIEL) es la prueba de la responsabilidad penal. Quien firma con su FIEL asume la responsabilidad de lo declarado, independientemente de quién preparó la declaración</w:t>
      </w:r>
      <w:r w:rsidRPr="00A062A9">
        <w:br/>
        <w:t>La FIEL es personal e intransferible. No se puede delegar la responsabilidad penal. Si el contador preparó mal la declaración, el contribuyente puede tener acción civil contra él, pero eso no lo exime de responsabilidad penal.</w:t>
      </w:r>
    </w:p>
    <w:p w14:paraId="3685D038" w14:textId="77777777" w:rsidR="00A062A9" w:rsidRPr="00A062A9" w:rsidRDefault="00A062A9" w:rsidP="00A062A9">
      <w:pPr>
        <w:jc w:val="both"/>
      </w:pPr>
      <w:r w:rsidRPr="00A062A9">
        <w:rPr>
          <w:i/>
          <w:iCs/>
        </w:rPr>
        <w:t>Fundamento:</w:t>
      </w:r>
      <w:r w:rsidRPr="00A062A9">
        <w:t> Artículo 17-D del CFF; artículo 8 del Código Penal Federal.</w:t>
      </w:r>
    </w:p>
    <w:p w14:paraId="4691D2D4" w14:textId="77777777" w:rsidR="00A062A9" w:rsidRPr="00A062A9" w:rsidRDefault="00A062A9" w:rsidP="00A062A9">
      <w:pPr>
        <w:jc w:val="both"/>
      </w:pPr>
      <w:r w:rsidRPr="00A062A9">
        <w:rPr>
          <w:b/>
          <w:bCs/>
        </w:rPr>
        <w:t>Fundamento legal completo del caso</w:t>
      </w:r>
    </w:p>
    <w:p w14:paraId="6351EABA" w14:textId="77777777" w:rsidR="00A062A9" w:rsidRPr="00A062A9" w:rsidRDefault="00A062A9" w:rsidP="00A062A9">
      <w:pPr>
        <w:jc w:val="both"/>
      </w:pPr>
      <w:r w:rsidRPr="00A062A9">
        <w:rPr>
          <w:i/>
          <w:iCs/>
        </w:rPr>
        <w:t>Legislación penal fiscal:</w:t>
      </w:r>
      <w:r w:rsidRPr="00A062A9">
        <w:t> Artículos 108, 109 fracción I, 108 fracción III, 101, 99, 95 fracción II, 17-D del CFF; artículos 8, 9, 52 del Código Penal Federal.</w:t>
      </w:r>
    </w:p>
    <w:p w14:paraId="58A6C7FF" w14:textId="77777777" w:rsidR="00A062A9" w:rsidRPr="00A062A9" w:rsidRDefault="00A062A9" w:rsidP="00A062A9">
      <w:pPr>
        <w:jc w:val="both"/>
      </w:pPr>
      <w:r w:rsidRPr="00A062A9">
        <w:rPr>
          <w:i/>
          <w:iCs/>
        </w:rPr>
        <w:lastRenderedPageBreak/>
        <w:t>Legislación procesal penal:</w:t>
      </w:r>
      <w:r w:rsidRPr="00A062A9">
        <w:t> Artículos 316, 317, 313 del CNPP.</w:t>
      </w:r>
    </w:p>
    <w:p w14:paraId="11536718" w14:textId="77777777" w:rsidR="00A062A9" w:rsidRPr="00A062A9" w:rsidRDefault="00A062A9" w:rsidP="00A062A9">
      <w:pPr>
        <w:jc w:val="both"/>
      </w:pPr>
      <w:r w:rsidRPr="00A062A9">
        <w:rPr>
          <w:i/>
          <w:iCs/>
        </w:rPr>
        <w:t>Legislación fiscal referencias:</w:t>
      </w:r>
      <w:r w:rsidRPr="00A062A9">
        <w:t> Artículos 30 fracción II inciso c, 78 de la LISR; artículo 195 de la LISR; artículo 9 penúltimo párrafo, 32 fracción XXVI de la LISR.</w:t>
      </w:r>
    </w:p>
    <w:p w14:paraId="47A6B4F2" w14:textId="77777777" w:rsidR="00A062A9" w:rsidRPr="0043687B" w:rsidRDefault="00A062A9" w:rsidP="00A062A9">
      <w:pPr>
        <w:jc w:val="both"/>
        <w:rPr>
          <w:lang w:val="fr-FR"/>
        </w:rPr>
      </w:pPr>
      <w:r w:rsidRPr="00A062A9">
        <w:rPr>
          <w:i/>
          <w:iCs/>
        </w:rPr>
        <w:t>Jurisprudencia:</w:t>
      </w:r>
      <w:r w:rsidRPr="00A062A9">
        <w:t xml:space="preserve"> 1a./J. 53/2020 (10a.); 1a. </w:t>
      </w:r>
      <w:r w:rsidRPr="0043687B">
        <w:rPr>
          <w:lang w:val="fr-FR"/>
        </w:rPr>
        <w:t>XX/2015 (10a.); 2a./J. 161/2019 (10a.) de la SCJN.</w:t>
      </w:r>
    </w:p>
    <w:p w14:paraId="61788EB7" w14:textId="77777777" w:rsidR="00A062A9" w:rsidRPr="00A062A9" w:rsidRDefault="00A062A9" w:rsidP="00A062A9">
      <w:pPr>
        <w:jc w:val="both"/>
      </w:pPr>
      <w:r w:rsidRPr="00A062A9">
        <w:rPr>
          <w:b/>
          <w:bCs/>
        </w:rPr>
        <w:t>Referencia a los expedientes</w:t>
      </w:r>
      <w:r w:rsidRPr="00A062A9">
        <w:br/>
        <w:t>Causa penal 363/2021 (Juzgado de Distrito Especializada, Querétaro, sentencia 13 diciembre 2022); Toca penal 5/2023 (Tribunal Colegiado de Apelación del Vigésimo Segundo Circuito, sentencia 18 febrero 2026). Pueden ser consultados en el SISE del Poder Judicial de la Federación.</w:t>
      </w:r>
    </w:p>
    <w:p w14:paraId="6907E469" w14:textId="77777777" w:rsidR="00A062A9" w:rsidRPr="00A062A9" w:rsidRDefault="00A062A9" w:rsidP="00A062A9">
      <w:pPr>
        <w:jc w:val="both"/>
      </w:pPr>
      <w:proofErr w:type="spellStart"/>
      <w:r w:rsidRPr="00A062A9">
        <w:rPr>
          <w:b/>
          <w:bCs/>
        </w:rPr>
        <w:t>Checklist</w:t>
      </w:r>
      <w:proofErr w:type="spellEnd"/>
      <w:r w:rsidRPr="00A062A9">
        <w:rPr>
          <w:b/>
          <w:bCs/>
        </w:rPr>
        <w:t xml:space="preserve"> de defensa para el asesor fiscal (prevención penal)</w:t>
      </w:r>
    </w:p>
    <w:p w14:paraId="6ED2797E" w14:textId="77777777" w:rsidR="00A062A9" w:rsidRPr="00A062A9" w:rsidRDefault="00A062A9" w:rsidP="00A062A9">
      <w:pPr>
        <w:numPr>
          <w:ilvl w:val="0"/>
          <w:numId w:val="35"/>
        </w:numPr>
        <w:jc w:val="both"/>
      </w:pPr>
      <w:r w:rsidRPr="00A062A9">
        <w:t>Revisar las declaraciones anuales del cliente de los últimos cinco años. No delegar ciegamente en el contador. Verificar que ingresos declarados coincidan con depósitos bancarios.</w:t>
      </w:r>
    </w:p>
    <w:p w14:paraId="1B8BBF73" w14:textId="77777777" w:rsidR="00A062A9" w:rsidRPr="00A062A9" w:rsidRDefault="00A062A9" w:rsidP="00A062A9">
      <w:pPr>
        <w:numPr>
          <w:ilvl w:val="0"/>
          <w:numId w:val="35"/>
        </w:numPr>
        <w:jc w:val="both"/>
      </w:pPr>
      <w:r w:rsidRPr="00A062A9">
        <w:t>No confiar en que "la empresa pagará la multa". La pena de prisión es personal. La paga la persona física que firmó las declaraciones.</w:t>
      </w:r>
    </w:p>
    <w:p w14:paraId="5B3C6F2D" w14:textId="77777777" w:rsidR="00A062A9" w:rsidRPr="00A062A9" w:rsidRDefault="00A062A9" w:rsidP="00A062A9">
      <w:pPr>
        <w:numPr>
          <w:ilvl w:val="0"/>
          <w:numId w:val="35"/>
        </w:numPr>
        <w:jc w:val="both"/>
      </w:pPr>
      <w:r w:rsidRPr="00A062A9">
        <w:t>Conocer la diferencia entre delito instantáneo y continuado. Si el fiscal pretende acumular varias declaraciones como delito continuado, la defensa puede argumentar que no hay unidad de intención delictuosa.</w:t>
      </w:r>
    </w:p>
    <w:p w14:paraId="3881E75E" w14:textId="77777777" w:rsidR="00A062A9" w:rsidRPr="00A062A9" w:rsidRDefault="00A062A9" w:rsidP="00A062A9">
      <w:pPr>
        <w:numPr>
          <w:ilvl w:val="0"/>
          <w:numId w:val="35"/>
        </w:numPr>
        <w:jc w:val="both"/>
      </w:pPr>
      <w:r w:rsidRPr="00A062A9">
        <w:t>Si el SAT inicia auditoría que detecta omisiones, buscar asesoría penal fiscal de inmediato. Regularizar voluntariamente antes de la querella.</w:t>
      </w:r>
    </w:p>
    <w:p w14:paraId="6A95C8B4" w14:textId="77777777" w:rsidR="00A062A9" w:rsidRPr="00A062A9" w:rsidRDefault="00A062A9" w:rsidP="00A062A9">
      <w:pPr>
        <w:numPr>
          <w:ilvl w:val="0"/>
          <w:numId w:val="35"/>
        </w:numPr>
        <w:jc w:val="both"/>
      </w:pPr>
      <w:r w:rsidRPr="00A062A9">
        <w:t>Documentar todas las instrucciones dadas al contador por escrito. Puede ayudar a demostrar ausencia de dolo si la omisión fue error del contador.</w:t>
      </w:r>
    </w:p>
    <w:p w14:paraId="0F418D24" w14:textId="77777777" w:rsidR="00A062A9" w:rsidRPr="00A062A9" w:rsidRDefault="00A062A9" w:rsidP="00A062A9">
      <w:pPr>
        <w:numPr>
          <w:ilvl w:val="0"/>
          <w:numId w:val="35"/>
        </w:numPr>
        <w:jc w:val="both"/>
      </w:pPr>
      <w:r w:rsidRPr="00A062A9">
        <w:t>No asumir que por tener más de 60 años no irá a la cárcel. La edad no es excluyente de responsabilidad penal.</w:t>
      </w:r>
    </w:p>
    <w:p w14:paraId="60D05932" w14:textId="77777777" w:rsidR="00A062A9" w:rsidRPr="00A062A9" w:rsidRDefault="00A062A9" w:rsidP="00A062A9">
      <w:pPr>
        <w:numPr>
          <w:ilvl w:val="0"/>
          <w:numId w:val="35"/>
        </w:numPr>
        <w:jc w:val="both"/>
      </w:pPr>
      <w:r w:rsidRPr="00A062A9">
        <w:t>Revisar quién tiene la FIEL del cliente. Si el contador la usa sin supervisión, el cliente está delegando su responsabilidad penal. Establecer protocolo de autorización expresa.</w:t>
      </w:r>
    </w:p>
    <w:p w14:paraId="33FAB911" w14:textId="77777777" w:rsidR="00A062A9" w:rsidRPr="00A062A9" w:rsidRDefault="00A062A9" w:rsidP="00A062A9">
      <w:pPr>
        <w:numPr>
          <w:ilvl w:val="0"/>
          <w:numId w:val="35"/>
        </w:numPr>
        <w:jc w:val="both"/>
      </w:pPr>
      <w:r w:rsidRPr="00A062A9">
        <w:t>Si ya recibió notificación de querella penal, contestar dentro del plazo, ofrecer pruebas, negociar criterio de oportunidad (artículo 256 CNPP) antes de la sentencia.</w:t>
      </w:r>
    </w:p>
    <w:p w14:paraId="349A9C37" w14:textId="77777777" w:rsidR="00A062A9" w:rsidRPr="00A062A9" w:rsidRDefault="00A062A9" w:rsidP="00A062A9">
      <w:pPr>
        <w:numPr>
          <w:ilvl w:val="0"/>
          <w:numId w:val="35"/>
        </w:numPr>
        <w:jc w:val="both"/>
      </w:pPr>
      <w:r w:rsidRPr="00A062A9">
        <w:lastRenderedPageBreak/>
        <w:t>Si ya fue sentenciado, evaluar recurso de apelación. La apelación puede corregir errores como indebida aplicación de delito continuado.</w:t>
      </w:r>
    </w:p>
    <w:p w14:paraId="2A67B80F" w14:textId="77777777" w:rsidR="00A062A9" w:rsidRPr="00A062A9" w:rsidRDefault="00A062A9" w:rsidP="00A062A9">
      <w:pPr>
        <w:numPr>
          <w:ilvl w:val="0"/>
          <w:numId w:val="35"/>
        </w:numPr>
        <w:jc w:val="both"/>
      </w:pPr>
      <w:r w:rsidRPr="00A062A9">
        <w:t>Si el cliente es persona física con actividad empresarial, considerar constituir persona moral. La separación patrimonial ayuda, pero la responsabilidad penal sigue siendo personal del representante legal.</w:t>
      </w:r>
    </w:p>
    <w:p w14:paraId="680CD543" w14:textId="77777777" w:rsidR="00A062A9" w:rsidRDefault="00A062A9" w:rsidP="00A062A9">
      <w:pPr>
        <w:jc w:val="both"/>
      </w:pPr>
      <w:r w:rsidRPr="00A062A9">
        <w:rPr>
          <w:b/>
          <w:bCs/>
        </w:rPr>
        <w:t>Nota final para el asesor fiscal:</w:t>
      </w:r>
      <w:r w:rsidRPr="00A062A9">
        <w:t> El derecho penal fiscal no es un adorno. Cuando hay engaño y perjuicio, la prisión es real. La dueña del comedor creyó que su contador la protegería. Creyó que declarar menos era solo "una estrategia". Creyó que su edad la protegería. El Tribunal le dijo: "La ley no protege a quien engaña al fisco. La ley castiga". La FIEL es la prueba de la responsabilidad penal. Quien firma con su FIEL asume la responsabilidad de lo declarado. No se puede delegar. El contador puede preparar la declaración, pero el cliente debe revisarla y autorizarla antes de firmar. La edad no perdona. La empresaria tenía 63 años. La prisión se cumplió. Ajuste sus espejos. Revise las declaraciones de su cliente. No delegue su libertad.</w:t>
      </w:r>
    </w:p>
    <w:p w14:paraId="332DA06C" w14:textId="77777777" w:rsidR="005F212A" w:rsidRDefault="005F212A" w:rsidP="00D97DEA">
      <w:pPr>
        <w:jc w:val="both"/>
        <w:rPr>
          <w:b/>
          <w:bCs/>
        </w:rPr>
      </w:pPr>
    </w:p>
    <w:p w14:paraId="02B38644" w14:textId="77777777" w:rsidR="005F212A" w:rsidRDefault="005F212A" w:rsidP="00D97DEA">
      <w:pPr>
        <w:jc w:val="both"/>
        <w:rPr>
          <w:b/>
          <w:bCs/>
        </w:rPr>
      </w:pPr>
    </w:p>
    <w:p w14:paraId="7C9A2F50" w14:textId="77777777" w:rsidR="005F212A" w:rsidRDefault="005F212A" w:rsidP="00D97DEA">
      <w:pPr>
        <w:jc w:val="both"/>
        <w:rPr>
          <w:b/>
          <w:bCs/>
        </w:rPr>
      </w:pPr>
    </w:p>
    <w:p w14:paraId="6013D98F" w14:textId="77777777" w:rsidR="005F212A" w:rsidRDefault="005F212A" w:rsidP="00D97DEA">
      <w:pPr>
        <w:jc w:val="both"/>
        <w:rPr>
          <w:b/>
          <w:bCs/>
        </w:rPr>
      </w:pPr>
    </w:p>
    <w:p w14:paraId="0E09BF7E" w14:textId="77777777" w:rsidR="005F212A" w:rsidRDefault="005F212A" w:rsidP="00D97DEA">
      <w:pPr>
        <w:jc w:val="both"/>
        <w:rPr>
          <w:b/>
          <w:bCs/>
        </w:rPr>
      </w:pPr>
    </w:p>
    <w:p w14:paraId="60ECA32D" w14:textId="77777777" w:rsidR="005F212A" w:rsidRDefault="005F212A" w:rsidP="00D97DEA">
      <w:pPr>
        <w:jc w:val="both"/>
        <w:rPr>
          <w:b/>
          <w:bCs/>
        </w:rPr>
      </w:pPr>
    </w:p>
    <w:p w14:paraId="4683237D" w14:textId="77777777" w:rsidR="005F212A" w:rsidRDefault="005F212A" w:rsidP="00D97DEA">
      <w:pPr>
        <w:jc w:val="both"/>
        <w:rPr>
          <w:b/>
          <w:bCs/>
        </w:rPr>
      </w:pPr>
    </w:p>
    <w:sectPr w:rsidR="005F212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FF4"/>
    <w:multiLevelType w:val="multilevel"/>
    <w:tmpl w:val="98B2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63912"/>
    <w:multiLevelType w:val="multilevel"/>
    <w:tmpl w:val="3EF6D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67EA6"/>
    <w:multiLevelType w:val="multilevel"/>
    <w:tmpl w:val="FEC0C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0F59E8"/>
    <w:multiLevelType w:val="multilevel"/>
    <w:tmpl w:val="DC6CB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880022"/>
    <w:multiLevelType w:val="multilevel"/>
    <w:tmpl w:val="A3ACA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DA4246"/>
    <w:multiLevelType w:val="multilevel"/>
    <w:tmpl w:val="912E3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72C1C"/>
    <w:multiLevelType w:val="multilevel"/>
    <w:tmpl w:val="B31A9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6C4237"/>
    <w:multiLevelType w:val="multilevel"/>
    <w:tmpl w:val="E836E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B50FD2"/>
    <w:multiLevelType w:val="multilevel"/>
    <w:tmpl w:val="5DC61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DF73D4"/>
    <w:multiLevelType w:val="multilevel"/>
    <w:tmpl w:val="B8A07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6A4413"/>
    <w:multiLevelType w:val="multilevel"/>
    <w:tmpl w:val="B26ED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907096"/>
    <w:multiLevelType w:val="multilevel"/>
    <w:tmpl w:val="0E203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3E02F2"/>
    <w:multiLevelType w:val="multilevel"/>
    <w:tmpl w:val="4D0E6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B25598"/>
    <w:multiLevelType w:val="multilevel"/>
    <w:tmpl w:val="E7E61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C80449"/>
    <w:multiLevelType w:val="multilevel"/>
    <w:tmpl w:val="3DBA5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EE296A"/>
    <w:multiLevelType w:val="multilevel"/>
    <w:tmpl w:val="0B28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F227D0"/>
    <w:multiLevelType w:val="multilevel"/>
    <w:tmpl w:val="2AF2F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396FAE"/>
    <w:multiLevelType w:val="multilevel"/>
    <w:tmpl w:val="5BF41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7C0F11"/>
    <w:multiLevelType w:val="multilevel"/>
    <w:tmpl w:val="6BBA5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D9152D"/>
    <w:multiLevelType w:val="multilevel"/>
    <w:tmpl w:val="3480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AB7337"/>
    <w:multiLevelType w:val="multilevel"/>
    <w:tmpl w:val="D13C9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625E71"/>
    <w:multiLevelType w:val="multilevel"/>
    <w:tmpl w:val="B4720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A93E13"/>
    <w:multiLevelType w:val="multilevel"/>
    <w:tmpl w:val="43826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033C4C"/>
    <w:multiLevelType w:val="multilevel"/>
    <w:tmpl w:val="E0A8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9B60B0"/>
    <w:multiLevelType w:val="multilevel"/>
    <w:tmpl w:val="0AE2C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064971"/>
    <w:multiLevelType w:val="multilevel"/>
    <w:tmpl w:val="6A7A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A40393"/>
    <w:multiLevelType w:val="multilevel"/>
    <w:tmpl w:val="B89E2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DD7F28"/>
    <w:multiLevelType w:val="multilevel"/>
    <w:tmpl w:val="D9EEF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2D7E9F"/>
    <w:multiLevelType w:val="multilevel"/>
    <w:tmpl w:val="EA8A5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DB1872"/>
    <w:multiLevelType w:val="multilevel"/>
    <w:tmpl w:val="1DEC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1E226F"/>
    <w:multiLevelType w:val="multilevel"/>
    <w:tmpl w:val="4DBA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DD527A"/>
    <w:multiLevelType w:val="multilevel"/>
    <w:tmpl w:val="8D7A1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9732DFE"/>
    <w:multiLevelType w:val="multilevel"/>
    <w:tmpl w:val="33BE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CF40AD"/>
    <w:multiLevelType w:val="multilevel"/>
    <w:tmpl w:val="D256D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3F097D"/>
    <w:multiLevelType w:val="multilevel"/>
    <w:tmpl w:val="53B0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6C3321"/>
    <w:multiLevelType w:val="multilevel"/>
    <w:tmpl w:val="821CF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0EA15EF"/>
    <w:multiLevelType w:val="multilevel"/>
    <w:tmpl w:val="35DC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09292F"/>
    <w:multiLevelType w:val="multilevel"/>
    <w:tmpl w:val="49D4D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4C7A37"/>
    <w:multiLevelType w:val="multilevel"/>
    <w:tmpl w:val="EA6A9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5C1843"/>
    <w:multiLevelType w:val="multilevel"/>
    <w:tmpl w:val="CCC2C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6F906CD"/>
    <w:multiLevelType w:val="multilevel"/>
    <w:tmpl w:val="4582E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71C3B58"/>
    <w:multiLevelType w:val="multilevel"/>
    <w:tmpl w:val="B516A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814684D"/>
    <w:multiLevelType w:val="multilevel"/>
    <w:tmpl w:val="5FEE8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AAF5D97"/>
    <w:multiLevelType w:val="multilevel"/>
    <w:tmpl w:val="48A08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ACB01BF"/>
    <w:multiLevelType w:val="multilevel"/>
    <w:tmpl w:val="48403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CE7CEC"/>
    <w:multiLevelType w:val="multilevel"/>
    <w:tmpl w:val="9CC23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E87A62"/>
    <w:multiLevelType w:val="multilevel"/>
    <w:tmpl w:val="C1789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445BE9"/>
    <w:multiLevelType w:val="multilevel"/>
    <w:tmpl w:val="A3CA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1B1C8A"/>
    <w:multiLevelType w:val="multilevel"/>
    <w:tmpl w:val="321CC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2A67832"/>
    <w:multiLevelType w:val="multilevel"/>
    <w:tmpl w:val="C930C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A67BC2"/>
    <w:multiLevelType w:val="multilevel"/>
    <w:tmpl w:val="12AA8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2DC7E7D"/>
    <w:multiLevelType w:val="multilevel"/>
    <w:tmpl w:val="AB486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73C63F0"/>
    <w:multiLevelType w:val="multilevel"/>
    <w:tmpl w:val="60144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81A2DF4"/>
    <w:multiLevelType w:val="multilevel"/>
    <w:tmpl w:val="7062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696717"/>
    <w:multiLevelType w:val="multilevel"/>
    <w:tmpl w:val="436E4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CF1580"/>
    <w:multiLevelType w:val="multilevel"/>
    <w:tmpl w:val="077EE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BA3554C"/>
    <w:multiLevelType w:val="multilevel"/>
    <w:tmpl w:val="11228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C8815E9"/>
    <w:multiLevelType w:val="multilevel"/>
    <w:tmpl w:val="5D388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7017199"/>
    <w:multiLevelType w:val="multilevel"/>
    <w:tmpl w:val="A8868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A6444DE"/>
    <w:multiLevelType w:val="multilevel"/>
    <w:tmpl w:val="64FED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BA01FD6"/>
    <w:multiLevelType w:val="multilevel"/>
    <w:tmpl w:val="2C725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BFB5DB3"/>
    <w:multiLevelType w:val="multilevel"/>
    <w:tmpl w:val="E41CC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CFF43EF"/>
    <w:multiLevelType w:val="multilevel"/>
    <w:tmpl w:val="F46C7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EF163D5"/>
    <w:multiLevelType w:val="multilevel"/>
    <w:tmpl w:val="4BB24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6184A24"/>
    <w:multiLevelType w:val="multilevel"/>
    <w:tmpl w:val="FEF83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6821CAA"/>
    <w:multiLevelType w:val="multilevel"/>
    <w:tmpl w:val="983CE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6DF278E"/>
    <w:multiLevelType w:val="multilevel"/>
    <w:tmpl w:val="7CF40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7555B89"/>
    <w:multiLevelType w:val="multilevel"/>
    <w:tmpl w:val="D81E7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9B150B3"/>
    <w:multiLevelType w:val="multilevel"/>
    <w:tmpl w:val="61B0F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9CB3AE6"/>
    <w:multiLevelType w:val="multilevel"/>
    <w:tmpl w:val="7E482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D4633F6"/>
    <w:multiLevelType w:val="multilevel"/>
    <w:tmpl w:val="52B2C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3353460">
    <w:abstractNumId w:val="0"/>
  </w:num>
  <w:num w:numId="2" w16cid:durableId="440611478">
    <w:abstractNumId w:val="15"/>
  </w:num>
  <w:num w:numId="3" w16cid:durableId="637229726">
    <w:abstractNumId w:val="30"/>
  </w:num>
  <w:num w:numId="4" w16cid:durableId="402608568">
    <w:abstractNumId w:val="23"/>
  </w:num>
  <w:num w:numId="5" w16cid:durableId="1379668523">
    <w:abstractNumId w:val="36"/>
  </w:num>
  <w:num w:numId="6" w16cid:durableId="1638728758">
    <w:abstractNumId w:val="29"/>
  </w:num>
  <w:num w:numId="7" w16cid:durableId="1655404337">
    <w:abstractNumId w:val="25"/>
  </w:num>
  <w:num w:numId="8" w16cid:durableId="704327956">
    <w:abstractNumId w:val="53"/>
  </w:num>
  <w:num w:numId="9" w16cid:durableId="972322367">
    <w:abstractNumId w:val="57"/>
  </w:num>
  <w:num w:numId="10" w16cid:durableId="773553082">
    <w:abstractNumId w:val="17"/>
  </w:num>
  <w:num w:numId="11" w16cid:durableId="1684430335">
    <w:abstractNumId w:val="59"/>
  </w:num>
  <w:num w:numId="12" w16cid:durableId="1372651531">
    <w:abstractNumId w:val="61"/>
  </w:num>
  <w:num w:numId="13" w16cid:durableId="185485165">
    <w:abstractNumId w:val="48"/>
  </w:num>
  <w:num w:numId="14" w16cid:durableId="2130782197">
    <w:abstractNumId w:val="51"/>
  </w:num>
  <w:num w:numId="15" w16cid:durableId="195699741">
    <w:abstractNumId w:val="2"/>
  </w:num>
  <w:num w:numId="16" w16cid:durableId="2124957130">
    <w:abstractNumId w:val="22"/>
  </w:num>
  <w:num w:numId="17" w16cid:durableId="592671325">
    <w:abstractNumId w:val="5"/>
  </w:num>
  <w:num w:numId="18" w16cid:durableId="1535534921">
    <w:abstractNumId w:val="40"/>
  </w:num>
  <w:num w:numId="19" w16cid:durableId="1155876350">
    <w:abstractNumId w:val="26"/>
  </w:num>
  <w:num w:numId="20" w16cid:durableId="541141102">
    <w:abstractNumId w:val="54"/>
  </w:num>
  <w:num w:numId="21" w16cid:durableId="1363820949">
    <w:abstractNumId w:val="55"/>
  </w:num>
  <w:num w:numId="22" w16cid:durableId="1170369384">
    <w:abstractNumId w:val="20"/>
  </w:num>
  <w:num w:numId="23" w16cid:durableId="1053771071">
    <w:abstractNumId w:val="41"/>
  </w:num>
  <w:num w:numId="24" w16cid:durableId="102043518">
    <w:abstractNumId w:val="7"/>
  </w:num>
  <w:num w:numId="25" w16cid:durableId="40713211">
    <w:abstractNumId w:val="6"/>
  </w:num>
  <w:num w:numId="26" w16cid:durableId="1757818950">
    <w:abstractNumId w:val="50"/>
  </w:num>
  <w:num w:numId="27" w16cid:durableId="853106501">
    <w:abstractNumId w:val="33"/>
  </w:num>
  <w:num w:numId="28" w16cid:durableId="1446189350">
    <w:abstractNumId w:val="18"/>
  </w:num>
  <w:num w:numId="29" w16cid:durableId="688683991">
    <w:abstractNumId w:val="1"/>
  </w:num>
  <w:num w:numId="30" w16cid:durableId="1333991750">
    <w:abstractNumId w:val="44"/>
  </w:num>
  <w:num w:numId="31" w16cid:durableId="2127187228">
    <w:abstractNumId w:val="43"/>
  </w:num>
  <w:num w:numId="32" w16cid:durableId="20404794">
    <w:abstractNumId w:val="62"/>
  </w:num>
  <w:num w:numId="33" w16cid:durableId="850069560">
    <w:abstractNumId w:val="68"/>
  </w:num>
  <w:num w:numId="34" w16cid:durableId="590746608">
    <w:abstractNumId w:val="65"/>
  </w:num>
  <w:num w:numId="35" w16cid:durableId="1389303499">
    <w:abstractNumId w:val="9"/>
  </w:num>
  <w:num w:numId="36" w16cid:durableId="1162694542">
    <w:abstractNumId w:val="8"/>
  </w:num>
  <w:num w:numId="37" w16cid:durableId="1638105027">
    <w:abstractNumId w:val="38"/>
  </w:num>
  <w:num w:numId="38" w16cid:durableId="726494901">
    <w:abstractNumId w:val="37"/>
  </w:num>
  <w:num w:numId="39" w16cid:durableId="303120568">
    <w:abstractNumId w:val="66"/>
  </w:num>
  <w:num w:numId="40" w16cid:durableId="515390215">
    <w:abstractNumId w:val="3"/>
  </w:num>
  <w:num w:numId="41" w16cid:durableId="319429266">
    <w:abstractNumId w:val="42"/>
  </w:num>
  <w:num w:numId="42" w16cid:durableId="1868979384">
    <w:abstractNumId w:val="69"/>
  </w:num>
  <w:num w:numId="43" w16cid:durableId="796802593">
    <w:abstractNumId w:val="49"/>
  </w:num>
  <w:num w:numId="44" w16cid:durableId="364063850">
    <w:abstractNumId w:val="27"/>
  </w:num>
  <w:num w:numId="45" w16cid:durableId="2137484985">
    <w:abstractNumId w:val="4"/>
  </w:num>
  <w:num w:numId="46" w16cid:durableId="1742799596">
    <w:abstractNumId w:val="70"/>
  </w:num>
  <w:num w:numId="47" w16cid:durableId="1904483194">
    <w:abstractNumId w:val="46"/>
  </w:num>
  <w:num w:numId="48" w16cid:durableId="605233758">
    <w:abstractNumId w:val="39"/>
  </w:num>
  <w:num w:numId="49" w16cid:durableId="1682124227">
    <w:abstractNumId w:val="12"/>
  </w:num>
  <w:num w:numId="50" w16cid:durableId="1417286860">
    <w:abstractNumId w:val="35"/>
  </w:num>
  <w:num w:numId="51" w16cid:durableId="1216159042">
    <w:abstractNumId w:val="11"/>
  </w:num>
  <w:num w:numId="52" w16cid:durableId="1751728086">
    <w:abstractNumId w:val="10"/>
  </w:num>
  <w:num w:numId="53" w16cid:durableId="1162232154">
    <w:abstractNumId w:val="24"/>
  </w:num>
  <w:num w:numId="54" w16cid:durableId="267002942">
    <w:abstractNumId w:val="52"/>
  </w:num>
  <w:num w:numId="55" w16cid:durableId="1460732194">
    <w:abstractNumId w:val="13"/>
  </w:num>
  <w:num w:numId="56" w16cid:durableId="762604360">
    <w:abstractNumId w:val="16"/>
  </w:num>
  <w:num w:numId="57" w16cid:durableId="1547134863">
    <w:abstractNumId w:val="64"/>
  </w:num>
  <w:num w:numId="58" w16cid:durableId="203373884">
    <w:abstractNumId w:val="14"/>
  </w:num>
  <w:num w:numId="59" w16cid:durableId="224489648">
    <w:abstractNumId w:val="67"/>
  </w:num>
  <w:num w:numId="60" w16cid:durableId="241722933">
    <w:abstractNumId w:val="63"/>
  </w:num>
  <w:num w:numId="61" w16cid:durableId="264534341">
    <w:abstractNumId w:val="45"/>
  </w:num>
  <w:num w:numId="62" w16cid:durableId="668139652">
    <w:abstractNumId w:val="21"/>
  </w:num>
  <w:num w:numId="63" w16cid:durableId="1290435394">
    <w:abstractNumId w:val="60"/>
  </w:num>
  <w:num w:numId="64" w16cid:durableId="1869290535">
    <w:abstractNumId w:val="58"/>
  </w:num>
  <w:num w:numId="65" w16cid:durableId="880476646">
    <w:abstractNumId w:val="31"/>
  </w:num>
  <w:num w:numId="66" w16cid:durableId="1153838905">
    <w:abstractNumId w:val="28"/>
  </w:num>
  <w:num w:numId="67" w16cid:durableId="2111973779">
    <w:abstractNumId w:val="47"/>
  </w:num>
  <w:num w:numId="68" w16cid:durableId="1705054624">
    <w:abstractNumId w:val="32"/>
  </w:num>
  <w:num w:numId="69" w16cid:durableId="227690371">
    <w:abstractNumId w:val="19"/>
  </w:num>
  <w:num w:numId="70" w16cid:durableId="1557089603">
    <w:abstractNumId w:val="34"/>
  </w:num>
  <w:num w:numId="71" w16cid:durableId="1105078205">
    <w:abstractNumId w:val="56"/>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BFB"/>
    <w:rsid w:val="000F7818"/>
    <w:rsid w:val="001165BF"/>
    <w:rsid w:val="00121D4A"/>
    <w:rsid w:val="002119B5"/>
    <w:rsid w:val="002960B5"/>
    <w:rsid w:val="003550AF"/>
    <w:rsid w:val="003B6AB5"/>
    <w:rsid w:val="003D4FE7"/>
    <w:rsid w:val="0043687B"/>
    <w:rsid w:val="004A3B6E"/>
    <w:rsid w:val="00577413"/>
    <w:rsid w:val="005F212A"/>
    <w:rsid w:val="006807E0"/>
    <w:rsid w:val="006E3FF6"/>
    <w:rsid w:val="00753405"/>
    <w:rsid w:val="00762372"/>
    <w:rsid w:val="007B2DD7"/>
    <w:rsid w:val="007C32D3"/>
    <w:rsid w:val="0080573B"/>
    <w:rsid w:val="00830580"/>
    <w:rsid w:val="00943145"/>
    <w:rsid w:val="00977051"/>
    <w:rsid w:val="009A5780"/>
    <w:rsid w:val="009E7BFB"/>
    <w:rsid w:val="00A062A9"/>
    <w:rsid w:val="00CD41DF"/>
    <w:rsid w:val="00D97DEA"/>
    <w:rsid w:val="00DD05AD"/>
    <w:rsid w:val="00E04332"/>
    <w:rsid w:val="00E8214C"/>
    <w:rsid w:val="00ED19CD"/>
    <w:rsid w:val="00EF4E9C"/>
    <w:rsid w:val="00FF31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1208F"/>
  <w15:chartTrackingRefBased/>
  <w15:docId w15:val="{4DE75E11-13C0-4DB3-A837-8DE83FE6F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BFB"/>
  </w:style>
  <w:style w:type="paragraph" w:styleId="Ttulo1">
    <w:name w:val="heading 1"/>
    <w:basedOn w:val="Normal"/>
    <w:next w:val="Normal"/>
    <w:link w:val="Ttulo1Car"/>
    <w:uiPriority w:val="9"/>
    <w:qFormat/>
    <w:rsid w:val="009E7B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E7B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E7B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E7B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E7B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E7B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7B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7B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7B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7B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E7B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E7B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E7B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E7B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E7B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7B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7B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7BFB"/>
    <w:rPr>
      <w:rFonts w:eastAsiaTheme="majorEastAsia" w:cstheme="majorBidi"/>
      <w:color w:val="272727" w:themeColor="text1" w:themeTint="D8"/>
    </w:rPr>
  </w:style>
  <w:style w:type="paragraph" w:styleId="Ttulo">
    <w:name w:val="Title"/>
    <w:basedOn w:val="Normal"/>
    <w:next w:val="Normal"/>
    <w:link w:val="TtuloCar"/>
    <w:uiPriority w:val="10"/>
    <w:qFormat/>
    <w:rsid w:val="009E7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7B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7B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7B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7BFB"/>
    <w:pPr>
      <w:spacing w:before="160"/>
      <w:jc w:val="center"/>
    </w:pPr>
    <w:rPr>
      <w:i/>
      <w:iCs/>
      <w:color w:val="404040" w:themeColor="text1" w:themeTint="BF"/>
    </w:rPr>
  </w:style>
  <w:style w:type="character" w:customStyle="1" w:styleId="CitaCar">
    <w:name w:val="Cita Car"/>
    <w:basedOn w:val="Fuentedeprrafopredeter"/>
    <w:link w:val="Cita"/>
    <w:uiPriority w:val="29"/>
    <w:rsid w:val="009E7BFB"/>
    <w:rPr>
      <w:i/>
      <w:iCs/>
      <w:color w:val="404040" w:themeColor="text1" w:themeTint="BF"/>
    </w:rPr>
  </w:style>
  <w:style w:type="paragraph" w:styleId="Prrafodelista">
    <w:name w:val="List Paragraph"/>
    <w:basedOn w:val="Normal"/>
    <w:uiPriority w:val="34"/>
    <w:qFormat/>
    <w:rsid w:val="009E7BFB"/>
    <w:pPr>
      <w:ind w:left="720"/>
      <w:contextualSpacing/>
    </w:pPr>
  </w:style>
  <w:style w:type="character" w:styleId="nfasisintenso">
    <w:name w:val="Intense Emphasis"/>
    <w:basedOn w:val="Fuentedeprrafopredeter"/>
    <w:uiPriority w:val="21"/>
    <w:qFormat/>
    <w:rsid w:val="009E7BFB"/>
    <w:rPr>
      <w:i/>
      <w:iCs/>
      <w:color w:val="0F4761" w:themeColor="accent1" w:themeShade="BF"/>
    </w:rPr>
  </w:style>
  <w:style w:type="paragraph" w:styleId="Citadestacada">
    <w:name w:val="Intense Quote"/>
    <w:basedOn w:val="Normal"/>
    <w:next w:val="Normal"/>
    <w:link w:val="CitadestacadaCar"/>
    <w:uiPriority w:val="30"/>
    <w:qFormat/>
    <w:rsid w:val="009E7B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E7BFB"/>
    <w:rPr>
      <w:i/>
      <w:iCs/>
      <w:color w:val="0F4761" w:themeColor="accent1" w:themeShade="BF"/>
    </w:rPr>
  </w:style>
  <w:style w:type="character" w:styleId="Referenciaintensa">
    <w:name w:val="Intense Reference"/>
    <w:basedOn w:val="Fuentedeprrafopredeter"/>
    <w:uiPriority w:val="32"/>
    <w:qFormat/>
    <w:rsid w:val="009E7BFB"/>
    <w:rPr>
      <w:b/>
      <w:bCs/>
      <w:smallCaps/>
      <w:color w:val="0F4761" w:themeColor="accent1" w:themeShade="BF"/>
      <w:spacing w:val="5"/>
    </w:rPr>
  </w:style>
  <w:style w:type="character" w:styleId="Hipervnculo">
    <w:name w:val="Hyperlink"/>
    <w:basedOn w:val="Fuentedeprrafopredeter"/>
    <w:uiPriority w:val="99"/>
    <w:unhideWhenUsed/>
    <w:rsid w:val="006E3FF6"/>
    <w:rPr>
      <w:color w:val="467886" w:themeColor="hyperlink"/>
      <w:u w:val="single"/>
    </w:rPr>
  </w:style>
  <w:style w:type="character" w:styleId="Mencinsinresolver">
    <w:name w:val="Unresolved Mention"/>
    <w:basedOn w:val="Fuentedeprrafopredeter"/>
    <w:uiPriority w:val="99"/>
    <w:semiHidden/>
    <w:unhideWhenUsed/>
    <w:rsid w:val="006E3F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ij.unam.mx/" TargetMode="External"/><Relationship Id="rId5" Type="http://schemas.openxmlformats.org/officeDocument/2006/relationships/hyperlink" Target="https://www.scjn.gob.mx/"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108</Pages>
  <Words>34131</Words>
  <Characters>187724</Characters>
  <Application>Microsoft Office Word</Application>
  <DocSecurity>0</DocSecurity>
  <Lines>1564</Lines>
  <Paragraphs>442</Paragraphs>
  <ScaleCrop>false</ScaleCrop>
  <Company/>
  <LinksUpToDate>false</LinksUpToDate>
  <CharactersWithSpaces>221413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Jesús Sánchez</dc:creator>
  <cp:keywords/>
  <dc:description/>
  <cp:lastModifiedBy>Jesús Sánchez</cp:lastModifiedBy>
  <cp:revision>8</cp:revision>
  <dcterms:created xsi:type="dcterms:W3CDTF">2026-06-12T23:07:00Z</dcterms:created>
  <dcterms:modified xsi:type="dcterms:W3CDTF">2026-06-13T19:46:00Z</dcterms:modified>
</cp:coreProperties>
</file>