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7DB06" w14:textId="77777777" w:rsidR="008D767F" w:rsidRDefault="008D767F" w:rsidP="008D767F">
      <w:pPr>
        <w:spacing w:line="480" w:lineRule="auto"/>
        <w:jc w:val="center"/>
        <w:rPr>
          <w:rFonts w:ascii="Times New Roman" w:hAnsi="Times New Roman" w:cs="Times New Roman"/>
          <w:b/>
          <w:bCs/>
        </w:rPr>
      </w:pPr>
    </w:p>
    <w:p w14:paraId="37831E27" w14:textId="77777777" w:rsidR="008D767F" w:rsidRDefault="008D767F" w:rsidP="008D767F">
      <w:pPr>
        <w:spacing w:line="480" w:lineRule="auto"/>
        <w:jc w:val="center"/>
        <w:rPr>
          <w:rFonts w:ascii="Times New Roman" w:hAnsi="Times New Roman" w:cs="Times New Roman"/>
          <w:b/>
          <w:bCs/>
        </w:rPr>
      </w:pPr>
    </w:p>
    <w:p w14:paraId="7AC9E880" w14:textId="77777777" w:rsidR="008D767F" w:rsidRDefault="008D767F" w:rsidP="008D767F">
      <w:pPr>
        <w:spacing w:line="480" w:lineRule="auto"/>
        <w:jc w:val="center"/>
        <w:rPr>
          <w:rFonts w:ascii="Times New Roman" w:hAnsi="Times New Roman" w:cs="Times New Roman"/>
          <w:b/>
          <w:bCs/>
        </w:rPr>
      </w:pPr>
    </w:p>
    <w:p w14:paraId="569DA6EF" w14:textId="00F6DD38" w:rsidR="00DE6732" w:rsidRDefault="008D767F" w:rsidP="008D767F">
      <w:pPr>
        <w:spacing w:line="480" w:lineRule="auto"/>
        <w:jc w:val="center"/>
        <w:rPr>
          <w:rFonts w:ascii="Times New Roman" w:hAnsi="Times New Roman" w:cs="Times New Roman"/>
        </w:rPr>
      </w:pPr>
      <w:r>
        <w:rPr>
          <w:rFonts w:ascii="Times New Roman" w:hAnsi="Times New Roman" w:cs="Times New Roman"/>
          <w:b/>
          <w:bCs/>
        </w:rPr>
        <w:t xml:space="preserve">Sistema Web para el soporte de la toma de decisiones de Inventario Multisede en una Empresa Comercializadora Retail Barcelona, Municipio Simón Bolívar, Estado Anzoátegui, 2027</w:t>
      </w:r>
      <w:r>
        <w:rPr>
          <w:rFonts w:ascii="Times New Roman" w:hAnsi="Times New Roman" w:cs="Times New Roman"/>
        </w:rPr>
        <w:t>.</w:t>
      </w:r>
    </w:p>
    <w:p w14:paraId="4DA3E754" w14:textId="77777777" w:rsidR="008D767F" w:rsidRPr="008D767F" w:rsidRDefault="008D767F" w:rsidP="008D767F">
      <w:pPr>
        <w:spacing w:line="480" w:lineRule="auto"/>
        <w:jc w:val="center"/>
        <w:rPr>
          <w:rFonts w:ascii="Times New Roman" w:hAnsi="Times New Roman" w:cs="Times New Roman"/>
        </w:rPr>
      </w:pPr>
    </w:p>
    <w:p w14:paraId="069F4753" w14:textId="049E8A69" w:rsidR="008D767F" w:rsidRPr="008D767F" w:rsidRDefault="008D767F" w:rsidP="008D767F">
      <w:pPr>
        <w:spacing w:line="480" w:lineRule="auto"/>
        <w:jc w:val="center"/>
        <w:rPr>
          <w:rFonts w:ascii="Times New Roman" w:hAnsi="Times New Roman" w:cs="Times New Roman"/>
        </w:rPr>
      </w:pPr>
      <w:r>
        <w:rPr>
          <w:rFonts w:ascii="Times New Roman" w:hAnsi="Times New Roman" w:cs="Times New Roman"/>
        </w:rPr>
        <w:t>Jesús Aureliano Ventura González</w:t>
      </w:r>
    </w:p>
    <w:p w14:paraId="4F71D0E2" w14:textId="4234534A" w:rsidR="008D767F" w:rsidRPr="008D767F" w:rsidRDefault="008D767F" w:rsidP="008D767F">
      <w:pPr>
        <w:spacing w:line="480" w:lineRule="auto"/>
        <w:jc w:val="center"/>
        <w:rPr>
          <w:rFonts w:ascii="Times New Roman" w:hAnsi="Times New Roman" w:cs="Times New Roman"/>
        </w:rPr>
      </w:pPr>
      <w:r>
        <w:rPr>
          <w:rFonts w:ascii="Times New Roman" w:hAnsi="Times New Roman" w:cs="Times New Roman"/>
        </w:rPr>
        <w:t xml:space="preserve">Facultad de Ingeniería, Universidad Santa María Núcleo-Oriente</w:t>
      </w:r>
    </w:p>
    <w:p w14:paraId="1D20D235" w14:textId="4BF3B8AE" w:rsidR="008D767F" w:rsidRDefault="008D767F" w:rsidP="008D767F">
      <w:pPr>
        <w:spacing w:line="480" w:lineRule="auto"/>
        <w:jc w:val="center"/>
        <w:rPr>
          <w:rFonts w:ascii="Times New Roman" w:hAnsi="Times New Roman" w:cs="Times New Roman"/>
        </w:rPr>
      </w:pPr>
      <w:r>
        <w:rPr>
          <w:rFonts w:ascii="Times New Roman" w:hAnsi="Times New Roman" w:cs="Times New Roman"/>
        </w:rPr>
        <w:t xml:space="preserve">Ing. Aquiles Torrealba</w:t>
      </w:r>
    </w:p>
    <w:p w14:paraId="1C94BA71" w14:textId="12A9DA08" w:rsidR="008D767F" w:rsidRDefault="008D767F" w:rsidP="008D767F">
      <w:pPr>
        <w:spacing w:line="480" w:lineRule="auto"/>
        <w:jc w:val="center"/>
        <w:rPr>
          <w:rFonts w:ascii="Times New Roman" w:hAnsi="Times New Roman" w:cs="Times New Roman"/>
        </w:rPr>
      </w:pPr>
      <w:r>
        <w:rPr>
          <w:rFonts w:ascii="Times New Roman" w:hAnsi="Times New Roman" w:cs="Times New Roman"/>
        </w:rPr>
        <w:t xml:space="preserve">25 de septiembre de 2026</w:t>
      </w:r>
    </w:p>
    <w:p w14:paraId="027EF6C3" w14:textId="77777777" w:rsidR="00617CF4" w:rsidRDefault="008D767F" w:rsidP="00617CF4">
      <w:pPr>
        <w:pStyle w:val="Ttulo1"/>
        <w:numPr>
          <w:ilvl w:val="0"/>
          <w:numId w:val="0"/>
        </w:numPr>
        <w:ind w:left="720"/>
        <w:jc w:val="center"/>
      </w:pPr>
      <w:r>
        <w:rPr>
          <w:lang w:val="es-VE"/>
        </w:rPr>
        <w:br w:type="page"/>
      </w:r>
      <w:r>
        <w:lastRenderedPageBreak/>
        <w:t xml:space="preserve">CAPITULO I </w:t>
      </w:r>
    </w:p>
    <w:p w14:paraId="7D6EF288" w14:textId="73258C29" w:rsidR="008D767F" w:rsidRPr="00617CF4" w:rsidRDefault="00617CF4" w:rsidP="00617CF4">
      <w:pPr>
        <w:pStyle w:val="Ttulo1"/>
        <w:numPr>
          <w:ilvl w:val="0"/>
          <w:numId w:val="0"/>
        </w:numPr>
        <w:ind w:left="720"/>
        <w:jc w:val="center"/>
        <w:rPr>
          <w:lang w:val="es-VE"/>
        </w:rPr>
      </w:pPr>
      <w:r>
        <w:rPr>
          <w:lang w:val="es-VE"/>
        </w:rPr>
        <w:t>EL PROBLEMA</w:t>
      </w:r>
    </w:p>
    <w:p w14:paraId="3655B05F" w14:textId="6C10A976" w:rsidR="008D767F" w:rsidRDefault="008D767F" w:rsidP="00617CF4">
      <w:pPr>
        <w:pStyle w:val="Ttulo2"/>
      </w:pPr>
      <w:r>
        <w:t xml:space="preserve">Planteamiento del Problema</w:t>
      </w:r>
    </w:p>
    <w:p w14:paraId="05A74036" w14:textId="6B524C7D" w:rsidR="00253685" w:rsidRPr="00253685" w:rsidRDefault="00253685" w:rsidP="00253685">
      <w:pPr>
        <w:pStyle w:val="APA7"/>
      </w:pPr>
      <w:r>
        <w:t>Un sistema de información es un conjunto de componentes interrelacion</w:t>
      </w:r>
      <w:commentRangeStart w:id="0"/>
      <w:r>
        <w:t xml:space="preserve">ados </w:t>
      </w:r>
      <w:commentRangeEnd w:id="0"/>
      <w:r>
        <w:rPr>
          <w:rStyle w:val="Refdecomentario"/>
          <w:rFonts w:asciiTheme="minorHAnsi" w:hAnsiTheme="minorHAnsi"/>
        </w:rPr>
        <w:commentReference w:id="0"/>
      </w:r>
      <w:r>
        <w:t>(personas, procesos, datos y tecnología) que recopilan, procesan, almacenan y distribuyen información para apoyar la toma de decisiones y el control en una organización (Laudon &amp; Laudon, 2016). Un sistema web es una aplicación alojada en un servidor y utilizada mediante un navegador, sin instalación en cada equipo, que se comunica con el servidor mediante servicios, comúnmente con estilo arquitectónico REST (Fielding, 2000), y cuya interfaz adaptativa se ajusta al tamaño del dispositivo (Marcotte, 2010). En este trabajo, ambos conceptos convergen en un sistema de información web que soporta el flujo logístico de inventario entre sedes y entrega a la gerencia la información necesaria para decidir reposiciones.</w:t>
      </w:r>
    </w:p>
    <w:p w14:paraId="27303F03" w14:textId="414A2719" w:rsidR="00817E61" w:rsidRPr="00817E61" w:rsidRDefault="0058016A" w:rsidP="000606B3">
      <w:pPr>
        <w:spacing w:line="360" w:lineRule="auto"/>
        <w:ind w:firstLine="360"/>
        <w:jc w:val="both"/>
        <w:rPr>
          <w:rFonts w:ascii="Times New Roman" w:hAnsi="Times New Roman"/>
        </w:rPr>
      </w:pPr>
      <w:r>
        <w:rPr>
          <w:rFonts w:ascii="Times New Roman" w:hAnsi="Times New Roman"/>
        </w:rPr>
        <w:t xml:space="preserve">  A nivel global, la dinámica comercial del sector retail exige una gestión logística altamente eficiente para mantener la competitividad y garantizar la rentabilidad operativa. En la actualidad, la cadena de suministro y la administración de inventarios en entornos corporativos de múltiples sucursales representan un desafío crítico, dado que el éxito del negocio depende directamente de colocar el producto correcto, en la cantidad adecuada, en el lugar preciso y en el momento oportuno. A medida que las organizaciones se expanden y descentralizan sus puntos de venta, se incrementa exponencialmente la complejidad de sus operaciones logísticas internas. Uno de los problemas más recurrentes y costosos a nivel mundial es el fenómeno conocido como inventario fantasma, el cual se manifiesta cuando existen discrepancias significativas entre las existencias teóricas reflejadas en los sistemas contables y la mercancía física real disponible en los anaqueles. Para mitigar este margen de error, las grandes corporaciones han invertido masivamente en Sistemas de Soporte a la Toma de Decisiones, plataformas capaces de auditar los movimientos de la mercancía en tiempo </w:t>
        <w:lastRenderedPageBreak/>
        <w:t>real y aplicar algoritmos de reposición que previenen tanto el quiebre de stock como el sobreabastecimiento, optimizando así el capital de trabajo.</w:t>
      </w:r>
    </w:p>
    <w:p w14:paraId="496D14C4" w14:textId="55267FFB" w:rsidR="00817E61" w:rsidRPr="00817E61" w:rsidRDefault="00817E61" w:rsidP="000606B3">
      <w:pPr>
        <w:spacing w:line="360" w:lineRule="auto"/>
        <w:ind w:firstLine="360"/>
        <w:jc w:val="both"/>
        <w:rPr>
          <w:rFonts w:ascii="Times New Roman" w:hAnsi="Times New Roman"/>
        </w:rPr>
      </w:pPr>
      <w:r>
        <w:rPr>
          <w:rFonts w:ascii="Times New Roman" w:hAnsi="Times New Roman"/>
        </w:rPr>
        <w:t xml:space="preserve">Al trasladar esta realidad al ámbito nacional, las empresas minoristas venezolanas que operan bajo un esquema de sucursales distribuidas se enfrentan a este mismo desafío global, pero condicionado por importantes brechas tecnológicas. Gran parte del sector comercial del país fundamenta sus operaciones en sistemas administrativos y de planificación de recursos empresariales tradicionales que, si bien son sumamente robustos para el procesamiento de la facturación, el control fiscal y la contabilidad corporativa, resultan arquitectónicamente rígidos y limitados para la microgestión de las operaciones internas de almacén. Al carecer de módulos nativos especializados en la logística de piso (es el conjunto de operaciones y procesos que se realizan dentro de la tienda física para asegurar que el producto esté disponible para el cliente en el momento, lugar y cantidad correctos) y en la orquestación ágil de traslados intersucursales, el personal se ve en la necesidad de recurrir a herramientas periféricas para compensar las deficiencias del software principal. Esta falta de adaptación genera una alta dependencia de métodos empíricos y canales de comunicación no estandarizados, tales como hojas de cálculo estáticas, correos electrónicos y aplicaciones de mensajería instantánea, propiciando la creación de islas de información y una preocupante vulnerabilidad en la integridad de los datos.</w:t>
      </w:r>
    </w:p>
    <w:p w14:paraId="59B0FBB5" w14:textId="01E4E53F" w:rsidR="00817E61" w:rsidRPr="00817E61" w:rsidRDefault="00817E61" w:rsidP="000606B3">
      <w:pPr>
        <w:spacing w:line="360" w:lineRule="auto"/>
        <w:ind w:firstLine="360"/>
        <w:jc w:val="both"/>
        <w:rPr>
          <w:rFonts w:ascii="Times New Roman" w:hAnsi="Times New Roman"/>
        </w:rPr>
      </w:pPr>
      <w:r>
        <w:rPr>
          <w:rFonts w:ascii="Times New Roman" w:hAnsi="Times New Roman"/>
        </w:rPr>
        <w:t xml:space="preserve">Específicamente en el contexto operativo de SoriegaGroup 2023, C.A., una organización del sector retail dedicada a la comercialización de artículos para el hogar, productos eléctricos y rubros automotrices a través de múltiples locaciones en Venezuela, esta problemática macroeconómica y tecnológica se manifiesta de forma aguda en sus procesos diarios. La gestión de inventarios y la reposición de mercancía entre las distintas sedes de la empresa sufren de una fragmentación procedimental que impacta directamente en la eficiencia del recurso humano. Actualmente, la empresa no cuenta con una plataforma tecnológica unificada que gestione el ciclo de vida de los requerimientos internos. Cuando se detecta una necesidad de abastecimiento o un </w:t>
        <w:lastRenderedPageBreak/>
        <w:t>quiebre de stock en el piso de ventas de una sucursal, el levantamiento de la solicitud se realiza de manera puramente reactiva y manual, sin un estándar de validación previo.</w:t>
      </w:r>
    </w:p>
    <w:p w14:paraId="42B21794" w14:textId="453B5630" w:rsidR="00817E61" w:rsidRPr="00817E61" w:rsidRDefault="00817E61" w:rsidP="000606B3">
      <w:pPr>
        <w:spacing w:line="360" w:lineRule="auto"/>
        <w:ind w:firstLine="360"/>
        <w:jc w:val="both"/>
        <w:rPr>
          <w:rFonts w:ascii="Times New Roman" w:hAnsi="Times New Roman"/>
        </w:rPr>
      </w:pPr>
      <w:r>
        <w:rPr>
          <w:rFonts w:ascii="Times New Roman" w:hAnsi="Times New Roman"/>
        </w:rPr>
        <w:t>Esta situación sobrecarga significativamente las funciones del departamento de análisis de compras e inventario, obligando al personal a invertir una gran porción de su jornada laboral diaria en labores mecánicas de conciliación de datos. Para poder emitir una orden de traslado o reposición, los analistas deben extraer reportes diarios del sistema administrativo central, consolidar vastos volúmenes de datos en complejas hojas de cálculo e intentar cruzar la información de las distintas sedes empleando fórmulas empíricas para determinar las prioridades de distribución. Este procedimiento manual no solo es susceptible al error humano, sino que retrasa enormemente la capacidad de respuesta logística de la organización frente a las demandas fluctuantes de sus consumidores, generando ineficiencias operativas crónicas.</w:t>
      </w:r>
    </w:p>
    <w:p w14:paraId="2D3214E9" w14:textId="1066410A" w:rsidR="00817E61" w:rsidRPr="00817E61" w:rsidRDefault="00817E61" w:rsidP="000606B3">
      <w:pPr>
        <w:spacing w:line="360" w:lineRule="auto"/>
        <w:ind w:firstLine="360"/>
        <w:jc w:val="both"/>
        <w:rPr>
          <w:rFonts w:ascii="Times New Roman" w:hAnsi="Times New Roman"/>
        </w:rPr>
      </w:pPr>
      <w:r>
        <w:rPr>
          <w:rFonts w:ascii="Times New Roman" w:hAnsi="Times New Roman"/>
        </w:rPr>
        <w:t>Aunado a esto, el proceso de traslado físico de la mercancía padece de una grave falta de trazabilidad. Cuando finalmente se autoriza un movimiento entre sedes, el inventario es descontado de la sucursal de origen y queda en un limbo transaccional a la espera de ser procesado e ingresado manualmente en la sucursal de destino. Durante el tránsito físico de los productos, la organización experimenta un vacío de información, ya que los sistemas actuales carecen de una máquina de estados que audite de forma estricta las fases del traslado. No existe un registro inmutable que certifique en tiempo real quién realizó la solicitud, qué supervisor la aprobó, bajo qué condiciones se despachó la mercancía y, finalmente, quién fue el responsable de su recepción definitiva. Esta deficiencia fomenta el extravío no detectado de artículos, inmoviliza capital y deteriora la confianza en la exactitud de los datos del inventario.</w:t>
      </w:r>
    </w:p>
    <w:p w14:paraId="728D9B64" w14:textId="3DD9DFB2" w:rsidR="00817E61" w:rsidRDefault="00817E61" w:rsidP="000606B3">
      <w:pPr>
        <w:spacing w:line="360" w:lineRule="auto"/>
        <w:ind w:firstLine="360"/>
        <w:jc w:val="both"/>
        <w:rPr>
          <w:rFonts w:ascii="Times New Roman" w:hAnsi="Times New Roman"/>
        </w:rPr>
      </w:pPr>
      <w:r>
        <w:rPr>
          <w:rFonts w:ascii="Times New Roman" w:hAnsi="Times New Roman"/>
        </w:rPr>
        <w:t xml:space="preserve">Frente a este panorama, y con el propósito fundamental de erradicar estas deficiencias operativas, el presente proyecto propone el desarrollo de un sistema web integral para la gestión de solicitudes, aprobaciones, movimientos y recepción de inventario entre las distintas sedes de SoriegaGroup 2023, C.A. La finalidad es </w:t>
        <w:lastRenderedPageBreak/>
        <w:t xml:space="preserve">construir una plataforma centralizada que funcione como un sistema satélite o middleware logístico, capaz de orquestar el flujo de trabajo humano sin intervenir destructivamente en el ecosistema contable existente. Este sistema web proporcionará interfaces adaptativas accesibles desde cualquier navegador, permitiendo que el personal de tienda reporte incidencias y confirme recepciones de mercancía desde el piso de ventas, mientras que el equipo gerencial dispondrá de un panel de control consolidado para aprobar y auditar cada movimiento logístico de manera oportuna.</w:t>
      </w:r>
    </w:p>
    <w:p w14:paraId="69ADFC05" w14:textId="59985105" w:rsidR="001E5325" w:rsidRPr="00817E61" w:rsidRDefault="001E5325" w:rsidP="001E5325">
      <w:pPr>
        <w:pStyle w:val="APA7"/>
      </w:pPr>
      <w:r>
        <w:t>El proyecto se ubica en tres áreas de aplicación: la ingeniería de software y los sistemas de información gerencial, por el desarrollo de una aplicación web bajo un proceso formal; la logística e inventarios, por la gestión de reposiciones, el control de traslados entre sedes y la trazabilidad de la mercancía; y el apoyo a la toma de decisiones, por los indicadores y sugerencias de reposición dirigidos a la gerencia. Su aplicación se circunscribe al sector comercial minorista con varias sucursales.</w:t>
      </w:r>
    </w:p>
    <w:p w14:paraId="2425E11D" w14:textId="77777777" w:rsidR="00577709" w:rsidRDefault="00577709">
      <w:pPr>
        <w:rPr>
          <w:rFonts w:ascii="Times New Roman" w:hAnsi="Times New Roman"/>
        </w:rPr>
      </w:pPr>
      <w:r>
        <w:rPr>
          <w:rFonts w:ascii="Times New Roman" w:hAnsi="Times New Roman"/>
        </w:rPr>
        <w:br w:type="page"/>
      </w:r>
    </w:p>
    <w:p w14:paraId="70B3E231" w14:textId="77777777" w:rsidR="00577709" w:rsidRPr="00577709" w:rsidRDefault="00577709" w:rsidP="00577709">
      <w:pPr>
        <w:pStyle w:val="Ttulo2"/>
      </w:pPr>
      <w:r>
        <w:rPr>
          <w:lang w:val="es-VE"/>
        </w:rPr>
        <w:lastRenderedPageBreak/>
        <w:t>Interrogantes de la Investigación</w:t>
      </w:r>
    </w:p>
    <w:p w14:paraId="2D43B51E" w14:textId="77777777" w:rsidR="00577709" w:rsidRDefault="00577709" w:rsidP="00577709">
      <w:pPr>
        <w:pStyle w:val="APA7"/>
      </w:pPr>
      <w:r>
        <w:t xml:space="preserve">De acuerdo con la situación problemática descrita, y con el fin de orientar el desarrollo de la presente investigación, se plantean las siguientes interrogantes: </w:t>
      </w:r>
    </w:p>
    <w:p w14:paraId="1987FA32" w14:textId="77777777" w:rsidR="00577709" w:rsidRDefault="00577709" w:rsidP="00577709">
      <w:pPr>
        <w:pStyle w:val="APA7"/>
      </w:pPr>
      <w:r>
        <w:rPr>
          <w:b/>
          <w:bCs/>
        </w:rPr>
        <w:t>Interrogante Principal:</w:t>
      </w:r>
      <w:r>
        <w:t xml:space="preserve"> ¿Cómo un sistema web optimizará la gestión de reposiciones y movimientos de inventario multisede en la empresa SoriegaGroup 2023, C.A.?</w:t>
      </w:r>
    </w:p>
    <w:p w14:paraId="10960FC8" w14:textId="77777777" w:rsidR="00577709" w:rsidRDefault="00577709" w:rsidP="00577709">
      <w:pPr>
        <w:pStyle w:val="APA7"/>
      </w:pPr>
      <w:r>
        <w:t xml:space="preserve">¿Cuál es la situación actual de los procesos de solicitud, aprobación, traslado y recepción de inventario entre las sedes de SoriegaGroup 2023, C.A.?</w:t>
      </w:r>
    </w:p>
    <w:p w14:paraId="67E8274C" w14:textId="77777777" w:rsidR="00577709" w:rsidRDefault="00577709" w:rsidP="00577709">
      <w:pPr>
        <w:pStyle w:val="APA7"/>
      </w:pPr>
      <w:r>
        <w:t>¿Cuáles son los requerimientos funcionales y no funcionales necesarios para el sistema web, considerando las necesidades logísticas y reglas de negocio?</w:t>
      </w:r>
    </w:p>
    <w:p w14:paraId="50387EED" w14:textId="77777777" w:rsidR="00577709" w:rsidRDefault="00577709" w:rsidP="00577709">
      <w:pPr>
        <w:pStyle w:val="APA7"/>
      </w:pPr>
      <w:r>
        <w:t>¿Cómo debe ser diseñada la arquitectura del sistema, el modelo de datos relacional y las interfaces para la gestión de reposición de inventario?</w:t>
      </w:r>
    </w:p>
    <w:p w14:paraId="226A2EA7" w14:textId="77777777" w:rsidR="00577709" w:rsidRDefault="00577709" w:rsidP="00577709">
      <w:pPr>
        <w:pStyle w:val="APA7"/>
      </w:pPr>
      <w:r>
        <w:t>¿De qué manera se construirá el sistema web incorporando los mecanismos de trazabilidad, indicadores y sugerencias de reposición?</w:t>
      </w:r>
    </w:p>
    <w:p w14:paraId="20B96B23" w14:textId="645DF154" w:rsidR="00386374" w:rsidRPr="00386374" w:rsidRDefault="00386374" w:rsidP="00386374">
      <w:pPr>
        <w:pStyle w:val="APA7"/>
      </w:pPr>
      <w:r>
        <w:t xml:space="preserve">¿De qué forma se puede constatar que el sistema funcione correctamente?</w:t>
      </w:r>
    </w:p>
    <w:p w14:paraId="113C05FF" w14:textId="2C82ADF4" w:rsidR="00386374" w:rsidRPr="00386374" w:rsidRDefault="00386374" w:rsidP="00386374">
      <w:pPr>
        <w:pStyle w:val="APA7"/>
      </w:pPr>
      <w:r>
        <w:t>¿Qué lineamientos e instrucciones deben conformar el manual de usuario para garantizar la correcta operatividad y adopción del sistema por parte del personal?</w:t>
      </w:r>
    </w:p>
    <w:p w14:paraId="4D5BE6AD" w14:textId="2D1582B2" w:rsidR="005E026D" w:rsidRPr="00577709" w:rsidRDefault="005E026D" w:rsidP="00577709">
      <w:pPr>
        <w:pStyle w:val="APA7"/>
      </w:pPr>
      <w:r>
        <w:br w:type="page"/>
      </w:r>
    </w:p>
    <w:p w14:paraId="11F6CE41" w14:textId="44505DFE" w:rsidR="008D767F" w:rsidRDefault="00386374" w:rsidP="00617CF4">
      <w:pPr>
        <w:pStyle w:val="Ttulo2"/>
      </w:pPr>
      <w:r>
        <w:lastRenderedPageBreak/>
        <w:t xml:space="preserve">Objetivos de la investigación</w:t>
      </w:r>
    </w:p>
    <w:p w14:paraId="7B5927FB" w14:textId="77777777" w:rsidR="00386374" w:rsidRPr="00386374" w:rsidRDefault="00386374" w:rsidP="00386374">
      <w:pPr>
        <w:rPr>
          <w:lang w:val="en-US"/>
        </w:rPr>
      </w:pPr>
    </w:p>
    <w:p w14:paraId="6559195A" w14:textId="35381726" w:rsidR="00386374" w:rsidRPr="00386374" w:rsidRDefault="00386374" w:rsidP="00386374">
      <w:pPr>
        <w:pStyle w:val="Ttulo3"/>
      </w:pPr>
      <w:r>
        <w:t xml:space="preserve">Objetivo General</w:t>
      </w:r>
    </w:p>
    <w:p w14:paraId="5B75A905" w14:textId="18CDB2A9" w:rsidR="0000578C" w:rsidRDefault="00B757E0" w:rsidP="00897746">
      <w:pPr>
        <w:pStyle w:val="APA7"/>
      </w:pPr>
      <w:r>
        <w:t xml:space="preserve">Desarrollar un Sistema Web para el soporte de la toma de decisiones de Inventario en la comercializadora SoriegaGroup 2023, C.A., Barcelona, Municipio Simón Bolívar, Estado Anzoátegui, 2027.</w:t>
      </w:r>
    </w:p>
    <w:p w14:paraId="634C3CF4" w14:textId="4BE20DCA" w:rsidR="00B757E0" w:rsidRPr="00B757E0" w:rsidRDefault="00B757E0" w:rsidP="00B757E0">
      <w:pPr>
        <w:pStyle w:val="APA7"/>
      </w:pPr>
    </w:p>
    <w:p w14:paraId="15F85926" w14:textId="22C4E526" w:rsidR="005E026D" w:rsidRPr="00386374" w:rsidRDefault="005E026D" w:rsidP="00386374">
      <w:pPr>
        <w:pStyle w:val="Ttulo3"/>
      </w:pPr>
      <w:r>
        <w:t xml:space="preserve">Objetivos Específicos</w:t>
      </w:r>
    </w:p>
    <w:p w14:paraId="34126F9A" w14:textId="38A8283B" w:rsidR="005E026D" w:rsidRPr="005E026D" w:rsidRDefault="00B757E0" w:rsidP="0058016A">
      <w:pPr>
        <w:pStyle w:val="APA7"/>
      </w:pPr>
      <w:r>
        <w:t xml:space="preserve">Analizar los procesos actuales de solicitud, aprobación, traslado y recepción de inventario entre las sedes de SoriegaGroup 2023, C.A.</w:t>
      </w:r>
    </w:p>
    <w:p w14:paraId="17D2DEBC" w14:textId="1BD8CFC3" w:rsidR="005E026D" w:rsidRPr="005E026D" w:rsidRDefault="00B757E0" w:rsidP="0058016A">
      <w:pPr>
        <w:pStyle w:val="APA7"/>
      </w:pPr>
      <w:r>
        <w:t>Determinar los requerimientos funcionales y no funcionales del sistema web</w:t>
      </w:r>
    </w:p>
    <w:p w14:paraId="0FE6FF58" w14:textId="56DBFBD0" w:rsidR="005E026D" w:rsidRPr="005E026D" w:rsidRDefault="00B757E0" w:rsidP="0058016A">
      <w:pPr>
        <w:pStyle w:val="APA7"/>
      </w:pPr>
      <w:r>
        <w:t>Diseñar la arquitectura del sistema web, el modelo de datos relacional, las interfaces de usuario y los componentes funcionales.</w:t>
      </w:r>
    </w:p>
    <w:p w14:paraId="42370C45" w14:textId="393239B1" w:rsidR="005E026D" w:rsidRDefault="00B757E0" w:rsidP="0058016A">
      <w:pPr>
        <w:pStyle w:val="APA7"/>
      </w:pPr>
      <w:r>
        <w:t xml:space="preserve">Construir el sistema web mediante la implementación de los diferentes módulos de gestión de solicitudes, aprobación, movimientos y recepción de inventario.</w:t>
      </w:r>
    </w:p>
    <w:p w14:paraId="787FF592" w14:textId="35FFBE99" w:rsidR="00617CF4" w:rsidRDefault="00897746" w:rsidP="005E026D">
      <w:pPr>
        <w:pStyle w:val="APA7"/>
      </w:pPr>
      <w:r>
        <w:t>Verificar</w:t>
      </w:r>
      <w:commentRangeStart w:id="1"/>
      <w:r>
        <w:t xml:space="preserve"> </w:t>
      </w:r>
      <w:commentRangeEnd w:id="1"/>
      <w:r>
        <w:rPr>
          <w:rStyle w:val="Refdecomentario"/>
          <w:rFonts w:asciiTheme="minorHAnsi" w:hAnsiTheme="minorHAnsi"/>
        </w:rPr>
        <w:commentReference w:id="1"/>
      </w:r>
      <w:r>
        <w:t>el funcionamiento y la usabilidad del sistema web mediante pruebas funcionales.</w:t>
      </w:r>
    </w:p>
    <w:p w14:paraId="3D3FBF57" w14:textId="66F11642" w:rsidR="00897746" w:rsidRPr="00897746" w:rsidRDefault="007F4C76" w:rsidP="00897746">
      <w:pPr>
        <w:pStyle w:val="APA7"/>
      </w:pPr>
      <w:r>
        <w:t xml:space="preserve">Elaborar un manual de usuario para el uso correcto de la aplicación </w:t>
      </w:r>
    </w:p>
    <w:p w14:paraId="28CB60E9" w14:textId="77777777" w:rsidR="00617CF4" w:rsidRDefault="00617CF4">
      <w:pPr>
        <w:rPr>
          <w:rFonts w:ascii="Times New Roman" w:hAnsi="Times New Roman"/>
        </w:rPr>
      </w:pPr>
      <w:r>
        <w:br w:type="page"/>
      </w:r>
    </w:p>
    <w:p w14:paraId="06704877" w14:textId="1B275C17" w:rsidR="005E026D" w:rsidRDefault="00617CF4" w:rsidP="00617CF4">
      <w:pPr>
        <w:pStyle w:val="Ttulo2"/>
        <w:rPr>
          <w:lang w:val="es-VE"/>
        </w:rPr>
      </w:pPr>
      <w:r>
        <w:rPr>
          <w:lang w:val="es-VE"/>
        </w:rPr>
        <w:lastRenderedPageBreak/>
        <w:t xml:space="preserve">Justificación </w:t>
      </w:r>
      <w:commentRangeStart w:id="2"/>
      <w:r>
        <w:rPr>
          <w:lang w:val="es-VE"/>
        </w:rPr>
        <w:t>e Impacto del Trabajo de Investigación</w:t>
      </w:r>
      <w:commentRangeEnd w:id="2"/>
      <w:r>
        <w:rPr>
          <w:rStyle w:val="Refdecomentario"/>
          <w:rFonts w:asciiTheme="minorHAnsi" w:hAnsiTheme="minorHAnsi" w:cstheme="minorBidi"/>
          <w:b w:val="0"/>
          <w:bCs w:val="0"/>
          <w:lang w:val="es-VE"/>
        </w:rPr>
        <w:commentReference w:id="2"/>
      </w:r>
    </w:p>
    <w:p w14:paraId="78D438FC" w14:textId="248D0641" w:rsidR="00B47C73" w:rsidRPr="00B47C73" w:rsidRDefault="00B47C73" w:rsidP="00B47C73">
      <w:pPr>
        <w:pStyle w:val="APA7"/>
      </w:pPr>
      <w:r>
        <w:t xml:space="preserve">De no llevarse a cabo el desarrollo e implementación de este sistema web, SoriegaGroup 2023, C.A. continuará enfrentando una progresiva degradación en su eficiencia operativa. La dependencia prolongada de procesos manuales, hojas de cálculo dispersas y comunicación informal para el cruce de datos mantendrá altos márgenes de error humano. A corto plazo, esta inacción se traducirá en la proliferación de "inventarios fantasmas"</w:t>
        <w:tab/>
        <w:t>, constantes quiebres de stock en el piso de ventas y mercancía estancada en almacenes. En consecuencia, esto impactará negativamente y de forma directa en la rentabilidad de la organización, generando pérdidas de oportunidades de venta, descontento en los clientes finales y un clima de desconfianza administrativa debido a la nula trazabilidad para auditar faltantes o discrepancias.</w:t>
      </w:r>
    </w:p>
    <w:p w14:paraId="4E3936EA" w14:textId="77777777" w:rsidR="00C64086" w:rsidRDefault="00C64086" w:rsidP="00C64086">
      <w:pPr>
        <w:pStyle w:val="APA7"/>
      </w:pPr>
      <w:r>
        <w:t>La materialización de este proyecto encuentra una sólida just</w:t>
      </w:r>
      <w:commentRangeStart w:id="3"/>
      <w:r>
        <w:t>ificaci</w:t>
      </w:r>
      <w:commentRangeEnd w:id="3"/>
      <w:r>
        <w:rPr>
          <w:rStyle w:val="Refdecomentario"/>
          <w:rFonts w:asciiTheme="minorHAnsi" w:hAnsiTheme="minorHAnsi"/>
        </w:rPr>
        <w:commentReference w:id="3"/>
      </w:r>
      <w:r>
        <w:t>ón en tres dimensiones clave: técnica, económica y legal. Desde la perspectiva técnica, el desarrollo dota a la empresa de una solución moderna, basada en estándares de desarrollo web actuales, que resuelve una deficiencia estructural de su software legado sin alterar el código de su sistema de facturación. En el ámbito económico, la sistematización del proceso de análisis y reposición de inventario y la eliminación del cruce manual de datos reducen drásticamente las horas-hombre consumidas en tareas mecánicas. Asimismo, al identificar oportunamente posibles situaciones de quiebre de stock mediante indicadores y recomendaciones analíticas, se protegen las ventas y se optimiza la rentabilidad del capital invertido en mercancía.</w:t>
      </w:r>
    </w:p>
    <w:p w14:paraId="3FD08151" w14:textId="03FC9D32" w:rsidR="00C64086" w:rsidRDefault="00C64086" w:rsidP="00C64086">
      <w:pPr>
        <w:pStyle w:val="APA7"/>
      </w:pPr>
      <w:r>
        <w:t xml:space="preserve">Desde la perspectiva del gobierno corporativo y el control interno, la implementación del sistema permitirá disponer de un historial auditable en el que cada movimiento, desde su solicitud hasta su recepción, quede asociado a la identidad digital de un empleado específico y sellado con marcas de tiempo, respaldando así la transparencia corporativa, fortaleciendo los mecanismos de control interno sobre el </w:t>
        <w:lastRenderedPageBreak/>
        <w:t>manejo de la mercancía y facilitando la generación de las guías de movilización necesarias para el control interno.</w:t>
      </w:r>
    </w:p>
    <w:p w14:paraId="3D425385" w14:textId="77777777" w:rsidR="00386374" w:rsidRDefault="00386374" w:rsidP="00386374"/>
    <w:p w14:paraId="4F05FA39" w14:textId="2BEE34E1" w:rsidR="00386374" w:rsidRDefault="00386374" w:rsidP="00386374">
      <w:pPr>
        <w:pStyle w:val="Ttulo2"/>
      </w:pPr>
      <w:r>
        <w:t xml:space="preserve">Sistema de variables </w:t>
      </w:r>
    </w:p>
    <w:p w14:paraId="5D860594" w14:textId="395606C3" w:rsidR="00617CF4" w:rsidRDefault="00A317DE" w:rsidP="00A317DE">
      <w:pPr>
        <w:pStyle w:val="APA7"/>
      </w:pPr>
      <w:r>
        <w:t>En la presente investigación, por tratarse de la modalidad de Proyecto Factible orientada al desarrollo de software, el sistema de variables se extrae directamente de los objetivos específicos planteados. En este sentido, las variables no buscan medir relaciones de causa y efecto, sino que representan cada una de las fases metodológicas (diagnóstico, ingeniería de requisitos, diseño, codificación, pruebas e implantación) necesarias para desarrollar el sistema de automatización para la reposición de inventario y transferencias de la empresa.</w:t>
      </w:r>
    </w:p>
    <w:p w14:paraId="5F1B9EE4" w14:textId="4682411A" w:rsidR="00386374" w:rsidRDefault="00386374" w:rsidP="00386374">
      <w:pPr>
        <w:pStyle w:val="Ttulo3"/>
      </w:pPr>
      <w:r>
        <w:t xml:space="preserve">Definición Conceptual</w:t>
        <w:tab/>
      </w:r>
    </w:p>
    <w:p w14:paraId="541F00FA" w14:textId="77777777" w:rsidR="005A5E69" w:rsidRDefault="00A317DE" w:rsidP="00A317DE">
      <w:pPr>
        <w:pStyle w:val="APA7"/>
      </w:pPr>
      <w:r>
        <w:t xml:space="preserve">La definición conceptual consiste en precisar el significado teórico y el alcance de las variables objeto de estudio. Para efectos de este proyecto, corresponde a la descripción técnica de cada una de las etapas requeridas para el desarrollo de la herramienta informática. Las definiciones conceptuales de las variables derivadas de cada objetivo específico se detallan a continuación </w:t>
      </w:r>
    </w:p>
    <w:p w14:paraId="66CBF0B9" w14:textId="77777777" w:rsidR="005A5E69" w:rsidRDefault="005A5E69" w:rsidP="00A317DE">
      <w:pPr>
        <w:pStyle w:val="APA7"/>
      </w:pPr>
    </w:p>
    <w:p w14:paraId="4C26866D" w14:textId="3532F30A" w:rsidR="005A5E69" w:rsidRDefault="005A5E69" w:rsidP="00A317DE">
      <w:pPr>
        <w:pStyle w:val="APA7"/>
        <w:rPr>
          <w:b/>
          <w:bCs/>
        </w:rPr>
      </w:pPr>
      <w:r>
        <w:rPr>
          <w:b/>
          <w:bCs/>
        </w:rPr>
        <w:t xml:space="preserve">Tabla 1: </w:t>
      </w:r>
      <w:r>
        <w:t xml:space="preserve">Identificación y definición de variables </w:t>
      </w:r>
    </w:p>
    <w:tbl>
      <w:tblPr>
        <w:tblW w:w="0" w:type="auto"/>
        <w:tblCellMar>
          <w:top w:w="15" w:type="dxa"/>
          <w:left w:w="15" w:type="dxa"/>
          <w:bottom w:w="15" w:type="dxa"/>
          <w:right w:w="15" w:type="dxa"/>
        </w:tblCellMar>
        <w:tblLook w:val="04A0" w:firstRow="1" w:lastRow="0" w:firstColumn="1" w:lastColumn="0" w:noHBand="0" w:noVBand="1"/>
      </w:tblPr>
      <w:tblGrid>
        <w:gridCol w:w="2641"/>
        <w:gridCol w:w="2010"/>
        <w:gridCol w:w="3604"/>
      </w:tblGrid>
      <w:tr w:rsidR="005A5E69" w:rsidRPr="005A5E69" w14:paraId="74A4846E" w14:textId="77777777" w:rsidTr="005A5E69">
        <w:trPr>
          <w:trHeight w:val="650"/>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73E06CE" w14:textId="77777777" w:rsidR="005A5E69" w:rsidRPr="005A5E69" w:rsidRDefault="005A5E69" w:rsidP="005A5E69">
            <w:pPr>
              <w:pStyle w:val="NormalWeb"/>
              <w:spacing w:before="120" w:beforeAutospacing="0" w:after="120" w:afterAutospacing="0"/>
              <w:rPr>
                <w:sz w:val="20"/>
                <w:szCs w:val="20"/>
              </w:rPr>
            </w:pPr>
            <w:r>
              <w:rPr>
                <w:b/>
                <w:bCs/>
                <w:color w:val="1F1F1F"/>
                <w:sz w:val="20"/>
                <w:szCs w:val="20"/>
              </w:rPr>
              <w:t>Objetivo Específico</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197BA51" w14:textId="77777777" w:rsidR="005A5E69" w:rsidRPr="005A5E69" w:rsidRDefault="005A5E69" w:rsidP="005A5E69">
            <w:pPr>
              <w:pStyle w:val="NormalWeb"/>
              <w:spacing w:before="120" w:beforeAutospacing="0" w:after="120" w:afterAutospacing="0"/>
              <w:rPr>
                <w:sz w:val="20"/>
                <w:szCs w:val="20"/>
              </w:rPr>
            </w:pPr>
            <w:r>
              <w:rPr>
                <w:b/>
                <w:bCs/>
                <w:color w:val="1F1F1F"/>
                <w:sz w:val="20"/>
                <w:szCs w:val="20"/>
              </w:rPr>
              <w:t>Variable</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4D39914" w14:textId="77777777" w:rsidR="005A5E69" w:rsidRPr="005A5E69" w:rsidRDefault="005A5E69" w:rsidP="005A5E69">
            <w:pPr>
              <w:pStyle w:val="NormalWeb"/>
              <w:spacing w:before="120" w:beforeAutospacing="0" w:after="120" w:afterAutospacing="0"/>
              <w:rPr>
                <w:sz w:val="20"/>
                <w:szCs w:val="20"/>
              </w:rPr>
            </w:pPr>
            <w:r>
              <w:rPr>
                <w:b/>
                <w:bCs/>
                <w:color w:val="1F1F1F"/>
                <w:sz w:val="20"/>
                <w:szCs w:val="20"/>
              </w:rPr>
              <w:t>Definición Conceptual</w:t>
            </w:r>
          </w:p>
        </w:tc>
      </w:tr>
      <w:tr w:rsidR="005A5E69" w:rsidRPr="005A5E69" w14:paraId="048C7DCD"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796D04" w14:textId="1F958A4A" w:rsidR="005A5E69" w:rsidRPr="005A5E69" w:rsidRDefault="005A5E69" w:rsidP="005A5E69">
            <w:pPr>
              <w:pStyle w:val="NormalWeb"/>
              <w:spacing w:before="0" w:beforeAutospacing="0" w:after="0" w:afterAutospacing="0"/>
              <w:rPr>
                <w:sz w:val="20"/>
                <w:szCs w:val="20"/>
              </w:rPr>
            </w:pPr>
            <w:r>
              <w:rPr>
                <w:color w:val="1F1F1F"/>
                <w:sz w:val="20"/>
                <w:szCs w:val="20"/>
              </w:rPr>
              <w:t xml:space="preserve">Analizar el estado actual de los procesos de clasificación y métodos de transferencias de inventario entre sucursales.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58126F" w14:textId="77777777" w:rsidR="005A5E69" w:rsidRPr="005A5E69" w:rsidRDefault="005A5E69" w:rsidP="005A5E69">
            <w:pPr>
              <w:pStyle w:val="NormalWeb"/>
              <w:spacing w:before="0" w:beforeAutospacing="0" w:after="0" w:afterAutospacing="0"/>
              <w:rPr>
                <w:sz w:val="20"/>
                <w:szCs w:val="20"/>
              </w:rPr>
            </w:pPr>
            <w:r>
              <w:rPr>
                <w:color w:val="1F1F1F"/>
                <w:sz w:val="20"/>
                <w:szCs w:val="20"/>
              </w:rPr>
              <w:t>Situación 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C82050" w14:textId="77777777" w:rsidR="005A5E69" w:rsidRPr="005A5E69" w:rsidRDefault="005A5E69" w:rsidP="005A5E69">
            <w:pPr>
              <w:pStyle w:val="NormalWeb"/>
              <w:spacing w:before="0" w:beforeAutospacing="0" w:after="0" w:afterAutospacing="0"/>
              <w:rPr>
                <w:sz w:val="20"/>
                <w:szCs w:val="20"/>
              </w:rPr>
            </w:pPr>
            <w:r>
              <w:rPr>
                <w:color w:val="1F1F1F"/>
                <w:sz w:val="20"/>
                <w:szCs w:val="20"/>
              </w:rPr>
              <w:t>Se refiere al funcionamiento operativo vigente, abarcando la estructura, los procedimientos logísticos y los aspectos críticos en el manejo manual del stock y reposición.</w:t>
            </w:r>
          </w:p>
        </w:tc>
      </w:tr>
      <w:tr w:rsidR="005A5E69" w:rsidRPr="005A5E69" w14:paraId="3505B83C"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C2C1B2" w14:textId="77777777" w:rsidR="005A5E69" w:rsidRPr="005A5E69" w:rsidRDefault="005A5E69" w:rsidP="005A5E69">
            <w:pPr>
              <w:pStyle w:val="NormalWeb"/>
              <w:spacing w:before="0" w:beforeAutospacing="0" w:after="0" w:afterAutospacing="0"/>
              <w:rPr>
                <w:sz w:val="20"/>
                <w:szCs w:val="20"/>
              </w:rPr>
            </w:pPr>
            <w:r>
              <w:rPr>
                <w:color w:val="1F1F1F"/>
                <w:sz w:val="20"/>
                <w:szCs w:val="20"/>
              </w:rPr>
              <w:lastRenderedPageBreak/>
              <w:t>Identificar los requerimientos funcionales y no funcionales del sistema de reposición.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8D812F" w14:textId="77777777" w:rsidR="005A5E69" w:rsidRPr="005A5E69" w:rsidRDefault="005A5E69" w:rsidP="005A5E69">
            <w:pPr>
              <w:pStyle w:val="NormalWeb"/>
              <w:spacing w:before="0" w:beforeAutospacing="0" w:after="0" w:afterAutospacing="0"/>
              <w:rPr>
                <w:sz w:val="20"/>
                <w:szCs w:val="20"/>
              </w:rPr>
            </w:pPr>
            <w:r>
              <w:rPr>
                <w:color w:val="1F1F1F"/>
                <w:sz w:val="20"/>
                <w:szCs w:val="20"/>
              </w:rPr>
              <w:t>Requerimientos funcionales y no funcionales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A1D8C5" w14:textId="46E6F6D9" w:rsidR="005A5E69" w:rsidRPr="005A5E69" w:rsidRDefault="005A5E69" w:rsidP="005A5E69">
            <w:pPr>
              <w:pStyle w:val="NormalWeb"/>
              <w:spacing w:before="0" w:beforeAutospacing="0" w:after="0" w:afterAutospacing="0"/>
              <w:rPr>
                <w:sz w:val="20"/>
                <w:szCs w:val="20"/>
              </w:rPr>
            </w:pPr>
            <w:r>
              <w:rPr>
                <w:color w:val="1F1F1F"/>
                <w:sz w:val="20"/>
                <w:szCs w:val="20"/>
              </w:rPr>
              <w:t>Conjunto de características operativas y restricciones técnicas que el sistema debe cumplir para automatizar de manera segura las necesidades de la empresa.</w:t>
            </w:r>
          </w:p>
        </w:tc>
      </w:tr>
      <w:tr w:rsidR="005A5E69" w:rsidRPr="005A5E69" w14:paraId="5F66091A"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79B841" w14:textId="77777777" w:rsidR="005A5E69" w:rsidRPr="005A5E69" w:rsidRDefault="005A5E69" w:rsidP="005A5E69">
            <w:pPr>
              <w:pStyle w:val="NormalWeb"/>
              <w:spacing w:before="0" w:beforeAutospacing="0" w:after="0" w:afterAutospacing="0"/>
              <w:rPr>
                <w:sz w:val="20"/>
                <w:szCs w:val="20"/>
              </w:rPr>
            </w:pPr>
            <w:r>
              <w:rPr>
                <w:color w:val="1F1F1F"/>
                <w:sz w:val="20"/>
                <w:szCs w:val="20"/>
              </w:rPr>
              <w:t>Diseñar la arquitectura del sistema, la estructuración de los módulos logísticos y la conexión de la base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E6303" w14:textId="77777777" w:rsidR="005A5E69" w:rsidRPr="005A5E69" w:rsidRDefault="005A5E69" w:rsidP="005A5E69">
            <w:pPr>
              <w:pStyle w:val="NormalWeb"/>
              <w:spacing w:before="0" w:beforeAutospacing="0" w:after="0" w:afterAutospacing="0"/>
              <w:rPr>
                <w:sz w:val="20"/>
                <w:szCs w:val="20"/>
              </w:rPr>
            </w:pPr>
            <w:r>
              <w:rPr>
                <w:color w:val="1F1F1F"/>
                <w:sz w:val="20"/>
                <w:szCs w:val="20"/>
              </w:rPr>
              <w:t>Diseño de la arquitectura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495C47" w14:textId="77777777" w:rsidR="005A5E69" w:rsidRPr="005A5E69" w:rsidRDefault="005A5E69" w:rsidP="005A5E69">
            <w:pPr>
              <w:pStyle w:val="NormalWeb"/>
              <w:spacing w:before="0" w:beforeAutospacing="0" w:after="0" w:afterAutospacing="0"/>
              <w:rPr>
                <w:sz w:val="20"/>
                <w:szCs w:val="20"/>
              </w:rPr>
            </w:pPr>
            <w:r>
              <w:rPr>
                <w:color w:val="1F1F1F"/>
                <w:sz w:val="20"/>
                <w:szCs w:val="20"/>
              </w:rPr>
              <w:t>Modelado de alto nivel que define la estructura, la interconexión de componentes, el esquema lógico y el puente de comunicación de datos con el sistema administrativo existente.</w:t>
            </w:r>
          </w:p>
        </w:tc>
      </w:tr>
      <w:tr w:rsidR="005A5E69" w:rsidRPr="005A5E69" w14:paraId="1BF5E124"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780748" w14:textId="77777777" w:rsidR="005A5E69" w:rsidRPr="005A5E69" w:rsidRDefault="005A5E69" w:rsidP="005A5E69">
            <w:pPr>
              <w:pStyle w:val="NormalWeb"/>
              <w:spacing w:before="0" w:beforeAutospacing="0" w:after="0" w:afterAutospacing="0"/>
              <w:rPr>
                <w:sz w:val="20"/>
                <w:szCs w:val="20"/>
              </w:rPr>
            </w:pPr>
            <w:r>
              <w:rPr>
                <w:color w:val="1F1F1F"/>
                <w:sz w:val="20"/>
                <w:szCs w:val="20"/>
              </w:rPr>
              <w:t>Programar y construir los distintos módulos del sistema propuesto (transferencias, faltantes y clasificación).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BC3104" w14:textId="77777777" w:rsidR="005A5E69" w:rsidRPr="005A5E69" w:rsidRDefault="005A5E69" w:rsidP="005A5E69">
            <w:pPr>
              <w:pStyle w:val="NormalWeb"/>
              <w:spacing w:before="0" w:beforeAutospacing="0" w:after="0" w:afterAutospacing="0"/>
              <w:rPr>
                <w:sz w:val="20"/>
                <w:szCs w:val="20"/>
              </w:rPr>
            </w:pPr>
            <w:r>
              <w:rPr>
                <w:color w:val="1F1F1F"/>
                <w:sz w:val="20"/>
                <w:szCs w:val="20"/>
              </w:rPr>
              <w:t>Construcción del sistema (Programación de módulos)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B15AD1" w14:textId="77777777" w:rsidR="005A5E69" w:rsidRPr="005A5E69" w:rsidRDefault="005A5E69" w:rsidP="005A5E69">
            <w:pPr>
              <w:pStyle w:val="NormalWeb"/>
              <w:spacing w:before="0" w:beforeAutospacing="0" w:after="0" w:afterAutospacing="0"/>
              <w:rPr>
                <w:sz w:val="20"/>
                <w:szCs w:val="20"/>
              </w:rPr>
            </w:pPr>
            <w:r>
              <w:rPr>
                <w:color w:val="1F1F1F"/>
                <w:sz w:val="20"/>
                <w:szCs w:val="20"/>
              </w:rPr>
              <w:t>Proceso de desarrollo técnico y codificación para transformar los requerimientos y la lógica de inventario en una herramienta de software plenamente funcional.</w:t>
            </w:r>
          </w:p>
        </w:tc>
      </w:tr>
      <w:tr w:rsidR="005A5E69" w:rsidRPr="005A5E69" w14:paraId="050E1366"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CAD40E" w14:textId="77777777" w:rsidR="005A5E69" w:rsidRPr="005A5E69" w:rsidRDefault="005A5E69" w:rsidP="005A5E69">
            <w:pPr>
              <w:pStyle w:val="NormalWeb"/>
              <w:spacing w:before="0" w:beforeAutospacing="0" w:after="0" w:afterAutospacing="0"/>
              <w:rPr>
                <w:sz w:val="20"/>
                <w:szCs w:val="20"/>
              </w:rPr>
            </w:pPr>
            <w:r>
              <w:rPr>
                <w:color w:val="1F1F1F"/>
                <w:sz w:val="20"/>
                <w:szCs w:val="20"/>
              </w:rPr>
              <w:t>Verificar las funcionalidades del sistema a través de pruebas técnicas y de conexión.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35FCD7" w14:textId="77777777" w:rsidR="005A5E69" w:rsidRPr="005A5E69" w:rsidRDefault="005A5E69" w:rsidP="005A5E69">
            <w:pPr>
              <w:pStyle w:val="NormalWeb"/>
              <w:spacing w:before="0" w:beforeAutospacing="0" w:after="0" w:afterAutospacing="0"/>
              <w:rPr>
                <w:sz w:val="20"/>
                <w:szCs w:val="20"/>
              </w:rPr>
            </w:pPr>
            <w:r>
              <w:rPr>
                <w:color w:val="1F1F1F"/>
                <w:sz w:val="20"/>
                <w:szCs w:val="20"/>
              </w:rPr>
              <w:t>Pruebas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31C98F" w14:textId="77777777" w:rsidR="005A5E69" w:rsidRPr="005A5E69" w:rsidRDefault="005A5E69" w:rsidP="005A5E69">
            <w:pPr>
              <w:pStyle w:val="NormalWeb"/>
              <w:spacing w:before="0" w:beforeAutospacing="0" w:after="0" w:afterAutospacing="0"/>
              <w:rPr>
                <w:sz w:val="20"/>
                <w:szCs w:val="20"/>
              </w:rPr>
            </w:pPr>
            <w:r>
              <w:rPr>
                <w:color w:val="1F1F1F"/>
                <w:sz w:val="20"/>
                <w:szCs w:val="20"/>
              </w:rPr>
              <w:t>Conjunto de actividades de validación destinadas a evaluar el comportamiento del software, garantizando la exactitud en la lectura/escritura de datos administrativos y la correcta generación de transferencias.</w:t>
            </w:r>
          </w:p>
        </w:tc>
      </w:tr>
      <w:tr w:rsidR="005A5E69" w:rsidRPr="005A5E69" w14:paraId="1AE1D8F7"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0AD61F" w14:textId="77777777" w:rsidR="005A5E69" w:rsidRPr="005A5E69" w:rsidRDefault="005A5E69" w:rsidP="005A5E69">
            <w:pPr>
              <w:pStyle w:val="NormalWeb"/>
              <w:spacing w:before="0" w:beforeAutospacing="0" w:after="0" w:afterAutospacing="0"/>
              <w:rPr>
                <w:sz w:val="20"/>
                <w:szCs w:val="20"/>
              </w:rPr>
            </w:pPr>
            <w:r>
              <w:rPr>
                <w:color w:val="1F1F1F"/>
                <w:sz w:val="20"/>
                <w:szCs w:val="20"/>
              </w:rPr>
              <w:t>Elaborar la documentación pertinente para el uso eficiente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C5213B" w14:textId="77777777" w:rsidR="005A5E69" w:rsidRPr="005A5E69" w:rsidRDefault="005A5E69" w:rsidP="005A5E69">
            <w:pPr>
              <w:pStyle w:val="NormalWeb"/>
              <w:spacing w:before="0" w:beforeAutospacing="0" w:after="0" w:afterAutospacing="0"/>
              <w:rPr>
                <w:sz w:val="20"/>
                <w:szCs w:val="20"/>
              </w:rPr>
            </w:pPr>
            <w:r>
              <w:rPr>
                <w:color w:val="1F1F1F"/>
                <w:sz w:val="20"/>
                <w:szCs w:val="20"/>
              </w:rPr>
              <w:t>Documentación (Manual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989039" w14:textId="77777777" w:rsidR="005A5E69" w:rsidRPr="005A5E69" w:rsidRDefault="005A5E69" w:rsidP="005A5E69">
            <w:pPr>
              <w:pStyle w:val="NormalWeb"/>
              <w:spacing w:before="0" w:beforeAutospacing="0" w:after="0" w:afterAutospacing="0"/>
              <w:rPr>
                <w:sz w:val="20"/>
                <w:szCs w:val="20"/>
              </w:rPr>
            </w:pPr>
            <w:r>
              <w:rPr>
                <w:color w:val="1F1F1F"/>
                <w:sz w:val="20"/>
                <w:szCs w:val="20"/>
              </w:rPr>
              <w:t>Documento guía formal que describe de manera clara las funciones operativas, orientando al personal analista y administrativo en la utilización adecuada de la plataforma.</w:t>
            </w:r>
          </w:p>
        </w:tc>
      </w:tr>
    </w:tbl>
    <w:p w14:paraId="5D7A9187" w14:textId="77777777" w:rsidR="005A5E69" w:rsidRDefault="005A5E69" w:rsidP="005A5E69">
      <w:pPr>
        <w:spacing w:line="240" w:lineRule="auto"/>
        <w:rPr>
          <w:rFonts w:ascii="Times New Roman" w:hAnsi="Times New Roman" w:cs="Times New Roman"/>
          <w:sz w:val="20"/>
          <w:szCs w:val="20"/>
        </w:rPr>
      </w:pPr>
    </w:p>
    <w:p w14:paraId="448CCE75" w14:textId="2C1588C9" w:rsidR="005A5E69" w:rsidRDefault="005A5E69" w:rsidP="005A5E69">
      <w:pPr>
        <w:pStyle w:val="APA7"/>
        <w:rPr>
          <w:b/>
          <w:bCs/>
        </w:rPr>
      </w:pPr>
      <w:r>
        <w:rPr>
          <w:b/>
          <w:bCs/>
        </w:rPr>
        <w:t xml:space="preserve">Tabla 2: </w:t>
      </w:r>
      <w:r>
        <w:t>Operacionalización de Variables</w:t>
      </w:r>
    </w:p>
    <w:p w14:paraId="760BFA43" w14:textId="77777777" w:rsidR="005A5E69" w:rsidRPr="005A5E69" w:rsidRDefault="005A5E69" w:rsidP="005A5E69">
      <w:pPr>
        <w:spacing w:line="240" w:lineRule="auto"/>
        <w:rPr>
          <w:rFonts w:ascii="Times New Roman" w:hAnsi="Times New Roman" w:cs="Times New Roman"/>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167"/>
        <w:gridCol w:w="1924"/>
        <w:gridCol w:w="4164"/>
      </w:tblGrid>
      <w:tr w:rsidR="005A5E69" w:rsidRPr="005A5E69" w14:paraId="7D1677F6" w14:textId="77777777" w:rsidTr="005A5E69">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22DCEC5" w14:textId="77777777" w:rsidR="005A5E69" w:rsidRPr="005A5E69" w:rsidRDefault="005A5E69" w:rsidP="005A5E69">
            <w:pPr>
              <w:pStyle w:val="NormalWeb"/>
              <w:spacing w:before="120" w:beforeAutospacing="0" w:after="120" w:afterAutospacing="0"/>
              <w:rPr>
                <w:sz w:val="20"/>
                <w:szCs w:val="20"/>
              </w:rPr>
            </w:pPr>
            <w:r>
              <w:rPr>
                <w:b/>
                <w:bCs/>
                <w:color w:val="1F1F1F"/>
                <w:sz w:val="20"/>
                <w:szCs w:val="20"/>
              </w:rPr>
              <w:t>Variable</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2623687" w14:textId="77777777" w:rsidR="005A5E69" w:rsidRPr="005A5E69" w:rsidRDefault="005A5E69" w:rsidP="005A5E69">
            <w:pPr>
              <w:pStyle w:val="NormalWeb"/>
              <w:spacing w:before="120" w:beforeAutospacing="0" w:after="120" w:afterAutospacing="0"/>
              <w:rPr>
                <w:sz w:val="20"/>
                <w:szCs w:val="20"/>
              </w:rPr>
            </w:pPr>
            <w:r>
              <w:rPr>
                <w:b/>
                <w:bCs/>
                <w:color w:val="1F1F1F"/>
                <w:sz w:val="20"/>
                <w:szCs w:val="20"/>
              </w:rPr>
              <w:t>Dimensión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CD2C684" w14:textId="77777777" w:rsidR="005A5E69" w:rsidRPr="005A5E69" w:rsidRDefault="005A5E69" w:rsidP="005A5E69">
            <w:pPr>
              <w:pStyle w:val="NormalWeb"/>
              <w:spacing w:before="120" w:beforeAutospacing="0" w:after="120" w:afterAutospacing="0"/>
              <w:rPr>
                <w:sz w:val="20"/>
                <w:szCs w:val="20"/>
              </w:rPr>
            </w:pPr>
            <w:r>
              <w:rPr>
                <w:b/>
                <w:bCs/>
                <w:color w:val="1F1F1F"/>
                <w:sz w:val="20"/>
                <w:szCs w:val="20"/>
              </w:rPr>
              <w:t>Indicador</w:t>
            </w:r>
          </w:p>
        </w:tc>
      </w:tr>
      <w:tr w:rsidR="005A5E69" w:rsidRPr="005A5E69" w14:paraId="7EAED93C"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05198B" w14:textId="77777777" w:rsidR="005A5E69" w:rsidRPr="005A5E69" w:rsidRDefault="005A5E69" w:rsidP="005A5E69">
            <w:pPr>
              <w:pStyle w:val="NormalWeb"/>
              <w:spacing w:before="0" w:beforeAutospacing="0" w:after="0" w:afterAutospacing="0"/>
              <w:rPr>
                <w:sz w:val="20"/>
                <w:szCs w:val="20"/>
              </w:rPr>
            </w:pPr>
            <w:r>
              <w:rPr>
                <w:color w:val="1F1F1F"/>
                <w:sz w:val="20"/>
                <w:szCs w:val="20"/>
              </w:rPr>
              <w:t>Situación 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B1C907" w14:textId="77777777" w:rsidR="005A5E69" w:rsidRPr="005A5E69" w:rsidRDefault="005A5E69" w:rsidP="005A5E69">
            <w:pPr>
              <w:pStyle w:val="NormalWeb"/>
              <w:spacing w:before="0" w:beforeAutospacing="0" w:after="0" w:afterAutospacing="0"/>
              <w:rPr>
                <w:sz w:val="20"/>
                <w:szCs w:val="20"/>
              </w:rPr>
            </w:pPr>
            <w:r>
              <w:rPr>
                <w:color w:val="1F1F1F"/>
                <w:sz w:val="20"/>
                <w:szCs w:val="20"/>
              </w:rPr>
              <w:t>Análisis de procesos (Diagnóstico)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7A0216" w14:textId="77777777" w:rsidR="005A5E69" w:rsidRPr="005A5E69" w:rsidRDefault="005A5E69" w:rsidP="005A5E69">
            <w:pPr>
              <w:pStyle w:val="NormalWeb"/>
              <w:spacing w:before="0" w:beforeAutospacing="0" w:after="0" w:afterAutospacing="0"/>
              <w:rPr>
                <w:sz w:val="20"/>
                <w:szCs w:val="20"/>
              </w:rPr>
            </w:pPr>
            <w:r>
              <w:rPr>
                <w:color w:val="1F1F1F"/>
                <w:sz w:val="20"/>
                <w:szCs w:val="20"/>
              </w:rPr>
              <w:t>Porcentaje de procesos de cálculo de faltantes y transferencias que se realizan de forma manual versus los digitalizados. Tiempo operativo empleado diariamente en la consolidación de la bitácora.</w:t>
            </w:r>
          </w:p>
        </w:tc>
      </w:tr>
      <w:tr w:rsidR="005A5E69" w:rsidRPr="005A5E69" w14:paraId="5B8A89E7"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D0CB6F" w14:textId="77777777" w:rsidR="005A5E69" w:rsidRPr="005A5E69" w:rsidRDefault="005A5E69" w:rsidP="005A5E69">
            <w:pPr>
              <w:pStyle w:val="NormalWeb"/>
              <w:spacing w:before="0" w:beforeAutospacing="0" w:after="0" w:afterAutospacing="0"/>
              <w:rPr>
                <w:sz w:val="20"/>
                <w:szCs w:val="20"/>
              </w:rPr>
            </w:pPr>
            <w:r>
              <w:rPr>
                <w:color w:val="1F1F1F"/>
                <w:sz w:val="20"/>
                <w:szCs w:val="20"/>
              </w:rPr>
              <w:t>Requerimientos funcionales y no funcionales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1925E3" w14:textId="77777777" w:rsidR="005A5E69" w:rsidRPr="005A5E69" w:rsidRDefault="005A5E69" w:rsidP="005A5E69">
            <w:pPr>
              <w:pStyle w:val="NormalWeb"/>
              <w:spacing w:before="0" w:beforeAutospacing="0" w:after="0" w:afterAutospacing="0"/>
              <w:rPr>
                <w:sz w:val="20"/>
                <w:szCs w:val="20"/>
              </w:rPr>
            </w:pPr>
            <w:r>
              <w:rPr>
                <w:color w:val="1F1F1F"/>
                <w:sz w:val="20"/>
                <w:szCs w:val="20"/>
              </w:rPr>
              <w:t>Ingeniería de Requisitos (Elicitación)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CF30A9" w14:textId="77777777" w:rsidR="005A5E69" w:rsidRPr="005A5E69" w:rsidRDefault="005A5E69" w:rsidP="005A5E69">
            <w:pPr>
              <w:pStyle w:val="NormalWeb"/>
              <w:spacing w:before="0" w:beforeAutospacing="0" w:after="0" w:afterAutospacing="0"/>
              <w:rPr>
                <w:sz w:val="20"/>
                <w:szCs w:val="20"/>
              </w:rPr>
            </w:pPr>
            <w:r>
              <w:rPr>
                <w:color w:val="1F1F1F"/>
                <w:sz w:val="20"/>
                <w:szCs w:val="20"/>
              </w:rPr>
              <w:t xml:space="preserve">Documento o matriz de requerimientos aprobada por los usuarios del área de </w:t>
              <w:lastRenderedPageBreak/>
              <w:t>inventario. Cobertura del diseño expresada en el número de casos de uso definidos.</w:t>
            </w:r>
          </w:p>
        </w:tc>
      </w:tr>
      <w:tr w:rsidR="005A5E69" w:rsidRPr="005A5E69" w14:paraId="592BA35A"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D939D5" w14:textId="77777777" w:rsidR="005A5E69" w:rsidRPr="005A5E69" w:rsidRDefault="005A5E69" w:rsidP="005A5E69">
            <w:pPr>
              <w:pStyle w:val="NormalWeb"/>
              <w:spacing w:before="0" w:beforeAutospacing="0" w:after="0" w:afterAutospacing="0"/>
              <w:rPr>
                <w:sz w:val="20"/>
                <w:szCs w:val="20"/>
              </w:rPr>
            </w:pPr>
            <w:r>
              <w:rPr>
                <w:color w:val="1F1F1F"/>
                <w:sz w:val="20"/>
                <w:szCs w:val="20"/>
              </w:rPr>
              <w:lastRenderedPageBreak/>
              <w:t>Diseño de la arquitectura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8C9531" w14:textId="77777777" w:rsidR="005A5E69" w:rsidRPr="005A5E69" w:rsidRDefault="005A5E69" w:rsidP="005A5E69">
            <w:pPr>
              <w:pStyle w:val="NormalWeb"/>
              <w:spacing w:before="0" w:beforeAutospacing="0" w:after="0" w:afterAutospacing="0"/>
              <w:rPr>
                <w:sz w:val="20"/>
                <w:szCs w:val="20"/>
              </w:rPr>
            </w:pPr>
            <w:r>
              <w:rPr>
                <w:color w:val="1F1F1F"/>
                <w:sz w:val="20"/>
                <w:szCs w:val="20"/>
              </w:rPr>
              <w:t>Diseño de software y estructura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44598A" w14:textId="77777777" w:rsidR="005A5E69" w:rsidRPr="005A5E69" w:rsidRDefault="005A5E69" w:rsidP="005A5E69">
            <w:pPr>
              <w:pStyle w:val="NormalWeb"/>
              <w:spacing w:before="0" w:beforeAutospacing="0" w:after="0" w:afterAutospacing="0"/>
              <w:rPr>
                <w:sz w:val="20"/>
                <w:szCs w:val="20"/>
              </w:rPr>
            </w:pPr>
            <w:r>
              <w:rPr>
                <w:color w:val="1F1F1F"/>
                <w:sz w:val="20"/>
                <w:szCs w:val="20"/>
              </w:rPr>
              <w:t>Artefactos de arquitectura entregados (Diagramas UML elaborados). Modelado del esquema de integración ODBC y diseño de base de datos finalizado.</w:t>
            </w:r>
          </w:p>
        </w:tc>
      </w:tr>
      <w:tr w:rsidR="005A5E69" w:rsidRPr="005A5E69" w14:paraId="52545D3B"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269194" w14:textId="77777777" w:rsidR="005A5E69" w:rsidRPr="005A5E69" w:rsidRDefault="005A5E69" w:rsidP="005A5E69">
            <w:pPr>
              <w:pStyle w:val="NormalWeb"/>
              <w:spacing w:before="0" w:beforeAutospacing="0" w:after="0" w:afterAutospacing="0"/>
              <w:rPr>
                <w:sz w:val="20"/>
                <w:szCs w:val="20"/>
              </w:rPr>
            </w:pPr>
            <w:r>
              <w:rPr>
                <w:color w:val="1F1F1F"/>
                <w:sz w:val="20"/>
                <w:szCs w:val="20"/>
              </w:rPr>
              <w:t>Construcción del sistema (Programación de módulos)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ABD9D8" w14:textId="77777777" w:rsidR="005A5E69" w:rsidRPr="005A5E69" w:rsidRDefault="005A5E69" w:rsidP="005A5E69">
            <w:pPr>
              <w:pStyle w:val="NormalWeb"/>
              <w:spacing w:before="0" w:beforeAutospacing="0" w:after="0" w:afterAutospacing="0"/>
              <w:rPr>
                <w:sz w:val="20"/>
                <w:szCs w:val="20"/>
              </w:rPr>
            </w:pPr>
            <w:r>
              <w:rPr>
                <w:color w:val="1F1F1F"/>
                <w:sz w:val="20"/>
                <w:szCs w:val="20"/>
              </w:rPr>
              <w:t>Desarrollo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D10FB5" w14:textId="77777777" w:rsidR="005A5E69" w:rsidRPr="005A5E69" w:rsidRDefault="005A5E69" w:rsidP="005A5E69">
            <w:pPr>
              <w:pStyle w:val="NormalWeb"/>
              <w:spacing w:before="0" w:beforeAutospacing="0" w:after="0" w:afterAutospacing="0"/>
              <w:rPr>
                <w:sz w:val="20"/>
                <w:szCs w:val="20"/>
              </w:rPr>
            </w:pPr>
            <w:r>
              <w:rPr>
                <w:color w:val="1F1F1F"/>
                <w:sz w:val="20"/>
                <w:szCs w:val="20"/>
              </w:rPr>
              <w:t>Código fuente funcional de los módulos logísticos (reposición, clasificación ABC, gestión ODBC). Grado de avance y configuración en la integración de componentes.</w:t>
            </w:r>
          </w:p>
        </w:tc>
      </w:tr>
      <w:tr w:rsidR="005A5E69" w:rsidRPr="005A5E69" w14:paraId="1F25A83A"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898F68" w14:textId="77777777" w:rsidR="005A5E69" w:rsidRPr="005A5E69" w:rsidRDefault="005A5E69" w:rsidP="005A5E69">
            <w:pPr>
              <w:pStyle w:val="NormalWeb"/>
              <w:spacing w:before="0" w:beforeAutospacing="0" w:after="0" w:afterAutospacing="0"/>
              <w:rPr>
                <w:sz w:val="20"/>
                <w:szCs w:val="20"/>
              </w:rPr>
            </w:pPr>
            <w:r>
              <w:rPr>
                <w:color w:val="1F1F1F"/>
                <w:sz w:val="20"/>
                <w:szCs w:val="20"/>
              </w:rPr>
              <w:t>Pruebas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4F3CA1" w14:textId="77777777" w:rsidR="005A5E69" w:rsidRPr="005A5E69" w:rsidRDefault="005A5E69" w:rsidP="005A5E69">
            <w:pPr>
              <w:pStyle w:val="NormalWeb"/>
              <w:spacing w:before="0" w:beforeAutospacing="0" w:after="0" w:afterAutospacing="0"/>
              <w:rPr>
                <w:sz w:val="20"/>
                <w:szCs w:val="20"/>
              </w:rPr>
            </w:pPr>
            <w:r>
              <w:rPr>
                <w:color w:val="1F1F1F"/>
                <w:sz w:val="20"/>
                <w:szCs w:val="20"/>
              </w:rPr>
              <w:t>Validación Funcional y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D5E100" w14:textId="77777777" w:rsidR="005A5E69" w:rsidRPr="005A5E69" w:rsidRDefault="005A5E69" w:rsidP="005A5E69">
            <w:pPr>
              <w:pStyle w:val="NormalWeb"/>
              <w:spacing w:before="0" w:beforeAutospacing="0" w:after="0" w:afterAutospacing="0"/>
              <w:rPr>
                <w:sz w:val="20"/>
                <w:szCs w:val="20"/>
              </w:rPr>
            </w:pPr>
            <w:r>
              <w:rPr>
                <w:color w:val="1F1F1F"/>
                <w:sz w:val="20"/>
                <w:szCs w:val="20"/>
              </w:rPr>
              <w:t>Porcentaje de casos de prueba ejecutados y aprobados. Velocidad de procesamiento en la lectura de la base de datos externa y exactitud de las transferencias generadas.</w:t>
            </w:r>
          </w:p>
        </w:tc>
      </w:tr>
      <w:tr w:rsidR="005A5E69" w:rsidRPr="005A5E69" w14:paraId="1DD839D6" w14:textId="77777777" w:rsidTr="005A5E6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B369C7" w14:textId="77777777" w:rsidR="005A5E69" w:rsidRPr="005A5E69" w:rsidRDefault="005A5E69" w:rsidP="005A5E69">
            <w:pPr>
              <w:pStyle w:val="NormalWeb"/>
              <w:spacing w:before="0" w:beforeAutospacing="0" w:after="0" w:afterAutospacing="0"/>
              <w:rPr>
                <w:sz w:val="20"/>
                <w:szCs w:val="20"/>
              </w:rPr>
            </w:pPr>
            <w:r>
              <w:rPr>
                <w:color w:val="1F1F1F"/>
                <w:sz w:val="20"/>
                <w:szCs w:val="20"/>
              </w:rPr>
              <w:t>Documentación (Manual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EDAD51" w14:textId="77777777" w:rsidR="005A5E69" w:rsidRPr="005A5E69" w:rsidRDefault="005A5E69" w:rsidP="005A5E69">
            <w:pPr>
              <w:pStyle w:val="NormalWeb"/>
              <w:spacing w:before="0" w:beforeAutospacing="0" w:after="0" w:afterAutospacing="0"/>
              <w:rPr>
                <w:sz w:val="20"/>
                <w:szCs w:val="20"/>
              </w:rPr>
            </w:pPr>
            <w:r>
              <w:rPr>
                <w:color w:val="1F1F1F"/>
                <w:sz w:val="20"/>
                <w:szCs w:val="20"/>
              </w:rPr>
              <w:t>Guía de usuario y mantenimiento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1ED4D8" w14:textId="77777777" w:rsidR="005A5E69" w:rsidRPr="005A5E69" w:rsidRDefault="005A5E69" w:rsidP="005A5E69">
            <w:pPr>
              <w:pStyle w:val="NormalWeb"/>
              <w:spacing w:before="0" w:beforeAutospacing="0" w:after="0" w:afterAutospacing="0"/>
              <w:rPr>
                <w:sz w:val="20"/>
                <w:szCs w:val="20"/>
              </w:rPr>
            </w:pPr>
            <w:r>
              <w:rPr>
                <w:color w:val="1F1F1F"/>
                <w:sz w:val="20"/>
                <w:szCs w:val="20"/>
              </w:rPr>
              <w:t>Manual del usuario completado, validado e integrado. Inclusión de información relevante sobre los procedimientos técnicos de conexión y auditoría del inventario.</w:t>
            </w:r>
          </w:p>
        </w:tc>
      </w:tr>
    </w:tbl>
    <w:p w14:paraId="64A12BF6" w14:textId="05F6123E" w:rsidR="00386374" w:rsidRPr="005A5E69" w:rsidRDefault="00386374" w:rsidP="005A5E69">
      <w:pPr>
        <w:pStyle w:val="APA7"/>
        <w:spacing w:line="240" w:lineRule="auto"/>
        <w:rPr>
          <w:rFonts w:cs="Times New Roman"/>
          <w:b/>
          <w:bCs/>
          <w:sz w:val="20"/>
          <w:szCs w:val="20"/>
        </w:rPr>
      </w:pPr>
      <w:r>
        <w:rPr>
          <w:rFonts w:cs="Times New Roman"/>
          <w:b/>
          <w:bCs/>
          <w:sz w:val="20"/>
          <w:szCs w:val="20"/>
        </w:rPr>
        <w:br w:type="page"/>
      </w:r>
    </w:p>
    <w:p>
      <w:pPr>
        <w:pStyle w:val="Ttulo1"/>
        <w:numPr>
          <w:ilvl w:val="0"/>
          <w:numId w:val="0"/>
        </w:numPr>
        <w:ind w:left="720"/>
        <w:jc w:val="center"/>
        <w:rPr>
          <w:lang w:val="es-VE"/>
        </w:rPr>
      </w:pPr>
      <w:r>
        <w:rPr>
          <w:lang w:val="es-VE"/>
        </w:rPr>
        <w:t xml:space="preserve">CAPITULO II</w:t>
      </w:r>
    </w:p>
    <w:p>
      <w:pPr>
        <w:pStyle w:val="Ttulo1"/>
        <w:numPr>
          <w:ilvl w:val="0"/>
          <w:numId w:val="0"/>
        </w:numPr>
        <w:ind w:left="720"/>
        <w:jc w:val="center"/>
        <w:rPr>
          <w:lang w:val="es-VE"/>
        </w:rPr>
      </w:pPr>
      <w:r>
        <w:rPr>
          <w:lang w:val="es-VE"/>
        </w:rPr>
        <w:t xml:space="preserve">MARCO TEÓRICO</w:t>
      </w:r>
    </w:p>
    <w:p>
      <w:pPr>
        <w:pStyle w:val="APA7"/>
      </w:pPr>
      <w:r>
        <w:t xml:space="preserve">El marco teórico reúne los elementos conceptuales que sirven de base a la indagación y está conformado por los antecedentes de la investigación, las bases teóricas, las bases legales y la definición de términos básicos (Arias, 2012). En este capítulo se presentan los trabajos previos relacionados con sistemas de inventario y apoyo a la decisión, los fundamentos de la gestión de inventarios y de los sistemas de información sobre los que se construye el sistema web propuesto para SoriegaGroup 2023, C.A., el ordenamiento jurídico venezolano que lo enmarca y los términos empleados a lo largo del trabajo.</w:t>
      </w:r>
    </w:p>
    <w:p>
      <w:pPr>
        <w:pStyle w:val="Ttulo2"/>
        <w:numPr>
          <w:ilvl w:val="1"/>
          <w:numId w:val="4"/>
        </w:numPr>
        <w:rPr>
          <w:lang w:val="es-VE"/>
        </w:rPr>
      </w:pPr>
      <w:r>
        <w:rPr>
          <w:lang w:val="es-VE"/>
        </w:rPr>
        <w:t xml:space="preserve">Antecedentes de la Investigación</w:t>
      </w:r>
    </w:p>
    <w:p>
      <w:pPr>
        <w:pStyle w:val="APA7"/>
      </w:pPr>
      <w:r>
        <w:t xml:space="preserve">Los antecedentes son los estudios previos que guardan relación con el problema planteado, es decir, investigaciones realizadas anteriormente sobre el mismo objeto de estudio o sobre aspectos afines (Arias, 2012). Para la presente investigación se revisaron trabajos de grado y artículos científicos, internacionales y nacionales, que abordan el desarrollo de sistemas web de inventario, la reposición de mercancía en empresas comerciales y el uso de la información para la toma de decisiones.</w:t>
      </w:r>
    </w:p>
    <w:p>
      <w:pPr>
        <w:pStyle w:val="Ttulo3"/>
        <w:numPr>
          <w:ilvl w:val="2"/>
          <w:numId w:val="4"/>
        </w:numPr>
        <w:rPr>
          <w:lang w:val="es-VE"/>
        </w:rPr>
      </w:pPr>
      <w:r>
        <w:rPr>
          <w:lang w:val="es-VE"/>
        </w:rPr>
        <w:t xml:space="preserve">Antecedentes Internacionales</w:t>
      </w:r>
    </w:p>
    <w:p>
      <w:pPr>
        <w:pStyle w:val="APA7"/>
      </w:pPr>
      <w:r>
        <w:t xml:space="preserve">Morales-Zavaleta y Castellon-Apaza (2026) publicaron el artículo titulado </w:t>
      </w:r>
      <w:r>
        <w:rPr>
          <w:i/>
          <w:iCs/>
        </w:rPr>
        <w:t xml:space="preserve">Sistema web MVC para la gestión del inventario informático de una universidad pública peruana</w:t>
      </w:r>
      <w:r>
        <w:t xml:space="preserve">, en la </w:t>
      </w:r>
      <w:r>
        <w:rPr>
          <w:i/>
          <w:iCs/>
        </w:rPr>
        <w:t xml:space="preserve">Revista Amazonía Digital</w:t>
      </w:r>
      <w:r>
        <w:t xml:space="preserve">. Los autores parten de que los registros de inventario suelen limitarse a datos generales y carecen de información técnica actualizada, lo que dificulta diagnosticar problemas y planificar la renovación de los equipos. Desarrollaron un sistema web bajo la metodología Scrum, con arquitectura Modelo-Vista-Controlador, el lenguaje Go y el gestor de base de datos PostgreSQL, en un estudio cuantitativo en el que participaron 200 trabajadores administrativos. Frente al proceso anterior, el sistema redujo el tiempo promedio de registro de incidencias en 13,3 %, el de generación de reportes de mantenimiento en 24,7 % y el de reubicación de equipos en 15,5 %, por lo que los autores concluyen que mejoró la gestión del inventario y el acceso a la información para la toma de decisiones institucionales.</w:t>
      </w:r>
    </w:p>
    <w:p>
      <w:pPr>
        <w:pStyle w:val="APA7"/>
      </w:pPr>
      <w:r>
        <w:t xml:space="preserve">Este antecedente aporta a la presente investigación evidencia reciente de que un sistema web con una base de datos relacional PostgreSQL reduce los tiempos de los procesos de inventario, así como un modelo para formular los indicadores de tiempo con los que se verificará el funcionamiento del sistema propuesto. Además, el registro de la reubicación de equipos es análogo al registro de traslados de mercancía entre sedes que se aborda en este trabajo.</w:t>
      </w:r>
    </w:p>
    <w:p>
      <w:pPr>
        <w:pStyle w:val="APA7"/>
      </w:pPr>
      <w:r>
        <w:t xml:space="preserve">Por su parte, Pérez Flores (2022) presentó en la Universidad de Chile la memoria de título </w:t>
      </w:r>
      <w:r>
        <w:rPr>
          <w:i/>
          <w:iCs/>
        </w:rPr>
        <w:t xml:space="preserve">Reposición automática en empresa de retail mediante algoritmos de optimización</w:t>
      </w:r>
      <w:r>
        <w:t xml:space="preserve">, con el objetivo de desarrollar un modelo simplificado que generara un calendario de reposición para una empresa de retail, junto con herramientas computacionales para ponerlo a prueba. El modelo se formuló como un problema de programación lineal entera cuya función objetivo maximiza la contribución de las ventas, con una reposición semanal y la demanda pronosticada como insumo principal; se implementó en Python con los resolvedores CBC (mediante PuLP) y Gurobi sobre parámetros simulados. Entre sus resultados, el autor muestra que la implementación por ventanas permite anticipar los picos de demanda y reducir los quiebres de stock, y que el error del pronóstico afecta la utilidad: un error porcentual absoluto medio de 16 % ocasiona pérdidas cercanas a 1,8 %, mientras que uno de 40 % reduce la utilidad en 6,1 %.</w:t>
      </w:r>
    </w:p>
    <w:p>
      <w:pPr>
        <w:pStyle w:val="APA7"/>
      </w:pPr>
      <w:r>
        <w:t xml:space="preserve">El aporte de este trabajo se encuentra en el tratamiento de la reposición entre el centro de distribución y las tiendas como un problema de decisión basado en la demanda de cada punto de venta, que es el mismo principio con el que el sistema propuesto calcula las sugerencias de traslado del almacén a las sucursales. También advierte que la calidad de la demanda estimada condiciona la calidad de la decisión, lo que justifica depurar las ventas que alimentan el cálculo.</w:t>
      </w:r>
    </w:p>
    <w:p>
      <w:pPr>
        <w:pStyle w:val="APA7"/>
      </w:pPr>
      <w:r>
        <w:t xml:space="preserve">Asimismo, Acuña et al. (2025) elaboraron en la Universidad Nacional de Rafaela, Argentina, el trabajo final de grado </w:t>
      </w:r>
      <w:r>
        <w:rPr>
          <w:i/>
          <w:iCs/>
        </w:rPr>
        <w:t xml:space="preserve">Propuesta de mejora en la gestión de datos mediante inteligencia de negocios</w:t>
      </w:r>
      <w:r>
        <w:t xml:space="preserve">, orientado a mejorar la eficiencia operativa de las áreas comercial y logística de una distribuidora de autopartes de la provincia de Santa Fe. A partir de un diagnóstico con diagrama de Ishikawa, las autoras proponen implantar una herramienta de inteligencia de negocios que centralice la información y permita analizar indicadores; para ello plantean el relevamiento de las fuentes de datos, un modelo dimensional en estrella con hechos de ventas e inventario, la definición de indicadores clave y prototipos de tableros, y priorizan los productos mediante la clasificación ABC basada en el principio de Pareto. Al tratarse de una propuesta, no reportan resultados medidos, aunque proyectan reducir los quiebres de stock de 15 % a 5 % y los tiempos de reposición en 30 %.</w:t>
      </w:r>
    </w:p>
    <w:p>
      <w:pPr>
        <w:pStyle w:val="APA7"/>
      </w:pPr>
      <w:r>
        <w:t xml:space="preserve">Este antecedente se relaciona directamente con la presente investigación, pues combina en una empresa comercializadora la clasificación ABC de los artículos, los indicadores de inventario y una capa de inteligencia de negocios que se alimenta de los sistemas transaccionales existentes, que es el papel de </w:t>
      </w:r>
      <w:r>
        <w:rPr>
          <w:i/>
          <w:iCs/>
        </w:rPr>
        <w:t xml:space="preserve">middleware</w:t>
      </w:r>
      <w:r>
        <w:t xml:space="preserve"> de apoyo a la decisión que cumple el sistema propuesto frente al sistema administrativo de SoriegaGroup 2023, C.A.</w:t>
      </w:r>
    </w:p>
    <w:p>
      <w:pPr>
        <w:pStyle w:val="Ttulo3"/>
        <w:numPr>
          <w:ilvl w:val="2"/>
          <w:numId w:val="4"/>
        </w:numPr>
        <w:rPr>
          <w:lang w:val="es-VE"/>
        </w:rPr>
      </w:pPr>
      <w:r>
        <w:rPr>
          <w:lang w:val="es-VE"/>
        </w:rPr>
        <w:t xml:space="preserve">Antecedentes Nacionales</w:t>
      </w:r>
    </w:p>
    <w:p>
      <w:pPr>
        <w:pStyle w:val="APA7"/>
      </w:pPr>
      <w:r>
        <w:t xml:space="preserve">En el ámbito nacional, Herrera (2024) desarrolló en el Instituto Universitario de Tecnología de Administración Industrial (IUTA), extensión Maracay, el trabajo especial de grado </w:t>
      </w:r>
      <w:r>
        <w:rPr>
          <w:i/>
          <w:iCs/>
        </w:rPr>
        <w:t xml:space="preserve">Sistema web de inventario para Diseños Live I&amp;L, C.A. ubicada en Maracay, estado Aragua</w:t>
      </w:r>
      <w:r>
        <w:t xml:space="preserve">, cuyo objetivo fue controlar el ingreso y egreso de mercancía, su existencia y los tiempos de caducidad. La investigación fue de campo, de nivel descriptivo y diseño no experimental, en la modalidad de proyecto especial, con la metodología RMM; los datos se recolectaron con un cuestionario dicotómico y la observación directa sobre una población de cinco personas. El diagnóstico reveló que el 100 % de los encuestados afirmó que la mercancía no se clasificaba según su ubicación y que el formato de registro vigente no facilitaba la gestión, y el 80 % consideró ineficiente el registro de entradas y salidas, por lo que se concluyó que la automatización ayudaría a controlar los movimientos de mercancía y a agilizar los despachos.</w:t>
      </w:r>
    </w:p>
    <w:p>
      <w:pPr>
        <w:pStyle w:val="APA7"/>
      </w:pPr>
      <w:r>
        <w:t xml:space="preserve">El trabajo aporta a esta investigación un diagnóstico de una empresa comercial venezolana con problemas semejantes a los de SoriegaGroup 2023, C.A. (registros manuales, falta de control de los movimientos y ausencia de respaldo de los datos), así como un ejemplo de instrumento de recolección de datos aplicable a la fase de diagnóstico del primer objetivo específico.</w:t>
      </w:r>
    </w:p>
    <w:p>
      <w:pPr>
        <w:pStyle w:val="APA7"/>
      </w:pPr>
      <w:r>
        <w:t xml:space="preserve">De igual forma, Ojeda (2023) presentó en el IUTA, extensión Maracay, el trabajo especial de grado </w:t>
      </w:r>
      <w:r>
        <w:rPr>
          <w:i/>
          <w:iCs/>
        </w:rPr>
        <w:t xml:space="preserve">Sistema web de inventario para el Departamento de Tecnología del Instituto Universitario de Tecnología de Administración Industrial, extensión Maracay</w:t>
      </w:r>
      <w:r>
        <w:t xml:space="preserve">. La investigación se enmarcó en la modalidad de proyecto factible, con diseño no experimental, tipo de campo y nivel descriptivo, y empleó la metodología RMM; la información se obtuvo mediante revisión bibliográfica, observación directa, entrevistas semiestructuradas y un cuestionario aplicado a cinco personas. El sistema se construyó con el lenguaje PHP y el gestor de base de datos MySQL, y el diagnóstico evidenció que los inventarios se realizaban de forma manual y esporádica y que no existían respaldos de la información.</w:t>
      </w:r>
    </w:p>
    <w:p>
      <w:pPr>
        <w:pStyle w:val="APA7"/>
      </w:pPr>
      <w:r>
        <w:t xml:space="preserve">Su aporte radica en que comparte con el presente trabajo la modalidad de proyecto factible y la secuencia diagnóstico, diseño y construcción de un sistema web de inventario, lo que sirve de referencia para estructurar el Capítulo III y la propuesta.</w:t>
      </w:r>
    </w:p>
    <w:p>
      <w:pPr>
        <w:pStyle w:val="APA7"/>
      </w:pPr>
      <w:r>
        <w:t xml:space="preserve">Finalmente, Armas y Valera (2022) presentaron en la Universidad Dr. Rafael Belloso Chacín, en Maracaibo, el trabajo especial de grado </w:t>
      </w:r>
      <w:r>
        <w:rPr>
          <w:i/>
          <w:iCs/>
        </w:rPr>
        <w:t xml:space="preserve">Sistema de administración de inventarios para la empresa Enviserca</w:t>
      </w:r>
      <w:r>
        <w:t xml:space="preserve">, para optar al título de Ingeniero Industrial, con el objetivo de proponer un sistema de administración de inventarios para dicha empresa del estado Zulia. El estudio fue descriptivo y proyectivo, con diseño no experimental y transeccional; la población estuvo conformada por el gerente general y cuatro empleados, a quienes se les aplicó una entrevista cuyos resultados se analizaron con estadística descriptiva. Entre sus fundamentos teóricos se encuentran autores de la gestión de operaciones y de inventarios, y los resultados permitieron identificar las medidas necesarias para implantar el sistema de administración de inventarios en la empresa.</w:t>
      </w:r>
    </w:p>
    <w:p>
      <w:pPr>
        <w:pStyle w:val="APA7"/>
      </w:pPr>
      <w:r>
        <w:t xml:space="preserve">Este antecedente aporta la visión de la ingeniería industrial sobre la administración de inventarios, en particular la importancia de definir políticas y procedimientos antes de automatizarlos, lo cual respalda la decisión de modelar en el sistema propuesto las reglas de negocio de solicitud, aprobación, despacho y recepción de los traslados.</w:t>
      </w:r>
    </w:p>
    <w:p>
      <w:pPr>
        <w:pStyle w:val="Ttulo2"/>
        <w:numPr>
          <w:ilvl w:val="1"/>
          <w:numId w:val="4"/>
        </w:numPr>
        <w:rPr>
          <w:lang w:val="es-VE"/>
        </w:rPr>
      </w:pPr>
      <w:r>
        <w:rPr>
          <w:lang w:val="es-VE"/>
        </w:rPr>
        <w:t xml:space="preserve">Bases Teóricas</w:t>
      </w:r>
    </w:p>
    <w:p>
      <w:pPr>
        <w:pStyle w:val="APA7"/>
      </w:pPr>
      <w:r>
        <w:t xml:space="preserve">Las bases teóricas comprenden un conjunto de conceptos y proposiciones que constituyen un punto de vista o enfoque determinado, dirigido a explicar el fenómeno o problema planteado (Arias, 2012). A continuación se desarrollan los fundamentos que sustentan el sistema web propuesto, desde los sistemas de información y de apoyo a la decisión hasta la gestión de inventarios y las tecnologías empleadas en su construcción.</w:t>
      </w:r>
    </w:p>
    <w:p>
      <w:pPr>
        <w:pStyle w:val="Ttulo3"/>
        <w:numPr>
          <w:ilvl w:val="2"/>
          <w:numId w:val="4"/>
        </w:numPr>
        <w:rPr>
          <w:lang w:val="es-VE"/>
        </w:rPr>
      </w:pPr>
      <w:r>
        <w:rPr>
          <w:lang w:val="es-VE"/>
        </w:rPr>
        <w:t xml:space="preserve">Sistemas de Información</w:t>
      </w:r>
    </w:p>
    <w:p>
      <w:pPr>
        <w:pStyle w:val="APA7"/>
      </w:pPr>
      <w:r>
        <w:t xml:space="preserve">Un sistema de información es un conjunto de componentes interrelacionados que recolectan, procesan, almacenan y distribuyen información para apoyar la toma de decisiones y el control en una organización; además de estas funciones, ayuda a los gerentes y trabajadores a analizar problemas, visualizar asuntos complejos y crear nuevos productos (Laudon &amp; Laudon, 2016). Los mismos autores señalan que estos sistemas tienen tres dimensiones: la organizacional, la gerencial y la tecnológica, de modo que no se reducen a los equipos y programas, sino que incluyen a las personas y los procesos de negocio.</w:t>
      </w:r>
    </w:p>
    <w:p>
      <w:pPr>
        <w:pStyle w:val="APA7"/>
      </w:pPr>
      <w:r>
        <w:t xml:space="preserve">Según el nivel de la organización al que sirven, Laudon y Laudon (2016) distinguen los sistemas de procesamiento de transacciones, que registran las operaciones rutinarias del negocio, como las ventas o los movimientos de inventario; los sistemas de información gerencial, que resumen esas transacciones en informes periódicos; y los sistemas de apoyo a la toma de decisiones, que ayudan a resolver problemas semiestructurados. En SoriegaGroup 2023, C.A., el sistema administrativo existente cumple el papel de sistema transaccional, mientras que el sistema propuesto se ubica en el nivel de apoyo a la decisión, ya que toma los datos de ventas y existencias para generar información de reposición.</w:t>
      </w:r>
    </w:p>
    <w:p>
      <w:pPr>
        <w:pStyle w:val="Ttulo3"/>
        <w:numPr>
          <w:ilvl w:val="2"/>
          <w:numId w:val="4"/>
        </w:numPr>
        <w:rPr>
          <w:lang w:val="es-VE"/>
        </w:rPr>
      </w:pPr>
      <w:r>
        <w:rPr>
          <w:lang w:val="es-VE"/>
        </w:rPr>
        <w:t xml:space="preserve">Toma de Decisiones</w:t>
      </w:r>
    </w:p>
    <w:p>
      <w:pPr>
        <w:pStyle w:val="APA7"/>
      </w:pPr>
      <w:r>
        <w:t xml:space="preserve">Simon (1960) describe el proceso de decisión en tres fases: la inteligencia, en la que se explora el entorno para identificar las situaciones que requieren una decisión; el diseño, en la que se formulan y analizan los cursos de acción posibles; y la elección, en la que se selecciona uno de ellos. El mismo autor distingue entre decisiones programadas, que son repetitivas y pueden resolverse mediante procedimientos establecidos, y decisiones no programadas, que son nuevas o poco estructuradas.</w:t>
      </w:r>
    </w:p>
    <w:p>
      <w:pPr>
        <w:pStyle w:val="APA7"/>
      </w:pPr>
      <w:r>
        <w:t xml:space="preserve">La reposición de inventario entre sedes combina ambos tipos: el cálculo de las cantidades necesarias es una tarea estructurada que puede automatizarse, mientras que la aprobación final depende del criterio del analista y de condiciones que el sistema no conoce, como la disponibilidad de transporte o la llegada de una compra. Por ello, el sistema propuesto apoya la fase de inteligencia con indicadores de cobertura y productos críticos, la fase de diseño con sugerencias de traslado y de compra, y deja la fase de elección en manos del personal autorizado.</w:t>
      </w:r>
    </w:p>
    <w:p>
      <w:pPr>
        <w:pStyle w:val="Ttulo3"/>
        <w:numPr>
          <w:ilvl w:val="2"/>
          <w:numId w:val="4"/>
        </w:numPr>
        <w:rPr>
          <w:lang w:val="es-VE"/>
        </w:rPr>
      </w:pPr>
      <w:r>
        <w:rPr>
          <w:lang w:val="es-VE"/>
        </w:rPr>
        <w:t xml:space="preserve">Sistemas de Soporte a la Toma de Decisiones</w:t>
      </w:r>
    </w:p>
    <w:p>
      <w:pPr>
        <w:pStyle w:val="APA7"/>
      </w:pPr>
      <w:r>
        <w:t xml:space="preserve">Los sistemas de soporte a la toma de decisiones (DSS, por sus siglas en inglés) son sistemas interactivos basados en computadora que ayudan a quienes deciden a utilizar datos y modelos para resolver problemas no estructurados o semiestructurados (Sprague, 1980). Sprague propone que un DSS se compone de tres subsistemas: el de gestión de datos, el de gestión de modelos y el de diálogo o interfaz con el usuario, y que su desarrollo debe ser iterativo, de forma que el sistema evolucione a medida que el usuario comprende mejor el problema.</w:t>
      </w:r>
    </w:p>
    <w:p>
      <w:pPr>
        <w:pStyle w:val="APA7"/>
      </w:pPr>
      <w:r>
        <w:t xml:space="preserve">Power (2002) clasifica los DSS según su componente dominante y define los DSS orientados a datos como aquellos que hacen énfasis en el acceso y la manipulación de series de datos internos de la empresa, como los de ventas e inventario. Sharda et al. (2020) agregan que los sistemas actuales de apoyo a la decisión integran la analítica descriptiva, que explica qué ha ocurrido; la predictiva, que estima lo que ocurrirá; y la prescriptiva, que recomienda qué hacer. El sistema propuesto corresponde a un DSS orientado a datos, que aplica analítica descriptiva (ventas, existencias y clasificación ABC) y prescriptiva (cantidades sugeridas para trasladar o comprar).</w:t>
      </w:r>
    </w:p>
    <w:p>
      <w:pPr>
        <w:pStyle w:val="Ttulo3"/>
        <w:numPr>
          <w:ilvl w:val="2"/>
          <w:numId w:val="4"/>
        </w:numPr>
        <w:rPr>
          <w:lang w:val="es-VE"/>
        </w:rPr>
      </w:pPr>
      <w:r>
        <w:rPr>
          <w:lang w:val="es-VE"/>
        </w:rPr>
        <w:t xml:space="preserve">Inteligencia de Negocios</w:t>
      </w:r>
    </w:p>
    <w:p>
      <w:pPr>
        <w:pStyle w:val="APA7"/>
      </w:pPr>
      <w:r>
        <w:t xml:space="preserve">La inteligencia de negocios (BI, por sus siglas en inglés) es un término general que combina arquitecturas, herramientas, bases de datos, aplicaciones y metodologías con el fin de dar acceso interactivo a los datos y permitir su análisis, de manera que gerentes y analistas tomen mejores decisiones (Sharda et al., 2020). Sus componentes habituales son un almacén de datos que integra las fuentes, herramientas de análisis y una interfaz de usuario como los tableros de control o </w:t>
      </w:r>
      <w:r>
        <w:rPr>
          <w:i/>
          <w:iCs/>
        </w:rPr>
        <w:t xml:space="preserve">dashboards</w:t>
      </w:r>
      <w:r>
        <w:t xml:space="preserve">.</w:t>
      </w:r>
    </w:p>
    <w:p>
      <w:pPr>
        <w:pStyle w:val="APA7"/>
      </w:pPr>
      <w:r>
        <w:t xml:space="preserve">Para organizar los datos con fines de análisis, Kimball y Ross (2013) proponen el modelado dimensional, en el que las mediciones del negocio se guardan en tablas de hechos (por ejemplo, unidades vendidas o existencias) y el contexto de esas mediciones en tablas de dimensiones (artículo, sucursal, fecha). Este enfoque orienta el diseño de las consultas del sistema propuesto, que agrega las ventas por artículo y sucursal en un período para calcular la venta diaria y la cobertura de cada sede.</w:t>
      </w:r>
    </w:p>
    <w:p>
      <w:pPr>
        <w:pStyle w:val="Ttulo3"/>
        <w:numPr>
          <w:ilvl w:val="2"/>
          <w:numId w:val="4"/>
        </w:numPr>
        <w:rPr>
          <w:lang w:val="es-VE"/>
        </w:rPr>
      </w:pPr>
      <w:r>
        <w:rPr>
          <w:lang w:val="es-VE"/>
        </w:rPr>
        <w:t xml:space="preserve">Gestión de Inventarios</w:t>
      </w:r>
    </w:p>
    <w:p>
      <w:pPr>
        <w:pStyle w:val="APA7"/>
      </w:pPr>
      <w:r>
        <w:t xml:space="preserve">El inventario está formado por las existencias de materias primas, productos en proceso y productos terminados que una empresa mantiene para atender la demanda, y su gestión busca equilibrar el nivel de servicio al cliente con los costos de mantener dichas existencias (Ballou, 2004). Chopra y Meindl (2013) explican que el inventario existe porque la oferta y la demanda no coinciden, y que constituye uno de los principales impulsores del desempeño de la cadena de suministro, puesto que un mayor inventario mejora la capacidad de respuesta, pero incrementa los costos.</w:t>
      </w:r>
    </w:p>
    <w:p>
      <w:pPr>
        <w:pStyle w:val="APA7"/>
      </w:pPr>
      <w:r>
        <w:t xml:space="preserve">Silver et al. (2017) identifican como costos relevantes del inventario el costo unitario del artículo, el costo de mantener el inventario (capital inmovilizado, almacenamiento, obsolescencia y daños), el costo de ordenar o reponer y el costo de quedarse sin existencias, el cual incluye las ventas perdidas y el deterioro de la relación con el cliente. En el comercio minorista con varias sucursales, el problema no es solo cuánto inventario mantener, sino dónde ubicarlo: una sucursal puede quedarse sin un artículo mientras otra, o el almacén, lo mantiene inmóvil.</w:t>
      </w:r>
    </w:p>
    <w:p>
      <w:pPr>
        <w:pStyle w:val="Ttulo3"/>
        <w:numPr>
          <w:ilvl w:val="2"/>
          <w:numId w:val="4"/>
        </w:numPr>
        <w:rPr>
          <w:lang w:val="es-VE"/>
        </w:rPr>
      </w:pPr>
      <w:r>
        <w:rPr>
          <w:lang w:val="es-VE"/>
        </w:rPr>
        <w:t xml:space="preserve">Clasificación ABC y Principio de Pareto</w:t>
      </w:r>
    </w:p>
    <w:p>
      <w:pPr>
        <w:pStyle w:val="APA7"/>
      </w:pPr>
      <w:r>
        <w:t xml:space="preserve">La clasificación ABC es una técnica que ordena los artículos según su importancia, por lo general medida por su valor o volumen anual de ventas, y los agrupa en tres clases: la clase A, formada por pocos artículos que concentran la mayor parte de las ventas; la clase B, de importancia intermedia; y la clase C, que reúne la mayoría de los artículos, pero una pequeña parte de las ventas (Silver et al., 2017). La técnica se apoya en el principio de Pareto, según el cual una pequeña proporción de los elementos explica la mayor parte del efecto total.</w:t>
      </w:r>
    </w:p>
    <w:p>
      <w:pPr>
        <w:pStyle w:val="APA7"/>
      </w:pPr>
      <w:r>
        <w:t xml:space="preserve">Teunter et al. (2010) señalan que la clasificación ABC es la técnica más empleada en la práctica para administrar inventarios con un gran número de artículos, ya que permite fijar políticas diferenciadas, como niveles de servicio más altos o revisiones más frecuentes para los artículos de mayor importancia. En el sistema propuesto, los artículos se ordenan de mayor a menor según las unidades vendidas en el período analizado y se clasifican como A los que conforman el primer 80 % acumulado de las ventas, como B los del siguiente 15 % y como C los restantes; esta clasificación se utiliza para priorizar las sugerencias de reposición y para identificar los productos críticos.</w:t>
      </w:r>
    </w:p>
    <w:p>
      <w:pPr>
        <w:pStyle w:val="Ttulo3"/>
        <w:numPr>
          <w:ilvl w:val="2"/>
          <w:numId w:val="4"/>
        </w:numPr>
        <w:rPr>
          <w:lang w:val="es-VE"/>
        </w:rPr>
      </w:pPr>
      <w:r>
        <w:rPr>
          <w:lang w:val="es-VE"/>
        </w:rPr>
        <w:t xml:space="preserve">Cobertura de Inventario y Reposición entre Sedes</w:t>
      </w:r>
    </w:p>
    <w:p>
      <w:pPr>
        <w:pStyle w:val="APA7"/>
      </w:pPr>
      <w:r>
        <w:t xml:space="preserve">Chopra y Meindl (2013) relacionan el inventario promedio con la tasa de flujo mediante la ley de Little (I = R × T), de la cual se deriva que el tiempo promedio que permanece la mercancía en inventario equivale al inventario dividido entre la demanda. A partir de esta relación se define la cobertura de inventario como el número de días de venta que pueden atenderse con las existencias disponibles, calculada como el inventario entre la venta promedio diaria; este indicador traduce las unidades a tiempo y permite comparar artículos y sedes con niveles de venta distintos. Un artículo con baja cobertura en una sucursal tiene riesgo de quiebre de stock, mientras que uno con cobertura excesiva representa capital inmovilizado.</w:t>
      </w:r>
    </w:p>
    <w:p>
      <w:pPr>
        <w:pStyle w:val="APA7"/>
      </w:pPr>
      <w:r>
        <w:t xml:space="preserve">Cuando una empresa opera con un almacén central y varios puntos de venta, la reposición puede realizarse desde el almacén hacia las tiendas o mediante transferencias entre tiendas del mismo nivel. Paterson et al. (2011) denominan transbordos laterales a estos movimientos entre ubicaciones del mismo escalón y muestran en su revisión que permiten reducir los costos y mejorar el nivel de servicio al aprovechar el inventario que sobra en una ubicación para cubrir el faltante de otra. En el sistema propuesto, la necesidad de cada sucursal se estima como la venta diaria multiplicada por los días de cobertura deseados menos su existencia actual; si el almacén no alcanza para cubrir todas las necesidades, se atiende primero a la sucursal con menos días de cobertura, y las cantidades ya comprometidas en traslados abiertos no se vuelven a asignar.</w:t>
      </w:r>
    </w:p>
    <w:p>
      <w:pPr>
        <w:pStyle w:val="APA7"/>
      </w:pPr>
      <w:r>
        <w:t xml:space="preserve">Del mismo modo, el inventario que no se vende durante un período prolongado constituye capital estancado, ya que genera costos de mantenimiento sin producir ingresos (Silver et al., 2017). Identificar estos artículos permite tomar acciones como trasladarlos a sedes donde sí tienen demanda, devolverlos o promocionarlos, decisiones que el sistema registra para su seguimiento.</w:t>
      </w:r>
    </w:p>
    <w:p>
      <w:pPr>
        <w:pStyle w:val="Ttulo3"/>
        <w:numPr>
          <w:ilvl w:val="2"/>
          <w:numId w:val="4"/>
        </w:numPr>
        <w:rPr>
          <w:lang w:val="es-VE"/>
        </w:rPr>
      </w:pPr>
      <w:r>
        <w:rPr>
          <w:lang w:val="es-VE"/>
        </w:rPr>
        <w:t xml:space="preserve">Exactitud del Registro de Inventario</w:t>
      </w:r>
    </w:p>
    <w:p>
      <w:pPr>
        <w:pStyle w:val="APA7"/>
      </w:pPr>
      <w:r>
        <w:t xml:space="preserve">DeHoratius y Raman (2008), en un estudio empírico de cerca de 370 000 registros de inventario de una cadena minorista, encontraron que alrededor del 65 % de los registros no coincidía con las existencias físicas de la tienda, y que la inexactitud aumentaba con el volumen de ventas del artículo y la variedad de productos. Esta diferencia entre el inventario teórico y el físico es lo que comúnmente se denomina inventario fantasma.</w:t>
      </w:r>
    </w:p>
    <w:p>
      <w:pPr>
        <w:pStyle w:val="APA7"/>
      </w:pPr>
      <w:r>
        <w:t xml:space="preserve">Raman et al. (2001) sostienen que buena parte de los problemas de las operaciones minoristas no provienen de la planificación, sino de la ejecución: productos que están en la tienda, pero no en el anaquel, y registros que no reflejan la realidad. De allí la importancia de la trazabilidad, entendida como la capacidad de reconstruir quién solicitó, aprobó, despachó y recibió cada movimiento, y con qué cantidades. El sistema propuesto registra cada cambio de estado de un traslado con el usuario, la fecha y las cantidades involucradas, y compara lo despachado con lo recibido para evidenciar las diferencias.</w:t>
      </w:r>
    </w:p>
    <w:p>
      <w:pPr>
        <w:pStyle w:val="Ttulo3"/>
        <w:numPr>
          <w:ilvl w:val="2"/>
          <w:numId w:val="4"/>
        </w:numPr>
        <w:rPr>
          <w:lang w:val="es-VE"/>
        </w:rPr>
      </w:pPr>
      <w:r>
        <w:rPr>
          <w:lang w:val="es-VE"/>
        </w:rPr>
        <w:t xml:space="preserve">Middleware e Integración con el Sistema Administrativo</w:t>
      </w:r>
    </w:p>
    <w:p>
      <w:pPr>
        <w:pStyle w:val="APA7"/>
      </w:pPr>
      <w:r>
        <w:t xml:space="preserve">Bernstein (1996) define el </w:t>
      </w:r>
      <w:r>
        <w:rPr>
          <w:i/>
          <w:iCs/>
        </w:rPr>
        <w:t xml:space="preserve">middleware</w:t>
      </w:r>
      <w:r>
        <w:t xml:space="preserve"> como un conjunto de servicios de software ubicado entre las aplicaciones y la plataforma subyacente, que ofrece interfaces y protocolos estándar para que aplicaciones distintas puedan intercambiar información sin depender de los detalles de cada una. En el contexto de esta investigación, el término se emplea para describir un sistema satélite que se sitúa entre el sistema administrativo de la empresa y sus usuarios: toma de aquel los datos de artículos, existencias y ventas, los procesa y ofrece servicios de análisis y de control de traslados que el sistema administrativo no provee, sin modificar su código ni sus registros contables.</w:t>
      </w:r>
    </w:p>
    <w:p>
      <w:pPr>
        <w:pStyle w:val="Ttulo3"/>
        <w:numPr>
          <w:ilvl w:val="2"/>
          <w:numId w:val="4"/>
        </w:numPr>
        <w:rPr>
          <w:lang w:val="es-VE"/>
        </w:rPr>
      </w:pPr>
      <w:r>
        <w:rPr>
          <w:lang w:val="es-VE"/>
        </w:rPr>
        <w:t xml:space="preserve">Arquitectura de Software Hexagonal</w:t>
      </w:r>
    </w:p>
    <w:p>
      <w:pPr>
        <w:pStyle w:val="APA7"/>
      </w:pPr>
      <w:r>
        <w:t xml:space="preserve">La arquitectura de software define la organización de un sistema en componentes, sus relaciones y los principios que guían su diseño y evolución (Sommerville, 2011). Cockburn (2005) propuso la arquitectura hexagonal, también llamada de puertos y adaptadores, cuyo propósito es que la aplicación pueda ser utilizada por igual por usuarios, otros programas o pruebas automatizadas, y que pueda desarrollarse y probarse de forma aislada de las bases de datos y dispositivos con los que finalmente trabajará. Para ello, el núcleo de la aplicación se comunica con el exterior solamente a través de puertos, que son interfaces definidas por la propia aplicación, y cada tecnología concreta se conecta mediante un adaptador que traduce entre ella y el puerto.</w:t>
      </w:r>
    </w:p>
    <w:p>
      <w:pPr>
        <w:pStyle w:val="APA7"/>
      </w:pPr>
      <w:r>
        <w:t xml:space="preserve">Este enfoque se apoya en el principio de inversión de dependencias, según el cual los módulos de alto nivel, que contienen las reglas de negocio, no deben depender de los detalles de bajo nivel como la base de datos o el marco web, sino que ambos deben depender de abstracciones (Martin, 2017). En el sistema propuesto, el dominio contiene las reglas de clasificación ABC, cálculo de cobertura y flujo de traslados como funciones independientes de la tecnología; los puertos definen qué datos necesita la aplicación; y los adaptadores implementan el acceso a PostgreSQL, la importación de los reportes del sistema administrativo y la interfaz web. Así, la futura conexión directa con el sistema administrativo requerirá un nuevo adaptador sin alterar las reglas de negocio.</w:t>
      </w:r>
    </w:p>
    <w:p>
      <w:pPr>
        <w:pStyle w:val="Ttulo3"/>
        <w:numPr>
          <w:ilvl w:val="2"/>
          <w:numId w:val="4"/>
        </w:numPr>
        <w:rPr>
          <w:lang w:val="es-VE"/>
        </w:rPr>
      </w:pPr>
      <w:r>
        <w:rPr>
          <w:lang w:val="es-VE"/>
        </w:rPr>
        <w:t xml:space="preserve">Aplicaciones Web, Servicios REST y Diseño Adaptativo</w:t>
      </w:r>
    </w:p>
    <w:p>
      <w:pPr>
        <w:pStyle w:val="APA7"/>
      </w:pPr>
      <w:r>
        <w:t xml:space="preserve">Una aplicación web es un programa alojado en un servidor al que los usuarios acceden mediante un navegador, sin necesidad de instalarlo en cada equipo. La comunicación entre la interfaz y el servidor suele seguir el estilo arquitectónico REST (</w:t>
      </w:r>
      <w:r>
        <w:rPr>
          <w:i/>
          <w:iCs/>
        </w:rPr>
        <w:t xml:space="preserve">Representational State Transfer</w:t>
      </w:r>
      <w:r>
        <w:t xml:space="preserve">), definido por Fielding (2000) a partir de restricciones como la separación cliente-servidor, la comunicación sin estado, el uso de una interfaz uniforme basada en recursos identificados por direcciones y la posibilidad de almacenar respuestas en caché.</w:t>
      </w:r>
    </w:p>
    <w:p>
      <w:pPr>
        <w:pStyle w:val="APA7"/>
      </w:pPr>
      <w:r>
        <w:t xml:space="preserve">Marcotte (2010) acuñó el término diseño web adaptativo (</w:t>
      </w:r>
      <w:r>
        <w:rPr>
          <w:i/>
          <w:iCs/>
        </w:rPr>
        <w:t xml:space="preserve">responsive web design</w:t>
      </w:r>
      <w:r>
        <w:t xml:space="preserve">) para referirse a las interfaces que se ajustan al tamaño de la pantalla del dispositivo mediante cuadrículas flexibles, imágenes flexibles y consultas de medios. Este enfoque es necesario en el sistema propuesto, ya que el personal de las tiendas confirma recepciones y registra incidencias desde el piso de ventas con teléfonos o tabletas, mientras que los analistas trabajan en computadoras de escritorio.</w:t>
      </w:r>
    </w:p>
    <w:p>
      <w:pPr>
        <w:pStyle w:val="APA7"/>
      </w:pPr>
      <w:r>
        <w:t xml:space="preserve">Para la construcción del sistema se seleccionaron tecnologías de código abierto. En el servidor se emplea Flask, un marco de trabajo ligero para aplicaciones web escritas en Python que ofrece el enrutamiento de solicitudes y deja al desarrollador la elección de los demás componentes (Pallets, s.f.). En el cliente se utiliza React, una biblioteca de JavaScript para construir interfaces de usuario a partir de componentes reutilizables (Meta Platforms, s.f.).</w:t>
      </w:r>
    </w:p>
    <w:p>
      <w:pPr>
        <w:pStyle w:val="Ttulo3"/>
        <w:numPr>
          <w:ilvl w:val="2"/>
          <w:numId w:val="4"/>
        </w:numPr>
        <w:rPr>
          <w:lang w:val="es-VE"/>
        </w:rPr>
      </w:pPr>
      <w:r>
        <w:rPr>
          <w:lang w:val="es-VE"/>
        </w:rPr>
        <w:t xml:space="preserve">Bases de Datos Relacionales</w:t>
      </w:r>
    </w:p>
    <w:p>
      <w:pPr>
        <w:pStyle w:val="APA7"/>
      </w:pPr>
      <w:r>
        <w:t xml:space="preserve">Una base de datos es una colección de datos relacionados que representa algún aspecto del mundo real, y un sistema gestor de bases de datos es el software que permite definirla, construirla, manipularla y compartirla entre usuarios y aplicaciones (Elmasri &amp; Navathe, 2007). Codd (1970) propuso el modelo relacional, en el que los datos se organizan en relaciones o tablas formadas por filas y columnas, independientes de su representación física, lo que permite consultarlos mediante lenguajes declarativos.</w:t>
      </w:r>
    </w:p>
    <w:p>
      <w:pPr>
        <w:pStyle w:val="APA7"/>
      </w:pPr>
      <w:r>
        <w:t xml:space="preserve">El sistema propuesto utiliza PostgreSQL, un sistema gestor de bases de datos objeto-relacional de código abierto que implementa el lenguaje SQL y garantiza transacciones con las propiedades de atomicidad, consistencia, aislamiento y durabilidad (The PostgreSQL Global Development Group, s.f.). Estas propiedades son indispensables para que el cambio de estado de un traslado y la reserva de las cantidades correspondientes se registren de forma completa o no se registren en absoluto.</w:t>
      </w:r>
    </w:p>
    <w:p>
      <w:pPr>
        <w:pStyle w:val="Ttulo3"/>
        <w:numPr>
          <w:ilvl w:val="2"/>
          <w:numId w:val="4"/>
        </w:numPr>
        <w:rPr>
          <w:lang w:val="es-VE"/>
        </w:rPr>
      </w:pPr>
      <w:r>
        <w:rPr>
          <w:lang w:val="es-VE"/>
        </w:rPr>
        <w:t xml:space="preserve">Máquinas de Estado y Flujo de Trabajo</w:t>
      </w:r>
    </w:p>
    <w:p>
      <w:pPr>
        <w:pStyle w:val="APA7"/>
      </w:pPr>
      <w:r>
        <w:t xml:space="preserve">Una máquina de estados describe el comportamiento de un objeto mediante un conjunto finito de estados y las transiciones entre ellos, que se disparan por eventos y pueden estar condicionadas por reglas o guardas (Object Management Group, 2017). Este modelo es apropiado para representar procesos administrativos en los que un documento pasa por etapas definidas y solo determinadas personas pueden ejecutar cada paso.</w:t>
      </w:r>
    </w:p>
    <w:p>
      <w:pPr>
        <w:pStyle w:val="APA7"/>
      </w:pPr>
      <w:r>
        <w:t xml:space="preserve">En el sistema propuesto, cada traslado se modela como una máquina de estados que recorre las etapas de solicitud, aprobación, despacho y recepción. Cada transición está restringida según el rol del usuario y queda registrada como un evento con su autor y su fecha, lo que hace posible la trazabilidad descrita en el Capítulo I y la auditoría posterior de los movimientos.</w:t>
      </w:r>
    </w:p>
    <w:p>
      <w:pPr>
        <w:pStyle w:val="Ttulo3"/>
        <w:numPr>
          <w:ilvl w:val="2"/>
          <w:numId w:val="4"/>
        </w:numPr>
        <w:rPr>
          <w:lang w:val="es-VE"/>
        </w:rPr>
      </w:pPr>
      <w:r>
        <w:rPr>
          <w:lang w:val="es-VE"/>
        </w:rPr>
        <w:t xml:space="preserve">Ingeniería de Software, Calidad y Usabilidad</w:t>
      </w:r>
    </w:p>
    <w:p>
      <w:pPr>
        <w:pStyle w:val="APA7"/>
      </w:pPr>
      <w:r>
        <w:t xml:space="preserve">La ingeniería de software es la disciplina que se ocupa de todos los aspectos de la producción de software, desde la especificación del sistema hasta su mantenimiento, e incluye las actividades de especificación, diseño e implementación, validación y evolución (Sommerville, 2011). Dentro de la validación, las pruebas tienen como fin demostrar que el software cumple sus requerimientos y descubrir los defectos antes de su uso; comprenden las pruebas de unidad, de componentes y del sistema, y las pruebas de aceptación con los usuarios (Sommerville, 2011).</w:t>
      </w:r>
    </w:p>
    <w:p>
      <w:pPr>
        <w:pStyle w:val="APA7"/>
      </w:pPr>
      <w:r>
        <w:t xml:space="preserve">Para evaluar la calidad del producto, la norma ISO/IEC 25010 define un modelo de características como la adecuación funcional, la eficiencia de desempeño, la compatibilidad, la capacidad de interacción, la fiabilidad, la seguridad, la mantenibilidad y la flexibilidad (International Organization for Standardization, 2023). En cuanto a la usabilidad, Nielsen (1994) formuló diez heurísticas para el diseño de interfaces, entre ellas la visibilidad del estado del sistema, la prevención de errores y el reconocimiento antes que el recuerdo, las cuales servirán de referencia para las pruebas de usabilidad del quinto objetivo específico.</w:t>
      </w:r>
    </w:p>
    <w:p>
      <w:pPr>
        <w:pStyle w:val="Ttulo2"/>
        <w:numPr>
          <w:ilvl w:val="1"/>
          <w:numId w:val="4"/>
        </w:numPr>
        <w:rPr>
          <w:lang w:val="es-VE"/>
        </w:rPr>
      </w:pPr>
      <w:r>
        <w:rPr>
          <w:lang w:val="es-VE"/>
        </w:rPr>
        <w:t xml:space="preserve">Bases Legales</w:t>
      </w:r>
    </w:p>
    <w:p>
      <w:pPr>
        <w:pStyle w:val="APA7"/>
      </w:pPr>
      <w:r>
        <w:t xml:space="preserve">Las bases legales comprenden el conjunto de normas jurídicas que sustentan y delimitan la investigación. A continuación se presentan las disposiciones del ordenamiento jurídico venezolano vinculadas con el desarrollo y uso del sistema web propuesto.</w:t>
      </w:r>
    </w:p>
    <w:p>
      <w:pPr>
        <w:pStyle w:val="Ttulo3"/>
        <w:numPr>
          <w:ilvl w:val="2"/>
          <w:numId w:val="4"/>
        </w:numPr>
        <w:rPr>
          <w:lang w:val="es-VE"/>
        </w:rPr>
      </w:pPr>
      <w:r>
        <w:rPr>
          <w:lang w:val="es-VE"/>
        </w:rPr>
        <w:t xml:space="preserve">Constitución de la República Bolivariana de Venezuela</w:t>
      </w:r>
    </w:p>
    <w:p>
      <w:pPr>
        <w:pStyle w:val="APA7"/>
      </w:pPr>
      <w:r>
        <w:t xml:space="preserve">La Constitución de la República Bolivariana de Venezuela (1999) establece en su artículo 28 el derecho de toda persona a acceder a la información y a los datos que sobre sí misma o sobre sus bienes consten en registros oficiales o privados, así como a conocer el uso que se haga de ellos y a solicitar su actualización o rectificación. En el artículo 60 dispone que la ley limitará el uso de la informática para garantizar el honor y la intimidad personal y familiar de los ciudadanos. Por último, el artículo 110 reconoce el interés público de la ciencia, la tecnología, el conocimiento, la innovación y sus aplicaciones, así como de los servicios de información, por ser instrumentos fundamentales para el desarrollo económico, social y político del país.</w:t>
      </w:r>
    </w:p>
    <w:p>
      <w:pPr>
        <w:pStyle w:val="APA7"/>
      </w:pPr>
      <w:r>
        <w:t xml:space="preserve">Estos artículos se relacionan con la investigación porque el sistema almacena datos de los usuarios que intervienen en cada movimiento, los cuales deben protegerse y utilizarse únicamente con fines de control interno, y porque el desarrollo de una solución tecnológica para una empresa nacional se enmarca en el interés público que la Constitución atribuye a la innovación.</w:t>
      </w:r>
    </w:p>
    <w:p>
      <w:pPr>
        <w:pStyle w:val="Ttulo3"/>
        <w:numPr>
          <w:ilvl w:val="2"/>
          <w:numId w:val="4"/>
        </w:numPr>
        <w:rPr>
          <w:lang w:val="es-VE"/>
        </w:rPr>
      </w:pPr>
      <w:r>
        <w:rPr>
          <w:lang w:val="es-VE"/>
        </w:rPr>
        <w:t xml:space="preserve">Ley Orgánica de Ciencia, Tecnología e Innovación</w:t>
      </w:r>
    </w:p>
    <w:p>
      <w:pPr>
        <w:pStyle w:val="APA7"/>
      </w:pPr>
      <w:r>
        <w:t xml:space="preserve">La Ley Orgánica de Ciencia, Tecnología e Innovación (2022) tiene por objeto, según su artículo 1, dirigir la generación de una ciencia, tecnología, innovación y sus aplicaciones con base en el ejercicio pleno de la soberanía nacional. En su artículo 39 contempla el acompañamiento científico y tecnológico al sector productivo nacional. La presente investigación se vincula con esta ley en la medida en que aplica conocimientos de ingeniería de software para resolver un problema concreto de una empresa del sector comercial venezolano.</w:t>
      </w:r>
    </w:p>
    <w:p>
      <w:pPr>
        <w:pStyle w:val="Ttulo3"/>
        <w:numPr>
          <w:ilvl w:val="2"/>
          <w:numId w:val="4"/>
        </w:numPr>
        <w:rPr>
          <w:lang w:val="es-VE"/>
        </w:rPr>
      </w:pPr>
      <w:r>
        <w:rPr>
          <w:lang w:val="es-VE"/>
        </w:rPr>
        <w:t xml:space="preserve">Ley Especial contra los Delitos Informáticos</w:t>
      </w:r>
    </w:p>
    <w:p>
      <w:pPr>
        <w:pStyle w:val="APA7"/>
      </w:pPr>
      <w:r>
        <w:t xml:space="preserve">La Ley Especial contra los Delitos Informáticos (2001) tiene por objeto la protección integral de los sistemas que utilicen tecnologías de información, así como la prevención y sanción de los delitos cometidos contra ellos o por medio de ellos (art. 1). Tipifica, entre otros, el acceso indebido a un sistema sin la debida autorización o excediendo la obtenida (art. 6); el sabotaje o daño a sistemas, que incluye destruir, dañar o modificar la data o el funcionamiento de un sistema (art. 7); y el espionaje informático, consistente en obtener, revelar o difundir indebidamente la data contenida en un sistema (art. 11).</w:t>
      </w:r>
    </w:p>
    <w:p>
      <w:pPr>
        <w:pStyle w:val="APA7"/>
      </w:pPr>
      <w:r>
        <w:t xml:space="preserve">Esta ley fundamenta los requerimientos de seguridad del sistema propuesto: la autenticación de los usuarios, el control de acceso por roles y el registro inalterable de las operaciones, que permiten determinar quién realizó cada acción y prevenir modificaciones no autorizadas de los datos de inventario.</w:t>
      </w:r>
    </w:p>
    <w:p>
      <w:pPr>
        <w:pStyle w:val="Ttulo3"/>
        <w:numPr>
          <w:ilvl w:val="2"/>
          <w:numId w:val="4"/>
        </w:numPr>
        <w:rPr>
          <w:lang w:val="es-VE"/>
        </w:rPr>
      </w:pPr>
      <w:r>
        <w:rPr>
          <w:lang w:val="es-VE"/>
        </w:rPr>
        <w:t xml:space="preserve">Decreto con Fuerza de Ley sobre Mensajes de Datos y Firmas Electrónicas</w:t>
      </w:r>
    </w:p>
    <w:p>
      <w:pPr>
        <w:pStyle w:val="APA7"/>
      </w:pPr>
      <w:r>
        <w:t xml:space="preserve">El Decreto con Fuerza de Ley N.º 1.204 sobre Mensajes de Datos y Firmas Electrónicas (2001) tiene por objeto otorgar y reconocer eficacia y valor jurídico a la firma electrónica, al mensaje de datos y a toda información inteligible en formato electrónico (art. 1). Su artículo 4 establece que los mensajes de datos tendrán la misma eficacia probatoria que la ley otorga a los documentos escritos, y el artículo 8 dispone que, cuando la ley requiera que la información conste por escrito, ese requisito quedará satisfecho con relación a un mensaje de datos si la información que contiene es accesible para su ulterior consulta.</w:t>
      </w:r>
    </w:p>
    <w:p>
      <w:pPr>
        <w:pStyle w:val="APA7"/>
      </w:pPr>
      <w:r>
        <w:t xml:space="preserve">Con base en este decreto, los registros electrónicos de solicitudes, aprobaciones, despachos y recepciones que genera el sistema pueden servir como soporte documental de los movimientos de mercancía, siempre que se conserven íntegros y accesibles para su consulta.</w:t>
      </w:r>
    </w:p>
    <w:p>
      <w:pPr>
        <w:pStyle w:val="Ttulo3"/>
        <w:numPr>
          <w:ilvl w:val="2"/>
          <w:numId w:val="4"/>
        </w:numPr>
        <w:rPr>
          <w:lang w:val="es-VE"/>
        </w:rPr>
      </w:pPr>
      <w:r>
        <w:rPr>
          <w:lang w:val="es-VE"/>
        </w:rPr>
        <w:t xml:space="preserve">Código de Comercio</w:t>
      </w:r>
    </w:p>
    <w:p>
      <w:pPr>
        <w:pStyle w:val="APA7"/>
      </w:pPr>
      <w:r>
        <w:t xml:space="preserve">El Código de Comercio (1955) establece en su artículo 32 que todo comerciante debe llevar su contabilidad en idioma castellano y que los libros indispensables son el Diario, el Mayor y el de Inventarios; y en su artículo 35, que todo comerciante, al comenzar su giro y al fin de cada año, hará en el libro de Inventarios una descripción estimatoria de todos sus bienes. Aunque el sistema propuesto no sustituye la contabilidad de la empresa, que permanece en el sistema administrativo, contribuye a la exactitud de las existencias que se reflejan en dichos registros al controlar y documentar los movimientos de mercancía entre sedes.</w:t>
      </w:r>
    </w:p>
    <w:p>
      <w:pPr>
        <w:pStyle w:val="Ttulo2"/>
        <w:numPr>
          <w:ilvl w:val="1"/>
          <w:numId w:val="4"/>
        </w:numPr>
        <w:rPr>
          <w:lang w:val="es-VE"/>
        </w:rPr>
      </w:pPr>
      <w:r>
        <w:rPr>
          <w:lang w:val="es-VE"/>
        </w:rPr>
        <w:t xml:space="preserve">Definición de Términos Básicos</w:t>
      </w:r>
    </w:p>
    <w:p>
      <w:pPr>
        <w:pStyle w:val="APA7"/>
      </w:pPr>
      <w:r>
        <w:rPr>
          <w:b/>
          <w:bCs/>
        </w:rPr>
        <w:t xml:space="preserve">Almacén central:</w:t>
      </w:r>
      <w:r>
        <w:t xml:space="preserve"> sede de la empresa donde se concentra la mercancía recibida de los proveedores y desde la cual se abastece a las sucursales.</w:t>
      </w:r>
    </w:p>
    <w:p>
      <w:pPr>
        <w:pStyle w:val="APA7"/>
      </w:pPr>
      <w:r>
        <w:rPr>
          <w:b/>
          <w:bCs/>
        </w:rPr>
        <w:t xml:space="preserve">Capital estancado:</w:t>
      </w:r>
      <w:r>
        <w:t xml:space="preserve"> valor del inventario que permanece sin venderse durante un período prolongado y que genera costos de mantenimiento sin producir ingresos (Silver et al., 2017).</w:t>
      </w:r>
    </w:p>
    <w:p>
      <w:pPr>
        <w:pStyle w:val="APA7"/>
      </w:pPr>
      <w:r>
        <w:rPr>
          <w:b/>
          <w:bCs/>
        </w:rPr>
        <w:t xml:space="preserve">Clasificación ABC:</w:t>
      </w:r>
      <w:r>
        <w:t xml:space="preserve"> técnica que agrupa los artículos en tres clases según su participación en las ventas, con el fin de aplicar políticas de control diferenciadas (Teunter et al., 2010).</w:t>
      </w:r>
    </w:p>
    <w:p>
      <w:pPr>
        <w:pStyle w:val="APA7"/>
      </w:pPr>
      <w:r>
        <w:rPr>
          <w:b/>
          <w:bCs/>
        </w:rPr>
        <w:t xml:space="preserve">Cobertura de inventario:</w:t>
      </w:r>
      <w:r>
        <w:t xml:space="preserve"> número de días de venta que pueden atenderse con las existencias disponibles; se calcula dividiendo el inventario entre la venta promedio diaria.</w:t>
      </w:r>
    </w:p>
    <w:p>
      <w:pPr>
        <w:pStyle w:val="APA7"/>
      </w:pPr>
      <w:r>
        <w:rPr>
          <w:b/>
          <w:bCs/>
        </w:rPr>
        <w:t xml:space="preserve">Inteligencia de negocios:</w:t>
      </w:r>
      <w:r>
        <w:t xml:space="preserve"> conjunto de arquitecturas, herramientas, bases de datos y metodologías que dan acceso interactivo a los datos para su análisis y para la toma de decisiones (Sharda et al., 2020).</w:t>
      </w:r>
    </w:p>
    <w:p>
      <w:pPr>
        <w:pStyle w:val="APA7"/>
      </w:pPr>
      <w:r>
        <w:rPr>
          <w:b/>
          <w:bCs/>
        </w:rPr>
        <w:t xml:space="preserve">Inventario fantasma:</w:t>
      </w:r>
      <w:r>
        <w:t xml:space="preserve"> diferencia entre las existencias que muestra el sistema y las que se encuentran físicamente en la tienda (DeHoratius &amp; Raman, 2008).</w:t>
      </w:r>
    </w:p>
    <w:p>
      <w:pPr>
        <w:pStyle w:val="APA7"/>
      </w:pPr>
      <w:r>
        <w:rPr>
          <w:b/>
          <w:bCs/>
        </w:rPr>
        <w:t xml:space="preserve">Middleware:</w:t>
      </w:r>
      <w:r>
        <w:t xml:space="preserve"> capa de software situada entre las aplicaciones y la plataforma que permite que sistemas distintos intercambien información mediante interfaces estándar (Bernstein, 1996).</w:t>
      </w:r>
    </w:p>
    <w:p>
      <w:pPr>
        <w:pStyle w:val="APA7"/>
      </w:pPr>
      <w:r>
        <w:rPr>
          <w:b/>
          <w:bCs/>
        </w:rPr>
        <w:t xml:space="preserve">Puerto y adaptador:</w:t>
      </w:r>
      <w:r>
        <w:t xml:space="preserve"> en la arquitectura hexagonal, el puerto es la interfaz que define la aplicación para comunicarse con el exterior, y el adaptador es el componente que conecta una tecnología concreta con ese puerto (Cockburn, 2005).</w:t>
      </w:r>
    </w:p>
    <w:p>
      <w:pPr>
        <w:pStyle w:val="APA7"/>
      </w:pPr>
      <w:r>
        <w:rPr>
          <w:b/>
          <w:bCs/>
        </w:rPr>
        <w:t xml:space="preserve">Quiebre de stock:</w:t>
      </w:r>
      <w:r>
        <w:t xml:space="preserve"> situación en la que un artículo se agota en un punto de venta y no puede atenderse la demanda, con la consiguiente pérdida de ventas (Silver et al., 2017).</w:t>
      </w:r>
    </w:p>
    <w:p>
      <w:pPr>
        <w:pStyle w:val="APA7"/>
      </w:pPr>
      <w:r>
        <w:rPr>
          <w:b/>
          <w:bCs/>
        </w:rPr>
        <w:t xml:space="preserve">REST:</w:t>
      </w:r>
      <w:r>
        <w:t xml:space="preserve"> estilo arquitectónico para sistemas distribuidos basado en recursos identificados por direcciones, comunicación sin estado e interfaz uniforme (Fielding, 2000).</w:t>
      </w:r>
    </w:p>
    <w:p>
      <w:pPr>
        <w:pStyle w:val="APA7"/>
      </w:pPr>
      <w:r>
        <w:rPr>
          <w:b/>
          <w:bCs/>
        </w:rPr>
        <w:t xml:space="preserve">Sistema de soporte a la toma de decisiones (DSS):</w:t>
      </w:r>
      <w:r>
        <w:t xml:space="preserve"> sistema interactivo basado en computadora que ayuda a quienes deciden a utilizar datos y modelos para resolver problemas no estructurados o semiestructurados (Sprague, 1980).</w:t>
      </w:r>
    </w:p>
    <w:p>
      <w:pPr>
        <w:pStyle w:val="APA7"/>
      </w:pPr>
      <w:r>
        <w:rPr>
          <w:b/>
          <w:bCs/>
        </w:rPr>
        <w:t xml:space="preserve">Sistema web:</w:t>
      </w:r>
      <w:r>
        <w:t xml:space="preserve"> aplicación alojada en un servidor a la que los usuarios acceden mediante un navegador, sin instalación en cada equipo.</w:t>
      </w:r>
    </w:p>
    <w:p>
      <w:pPr>
        <w:pStyle w:val="APA7"/>
      </w:pPr>
      <w:r>
        <w:rPr>
          <w:b/>
          <w:bCs/>
        </w:rPr>
        <w:t xml:space="preserve">Sucursal o sede:</w:t>
      </w:r>
      <w:r>
        <w:t xml:space="preserve"> punto de venta de la empresa que mantiene inventario propio y recibe mercancía del almacén central o de otras sucursales.</w:t>
      </w:r>
    </w:p>
    <w:p>
      <w:pPr>
        <w:pStyle w:val="APA7"/>
      </w:pPr>
      <w:r>
        <w:rPr>
          <w:b/>
          <w:bCs/>
        </w:rPr>
        <w:t xml:space="preserve">Trazabilidad:</w:t>
      </w:r>
      <w:r>
        <w:t xml:space="preserve"> capacidad de reconstruir el recorrido de un movimiento de mercancía, identificando quién lo solicitó, aprobó, despachó y recibió, en qué fecha y con qué cantidades.</w:t>
      </w:r>
    </w:p>
    <w:p>
      <w:pPr>
        <w:pStyle w:val="APA7"/>
      </w:pPr>
      <w:r>
        <w:rPr>
          <w:b/>
          <w:bCs/>
        </w:rPr>
        <w:t xml:space="preserve">Traslado:</w:t>
      </w:r>
      <w:r>
        <w:t xml:space="preserve"> movimiento de mercancía entre dos sedes de la misma empresa, que en el sistema propuesto recorre las etapas de solicitud, aprobación, despacho y recepción.</w:t>
      </w:r>
    </w:p>
    <w:p>
      <w:pPr>
        <w:pStyle w:val="APA7"/>
      </w:pPr>
      <w:r>
        <w:br w:type="page"/>
      </w:r>
    </w:p>
    <w:p>
      <w:pPr>
        <w:pStyle w:val="Ttulo1"/>
        <w:numPr>
          <w:ilvl w:val="0"/>
          <w:numId w:val="0"/>
        </w:numPr>
        <w:ind w:left="720"/>
        <w:jc w:val="center"/>
        <w:rPr>
          <w:lang w:val="es-VE"/>
        </w:rPr>
      </w:pPr>
      <w:r>
        <w:rPr>
          <w:lang w:val="es-VE"/>
        </w:rPr>
        <w:t xml:space="preserve">REFERENCIAS</w:t>
      </w:r>
    </w:p>
    <w:p>
      <w:pPr>
        <w:pStyle w:val="APA7"/>
        <w:ind w:left="709" w:hanging="709"/>
        <w:jc w:val="left"/>
      </w:pPr>
      <w:r>
        <w:t xml:space="preserve">Acuña, M. A., Grande, V., &amp; Hernández, S. (2025). </w:t>
      </w:r>
      <w:r>
        <w:rPr>
          <w:i/>
          <w:iCs/>
        </w:rPr>
        <w:t xml:space="preserve">Propuesta de mejora en la gestión de datos mediante inteligencia de negocios</w:t>
      </w:r>
      <w:r>
        <w:t xml:space="preserve"> [Trabajo final de grado, Universidad Nacional de Rafaela]. Repositorio Institucional UNRaf. https://repositorio.unraf.edu.ar/server/api/core/bitstreams/c0ab0dc5-99b6-49ba-92c2-6bb572dea14b/content</w:t>
      </w:r>
    </w:p>
    <w:p>
      <w:pPr>
        <w:pStyle w:val="APA7"/>
        <w:ind w:left="709" w:hanging="709"/>
        <w:jc w:val="left"/>
      </w:pPr>
      <w:r>
        <w:t xml:space="preserve">Arias, F. G. (2012). </w:t>
      </w:r>
      <w:r>
        <w:rPr>
          <w:i/>
          <w:iCs/>
        </w:rPr>
        <w:t xml:space="preserve">El proyecto de investigación: Introducción a la metodología científica</w:t>
      </w:r>
      <w:r>
        <w:t xml:space="preserve"> (6.ª ed.). Editorial Episteme.</w:t>
      </w:r>
    </w:p>
    <w:p>
      <w:pPr>
        <w:pStyle w:val="APA7"/>
        <w:ind w:left="709" w:hanging="709"/>
        <w:jc w:val="left"/>
      </w:pPr>
      <w:r>
        <w:t xml:space="preserve">Armas, L., &amp; Valera, A. (2022). </w:t>
      </w:r>
      <w:r>
        <w:rPr>
          <w:i/>
          <w:iCs/>
        </w:rPr>
        <w:t xml:space="preserve">Sistema de administración de inventarios para la empresa Enviserca</w:t>
      </w:r>
      <w:r>
        <w:t xml:space="preserve"> [Trabajo especial de grado, Universidad Dr. Rafael Belloso Chacín]. https://virtual.urbe.edu/tesispub/0109398/preliminares.pdf</w:t>
      </w:r>
    </w:p>
    <w:p>
      <w:pPr>
        <w:pStyle w:val="APA7"/>
        <w:ind w:left="709" w:hanging="709"/>
        <w:jc w:val="left"/>
      </w:pPr>
      <w:r>
        <w:t xml:space="preserve">Ballou, R. H. (2004). </w:t>
      </w:r>
      <w:r>
        <w:rPr>
          <w:i/>
          <w:iCs/>
        </w:rPr>
        <w:t xml:space="preserve">Logística: Administración de la cadena de suministro</w:t>
      </w:r>
      <w:r>
        <w:t xml:space="preserve"> (5.ª ed.). Pearson Educación.</w:t>
      </w:r>
    </w:p>
    <w:p>
      <w:pPr>
        <w:pStyle w:val="APA7"/>
        <w:ind w:left="709" w:hanging="709"/>
        <w:jc w:val="left"/>
      </w:pPr>
      <w:r>
        <w:t xml:space="preserve">Bernstein, P. A. (1996). Middleware: A model for distributed system services. </w:t>
      </w:r>
      <w:r>
        <w:rPr>
          <w:i/>
          <w:iCs/>
        </w:rPr>
        <w:t xml:space="preserve">Communications of the ACM, 39</w:t>
      </w:r>
      <w:r>
        <w:t xml:space="preserve">(2), 86–98. https://doi.org/10.1145/230798.230809</w:t>
      </w:r>
    </w:p>
    <w:p>
      <w:pPr>
        <w:pStyle w:val="APA7"/>
        <w:ind w:left="709" w:hanging="709"/>
        <w:jc w:val="left"/>
      </w:pPr>
      <w:r>
        <w:t xml:space="preserve">Chopra, S., &amp; Meindl, P. (2013). </w:t>
      </w:r>
      <w:r>
        <w:rPr>
          <w:i/>
          <w:iCs/>
        </w:rPr>
        <w:t xml:space="preserve">Administración de la cadena de suministro: Estrategia, planeación y operación</w:t>
      </w:r>
      <w:r>
        <w:t xml:space="preserve"> (5.ª ed.). Pearson Educación.</w:t>
      </w:r>
    </w:p>
    <w:p>
      <w:pPr>
        <w:pStyle w:val="APA7"/>
        <w:ind w:left="709" w:hanging="709"/>
        <w:jc w:val="left"/>
      </w:pPr>
      <w:r>
        <w:t xml:space="preserve">Cockburn, A. (2005). </w:t>
      </w:r>
      <w:r>
        <w:rPr>
          <w:i/>
          <w:iCs/>
        </w:rPr>
        <w:t xml:space="preserve">Hexagonal architecture</w:t>
      </w:r>
      <w:r>
        <w:t xml:space="preserve"> (HaT Technical Report 2005.02). https://alistair.cockburn.us/hexagonal-architecture/</w:t>
      </w:r>
    </w:p>
    <w:p>
      <w:pPr>
        <w:pStyle w:val="APA7"/>
        <w:ind w:left="709" w:hanging="709"/>
        <w:jc w:val="left"/>
      </w:pPr>
      <w:r>
        <w:t xml:space="preserve">Codd, E. F. (1970). A relational model of data for large shared data banks. </w:t>
      </w:r>
      <w:r>
        <w:rPr>
          <w:i/>
          <w:iCs/>
        </w:rPr>
        <w:t xml:space="preserve">Communications of the ACM, 13</w:t>
      </w:r>
      <w:r>
        <w:t xml:space="preserve">(6), 377–387. https://doi.org/10.1145/362384.362685</w:t>
      </w:r>
    </w:p>
    <w:p>
      <w:pPr>
        <w:pStyle w:val="APA7"/>
        <w:ind w:left="709" w:hanging="709"/>
        <w:jc w:val="left"/>
      </w:pPr>
      <w:r>
        <w:t xml:space="preserve">Código de Comercio. (1955, 21 de diciembre). </w:t>
      </w:r>
      <w:r>
        <w:rPr>
          <w:i/>
          <w:iCs/>
        </w:rPr>
        <w:t xml:space="preserve">Gaceta Oficial de la República de Venezuela</w:t>
      </w:r>
      <w:r>
        <w:t xml:space="preserve">, N.º 475 (Extraordinario).</w:t>
      </w:r>
    </w:p>
    <w:p>
      <w:pPr>
        <w:pStyle w:val="APA7"/>
        <w:ind w:left="709" w:hanging="709"/>
        <w:jc w:val="left"/>
      </w:pPr>
      <w:r>
        <w:t xml:space="preserve">Constitución de la República Bolivariana de Venezuela. (1999, 30 de diciembre). </w:t>
      </w:r>
      <w:r>
        <w:rPr>
          <w:i/>
          <w:iCs/>
        </w:rPr>
        <w:t xml:space="preserve">Gaceta Oficial de la República Bolivariana de Venezuela</w:t>
      </w:r>
      <w:r>
        <w:t xml:space="preserve">, N.º 36.860. Enmienda N.º 1 publicada en </w:t>
      </w:r>
      <w:r>
        <w:rPr>
          <w:i/>
          <w:iCs/>
        </w:rPr>
        <w:t xml:space="preserve">Gaceta Oficial</w:t>
      </w:r>
      <w:r>
        <w:t xml:space="preserve"> N.º 5.908 (Extraordinario), 19 de febrero de 2009.</w:t>
      </w:r>
    </w:p>
    <w:p>
      <w:pPr>
        <w:pStyle w:val="APA7"/>
        <w:ind w:left="709" w:hanging="709"/>
        <w:jc w:val="left"/>
      </w:pPr>
      <w:r>
        <w:t xml:space="preserve">Decreto con Fuerza de Ley N.º 1.204 sobre Mensajes de Datos y Firmas Electrónicas. (2001, 28 de febrero). </w:t>
      </w:r>
      <w:r>
        <w:rPr>
          <w:i/>
          <w:iCs/>
        </w:rPr>
        <w:t xml:space="preserve">Gaceta Oficial de la República Bolivariana de Venezuela</w:t>
      </w:r>
      <w:r>
        <w:t xml:space="preserve">, N.º 37.148.</w:t>
      </w:r>
    </w:p>
    <w:p>
      <w:pPr>
        <w:pStyle w:val="APA7"/>
        <w:ind w:left="709" w:hanging="709"/>
        <w:jc w:val="left"/>
      </w:pPr>
      <w:r>
        <w:t xml:space="preserve">DeHoratius, N., &amp; Raman, A. (2008). Inventory record inaccuracy: An empirical analysis. </w:t>
      </w:r>
      <w:r>
        <w:rPr>
          <w:i/>
          <w:iCs/>
        </w:rPr>
        <w:t xml:space="preserve">Management Science, 54</w:t>
      </w:r>
      <w:r>
        <w:t xml:space="preserve">(4), 627–641. https://doi.org/10.1287/mnsc.1070.0789</w:t>
      </w:r>
    </w:p>
    <w:p>
      <w:pPr>
        <w:pStyle w:val="APA7"/>
        <w:ind w:left="709" w:hanging="709"/>
        <w:jc w:val="left"/>
      </w:pPr>
      <w:r>
        <w:t xml:space="preserve">Elmasri, R., &amp; Navathe, S. B. (2007). </w:t>
      </w:r>
      <w:r>
        <w:rPr>
          <w:i/>
          <w:iCs/>
        </w:rPr>
        <w:t xml:space="preserve">Fundamentos de sistemas de bases de datos</w:t>
      </w:r>
      <w:r>
        <w:t xml:space="preserve"> (5.ª ed.). Pearson Addison Wesley.</w:t>
      </w:r>
    </w:p>
    <w:p>
      <w:pPr>
        <w:pStyle w:val="APA7"/>
        <w:ind w:left="709" w:hanging="709"/>
        <w:jc w:val="left"/>
      </w:pPr>
      <w:r>
        <w:t xml:space="preserve">Fielding, R. T. (2000). </w:t>
      </w:r>
      <w:r>
        <w:rPr>
          <w:i/>
          <w:iCs/>
        </w:rPr>
        <w:t xml:space="preserve">Architectural styles and the design of network-based software architectures</w:t>
      </w:r>
      <w:r>
        <w:t xml:space="preserve"> [Tesis doctoral, University of California, Irvine]. https://ics.uci.edu/~fielding/pubs/dissertation/top.htm</w:t>
      </w:r>
    </w:p>
    <w:p>
      <w:pPr>
        <w:pStyle w:val="APA7"/>
        <w:ind w:left="709" w:hanging="709"/>
        <w:jc w:val="left"/>
      </w:pPr>
      <w:r>
        <w:t xml:space="preserve">Herrera, G. (2024). </w:t>
      </w:r>
      <w:r>
        <w:rPr>
          <w:i/>
          <w:iCs/>
        </w:rPr>
        <w:t xml:space="preserve">Sistema web de inventario para Diseños Live I&amp;L, C.A. ubicada en Maracay, estado Aragua</w:t>
      </w:r>
      <w:r>
        <w:t xml:space="preserve"> [Trabajo especial de grado, Instituto Universitario de Tecnología de Administración Industrial]. https://iutamaracay.com.ve/iuta_webpage/archivos/GLASMARIS-HERRERA-28456342.pdf</w:t>
      </w:r>
    </w:p>
    <w:p>
      <w:pPr>
        <w:pStyle w:val="APA7"/>
        <w:ind w:left="709" w:hanging="709"/>
        <w:jc w:val="left"/>
      </w:pPr>
      <w:r>
        <w:t xml:space="preserve">International Organization for Standardization. (2023). </w:t>
      </w:r>
      <w:r>
        <w:rPr>
          <w:i/>
          <w:iCs/>
        </w:rPr>
        <w:t xml:space="preserve">Systems and software engineering — Systems and software Quality Requirements and Evaluation (SQuaRE) — Product quality model</w:t>
      </w:r>
      <w:r>
        <w:t xml:space="preserve"> (ISO/IEC 25010:2023). https://www.iso.org/standard/78176.html</w:t>
      </w:r>
    </w:p>
    <w:p>
      <w:pPr>
        <w:pStyle w:val="APA7"/>
        <w:ind w:left="709" w:hanging="709"/>
        <w:jc w:val="left"/>
      </w:pPr>
      <w:r>
        <w:t xml:space="preserve">Kimball, R., &amp; Ross, M. (2013). </w:t>
      </w:r>
      <w:r>
        <w:rPr>
          <w:i/>
          <w:iCs/>
        </w:rPr>
        <w:t xml:space="preserve">The data warehouse toolkit: The definitive guide to dimensional modeling</w:t>
      </w:r>
      <w:r>
        <w:t xml:space="preserve"> (3.ª ed.). Wiley.</w:t>
      </w:r>
    </w:p>
    <w:p>
      <w:pPr>
        <w:pStyle w:val="APA7"/>
        <w:ind w:left="709" w:hanging="709"/>
        <w:jc w:val="left"/>
      </w:pPr>
      <w:r>
        <w:t xml:space="preserve">Laudon, K. C., &amp; Laudon, J. P. (2016). </w:t>
      </w:r>
      <w:r>
        <w:rPr>
          <w:i/>
          <w:iCs/>
        </w:rPr>
        <w:t xml:space="preserve">Sistemas de información gerencial</w:t>
      </w:r>
      <w:r>
        <w:t xml:space="preserve"> (14.ª ed.). Pearson Educación.</w:t>
      </w:r>
    </w:p>
    <w:p>
      <w:pPr>
        <w:pStyle w:val="APA7"/>
        <w:ind w:left="709" w:hanging="709"/>
        <w:jc w:val="left"/>
      </w:pPr>
      <w:r>
        <w:t xml:space="preserve">Ley Especial contra los Delitos Informáticos. (2001, 30 de octubre). </w:t>
      </w:r>
      <w:r>
        <w:rPr>
          <w:i/>
          <w:iCs/>
        </w:rPr>
        <w:t xml:space="preserve">Gaceta Oficial de la República Bolivariana de Venezuela</w:t>
      </w:r>
      <w:r>
        <w:t xml:space="preserve">, N.º 37.313.</w:t>
      </w:r>
    </w:p>
    <w:p>
      <w:pPr>
        <w:pStyle w:val="APA7"/>
        <w:ind w:left="709" w:hanging="709"/>
        <w:jc w:val="left"/>
      </w:pPr>
      <w:r>
        <w:t xml:space="preserve">Ley Orgánica de Ciencia, Tecnología e Innovación. (2022, 1 de abril). </w:t>
      </w:r>
      <w:r>
        <w:rPr>
          <w:i/>
          <w:iCs/>
        </w:rPr>
        <w:t xml:space="preserve">Gaceta Oficial de la República Bolivariana de Venezuela</w:t>
      </w:r>
      <w:r>
        <w:t xml:space="preserve">, N.º 6.693 (Extraordinario).</w:t>
      </w:r>
    </w:p>
    <w:p>
      <w:pPr>
        <w:pStyle w:val="APA7"/>
        <w:ind w:left="709" w:hanging="709"/>
        <w:jc w:val="left"/>
      </w:pPr>
      <w:r>
        <w:t xml:space="preserve">Marcotte, E. (2010, 25 de mayo). Responsive web design. </w:t>
      </w:r>
      <w:r>
        <w:rPr>
          <w:i/>
          <w:iCs/>
        </w:rPr>
        <w:t xml:space="preserve">A List Apart</w:t>
      </w:r>
      <w:r>
        <w:t xml:space="preserve">. https://alistapart.com/article/responsive-web-design/</w:t>
      </w:r>
    </w:p>
    <w:p>
      <w:pPr>
        <w:pStyle w:val="APA7"/>
        <w:ind w:left="709" w:hanging="709"/>
        <w:jc w:val="left"/>
      </w:pPr>
      <w:r>
        <w:t xml:space="preserve">Martin, R. C. (2017). </w:t>
      </w:r>
      <w:r>
        <w:rPr>
          <w:i/>
          <w:iCs/>
        </w:rPr>
        <w:t xml:space="preserve">Clean architecture: A craftsman’s guide to software structure and design</w:t>
      </w:r>
      <w:r>
        <w:t xml:space="preserve">. Prentice Hall.</w:t>
      </w:r>
    </w:p>
    <w:p>
      <w:pPr>
        <w:pStyle w:val="APA7"/>
        <w:ind w:left="709" w:hanging="709"/>
        <w:jc w:val="left"/>
      </w:pPr>
      <w:r>
        <w:t xml:space="preserve">Meta Platforms. (s.f.). </w:t>
      </w:r>
      <w:r>
        <w:rPr>
          <w:i/>
          <w:iCs/>
        </w:rPr>
        <w:t xml:space="preserve">React</w:t>
      </w:r>
      <w:r>
        <w:t xml:space="preserve">. Recuperado el 29 de octubre de 2026, de https://react.dev/</w:t>
      </w:r>
    </w:p>
    <w:p>
      <w:pPr>
        <w:pStyle w:val="APA7"/>
        <w:ind w:left="709" w:hanging="709"/>
        <w:jc w:val="left"/>
      </w:pPr>
      <w:r>
        <w:t xml:space="preserve">Morales-Zavaleta, J., &amp; Castellon-Apaza, D. D. (2026). Sistema web MVC para la gestión del inventario informático de una universidad pública peruana. </w:t>
      </w:r>
      <w:r>
        <w:rPr>
          <w:i/>
          <w:iCs/>
        </w:rPr>
        <w:t xml:space="preserve">Revista Amazonía Digital, 5</w:t>
      </w:r>
      <w:r>
        <w:t xml:space="preserve">(2), Artículo e459. https://doi.org/10.55873/a05qn797</w:t>
      </w:r>
    </w:p>
    <w:p>
      <w:pPr>
        <w:pStyle w:val="APA7"/>
        <w:ind w:left="709" w:hanging="709"/>
        <w:jc w:val="left"/>
      </w:pPr>
      <w:r>
        <w:t xml:space="preserve">Nielsen, J. (1994). </w:t>
      </w:r>
      <w:r>
        <w:rPr>
          <w:i/>
          <w:iCs/>
        </w:rPr>
        <w:t xml:space="preserve">10 usability heuristics for user interface design</w:t>
      </w:r>
      <w:r>
        <w:t xml:space="preserve">. Nielsen Norman Group. https://www.nngroup.com/articles/ten-usability-heuristics/</w:t>
      </w:r>
    </w:p>
    <w:p>
      <w:pPr>
        <w:pStyle w:val="APA7"/>
        <w:ind w:left="709" w:hanging="709"/>
        <w:jc w:val="left"/>
      </w:pPr>
      <w:r>
        <w:t xml:space="preserve">Object Management Group. (2017). </w:t>
      </w:r>
      <w:r>
        <w:rPr>
          <w:i/>
          <w:iCs/>
        </w:rPr>
        <w:t xml:space="preserve">OMG Unified Modeling Language (OMG UML), version 2.5.1</w:t>
      </w:r>
      <w:r>
        <w:t xml:space="preserve">. https://www.omg.org/spec/UML/2.5.1/</w:t>
      </w:r>
    </w:p>
    <w:p>
      <w:pPr>
        <w:pStyle w:val="APA7"/>
        <w:ind w:left="709" w:hanging="709"/>
        <w:jc w:val="left"/>
      </w:pPr>
      <w:r>
        <w:t xml:space="preserve">Ojeda, J. J. (2023). </w:t>
      </w:r>
      <w:r>
        <w:rPr>
          <w:i/>
          <w:iCs/>
        </w:rPr>
        <w:t xml:space="preserve">Sistema web de inventario para el Departamento de Tecnología del Instituto Universitario de Tecnología de Administración Industrial, extensión Maracay</w:t>
      </w:r>
      <w:r>
        <w:t xml:space="preserve"> [Trabajo especial de grado, Instituto Universitario de Tecnología de Administración Industrial]. https://iutamaracay.com.ve/iuta_webpage/archivos/Johan%20Ojeda-I7VA.pdf</w:t>
      </w:r>
    </w:p>
    <w:p>
      <w:pPr>
        <w:pStyle w:val="APA7"/>
        <w:ind w:left="709" w:hanging="709"/>
        <w:jc w:val="left"/>
      </w:pPr>
      <w:r>
        <w:t xml:space="preserve">Pallets. (s.f.). </w:t>
      </w:r>
      <w:r>
        <w:rPr>
          <w:i/>
          <w:iCs/>
        </w:rPr>
        <w:t xml:space="preserve">Flask documentation</w:t>
      </w:r>
      <w:r>
        <w:t xml:space="preserve">. Recuperado el 29 de octubre de 2026, de https://flask.palletsprojects.com/</w:t>
      </w:r>
    </w:p>
    <w:p>
      <w:pPr>
        <w:pStyle w:val="APA7"/>
        <w:ind w:left="709" w:hanging="709"/>
        <w:jc w:val="left"/>
      </w:pPr>
      <w:r>
        <w:t xml:space="preserve">Paterson, C., Kiesmüller, G., Teunter, R., &amp; Glazebrook, K. (2011). Inventory models with lateral transshipments: A review. </w:t>
      </w:r>
      <w:r>
        <w:rPr>
          <w:i/>
          <w:iCs/>
        </w:rPr>
        <w:t xml:space="preserve">European Journal of Operational Research, 210</w:t>
      </w:r>
      <w:r>
        <w:t xml:space="preserve">(2), 125–136. https://doi.org/10.1016/j.ejor.2010.05.048</w:t>
      </w:r>
    </w:p>
    <w:p>
      <w:pPr>
        <w:pStyle w:val="APA7"/>
        <w:ind w:left="709" w:hanging="709"/>
        <w:jc w:val="left"/>
      </w:pPr>
      <w:r>
        <w:t xml:space="preserve">Pérez Flores, E. F. S. (2022). </w:t>
      </w:r>
      <w:r>
        <w:rPr>
          <w:i/>
          <w:iCs/>
        </w:rPr>
        <w:t xml:space="preserve">Reposición automática en empresa de retail mediante algoritmos de optimización</w:t>
      </w:r>
      <w:r>
        <w:t xml:space="preserve"> [Memoria de título, Universidad de Chile]. Repositorio Académico de la Universidad de Chile. https://repositorio.uchile.cl/handle/2250/184806</w:t>
      </w:r>
    </w:p>
    <w:p>
      <w:pPr>
        <w:pStyle w:val="APA7"/>
        <w:ind w:left="709" w:hanging="709"/>
        <w:jc w:val="left"/>
      </w:pPr>
      <w:r>
        <w:t xml:space="preserve">Power, D. J. (2002). </w:t>
      </w:r>
      <w:r>
        <w:rPr>
          <w:i/>
          <w:iCs/>
        </w:rPr>
        <w:t xml:space="preserve">Decision support systems: Concepts and resources for managers</w:t>
      </w:r>
      <w:r>
        <w:t xml:space="preserve">. Quorum Books.</w:t>
      </w:r>
    </w:p>
    <w:p>
      <w:pPr>
        <w:pStyle w:val="APA7"/>
        <w:ind w:left="709" w:hanging="709"/>
        <w:jc w:val="left"/>
      </w:pPr>
      <w:r>
        <w:t xml:space="preserve">Raman, A., DeHoratius, N., &amp; Ton, Z. (2001). Execution: The missing link in retail operations. </w:t>
      </w:r>
      <w:r>
        <w:rPr>
          <w:i/>
          <w:iCs/>
        </w:rPr>
        <w:t xml:space="preserve">California Management Review, 43</w:t>
      </w:r>
      <w:r>
        <w:t xml:space="preserve">(3), 136–152. https://doi.org/10.2307/41166093</w:t>
      </w:r>
    </w:p>
    <w:p>
      <w:pPr>
        <w:pStyle w:val="APA7"/>
        <w:ind w:left="709" w:hanging="709"/>
        <w:jc w:val="left"/>
      </w:pPr>
      <w:r>
        <w:t xml:space="preserve">Sharda, R., Delen, D., &amp; Turban, E. (2020). </w:t>
      </w:r>
      <w:r>
        <w:rPr>
          <w:i/>
          <w:iCs/>
        </w:rPr>
        <w:t xml:space="preserve">Analytics, data science, &amp; artificial intelligence: Systems for decision support</w:t>
      </w:r>
      <w:r>
        <w:t xml:space="preserve"> (11.ª ed.). Pearson.</w:t>
      </w:r>
    </w:p>
    <w:p>
      <w:pPr>
        <w:pStyle w:val="APA7"/>
        <w:ind w:left="709" w:hanging="709"/>
        <w:jc w:val="left"/>
      </w:pPr>
      <w:r>
        <w:t xml:space="preserve">Silver, E. A., Pyke, D. F., &amp; Thomas, D. J. (2017). </w:t>
      </w:r>
      <w:r>
        <w:rPr>
          <w:i/>
          <w:iCs/>
        </w:rPr>
        <w:t xml:space="preserve">Inventory and production management in supply chains</w:t>
      </w:r>
      <w:r>
        <w:t xml:space="preserve"> (4.ª ed.). CRC Press. https://doi.org/10.1201/9781315374406</w:t>
      </w:r>
    </w:p>
    <w:p>
      <w:pPr>
        <w:pStyle w:val="APA7"/>
        <w:ind w:left="709" w:hanging="709"/>
        <w:jc w:val="left"/>
      </w:pPr>
      <w:r>
        <w:t xml:space="preserve">Simon, H. A. (1960). </w:t>
      </w:r>
      <w:r>
        <w:rPr>
          <w:i/>
          <w:iCs/>
        </w:rPr>
        <w:t xml:space="preserve">The new science of management decision</w:t>
      </w:r>
      <w:r>
        <w:t xml:space="preserve">. Harper &amp; Row.</w:t>
      </w:r>
    </w:p>
    <w:p>
      <w:pPr>
        <w:pStyle w:val="APA7"/>
        <w:ind w:left="709" w:hanging="709"/>
        <w:jc w:val="left"/>
      </w:pPr>
      <w:r>
        <w:t xml:space="preserve">Sommerville, I. (2011). </w:t>
      </w:r>
      <w:r>
        <w:rPr>
          <w:i/>
          <w:iCs/>
        </w:rPr>
        <w:t xml:space="preserve">Ingeniería de software</w:t>
      </w:r>
      <w:r>
        <w:t xml:space="preserve"> (9.ª ed.). Pearson Educación.</w:t>
      </w:r>
    </w:p>
    <w:p>
      <w:pPr>
        <w:pStyle w:val="APA7"/>
        <w:ind w:left="709" w:hanging="709"/>
        <w:jc w:val="left"/>
      </w:pPr>
      <w:r>
        <w:t xml:space="preserve">Sprague, R. H., Jr. (1980). A framework for the development of decision support systems. </w:t>
      </w:r>
      <w:r>
        <w:rPr>
          <w:i/>
          <w:iCs/>
        </w:rPr>
        <w:t xml:space="preserve">MIS Quarterly, 4</w:t>
      </w:r>
      <w:r>
        <w:t xml:space="preserve">(4), 1–26. https://doi.org/10.2307/248957</w:t>
      </w:r>
    </w:p>
    <w:p>
      <w:pPr>
        <w:pStyle w:val="APA7"/>
        <w:ind w:left="709" w:hanging="709"/>
        <w:jc w:val="left"/>
      </w:pPr>
      <w:r>
        <w:t xml:space="preserve">Teunter, R. H., Babai, M. Z., &amp; Syntetos, A. A. (2010). ABC classification: Service levels and inventory costs. </w:t>
      </w:r>
      <w:r>
        <w:rPr>
          <w:i/>
          <w:iCs/>
        </w:rPr>
        <w:t xml:space="preserve">Production and Operations Management, 19</w:t>
      </w:r>
      <w:r>
        <w:t xml:space="preserve">(3), 343–352. https://doi.org/10.1111/j.1937-5956.2009.01098.x</w:t>
      </w:r>
    </w:p>
    <w:p>
      <w:pPr>
        <w:pStyle w:val="APA7"/>
        <w:ind w:left="709" w:hanging="709"/>
        <w:jc w:val="left"/>
      </w:pPr>
      <w:r>
        <w:t xml:space="preserve">The PostgreSQL Global Development Group. (s.f.). </w:t>
      </w:r>
      <w:r>
        <w:rPr>
          <w:i/>
          <w:iCs/>
        </w:rPr>
        <w:t xml:space="preserve">PostgreSQL documentation</w:t>
      </w:r>
      <w:r>
        <w:t xml:space="preserve">. Recuperado el 29 de octubre de 2026, de https://www.postgresql.org/docs/</w:t>
      </w:r>
    </w:p>
    <w:p w14:paraId="529AFE38" w14:textId="77777777" w:rsidR="00386374" w:rsidRPr="005A5E69" w:rsidRDefault="00386374" w:rsidP="005A5E69">
      <w:pPr>
        <w:pStyle w:val="APA7"/>
        <w:spacing w:line="240" w:lineRule="auto"/>
        <w:rPr>
          <w:rFonts w:cs="Times New Roman"/>
          <w:sz w:val="20"/>
          <w:szCs w:val="20"/>
        </w:rPr>
      </w:pPr>
    </w:p>
    <w:sectPr w:rsidR="00386374" w:rsidRPr="005A5E69" w:rsidSect="00DE6732">
      <w:headerReference w:type="default" r:id="rId12"/>
      <w:pgSz w:w="12240" w:h="15840" w:code="1"/>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ús Ventura" w:date="2026-10-18T15:14:00Z" w:initials="JV">
    <w:p w14:paraId="12ABC270" w14:textId="55203EC8" w:rsidR="0011223F" w:rsidRDefault="0011223F">
      <w:pPr>
        <w:pStyle w:val="Textocomentario"/>
      </w:pPr>
      <w:r>
        <w:rPr>
          <w:rStyle w:val="Refdecomentario"/>
        </w:rPr>
        <w:annotationRef/>
      </w:r>
      <w:r>
        <w:t>Anexados conceptos de Sistemas de información y web</w:t>
      </w:r>
    </w:p>
  </w:comment>
  <w:comment w:id="1" w:author="Jesús Ventura" w:date="2026-10-09T15:14:00Z" w:initials="JV">
    <w:p w14:paraId="1C949C6A" w14:textId="0329394D" w:rsidR="00D214DC" w:rsidRDefault="00D214DC">
      <w:pPr>
        <w:pStyle w:val="Textocomentario"/>
      </w:pPr>
      <w:r>
        <w:rPr>
          <w:rStyle w:val="Refdecomentario"/>
        </w:rPr>
        <w:annotationRef/>
      </w:r>
      <w:r>
        <w:t>verificar</w:t>
      </w:r>
    </w:p>
  </w:comment>
  <w:comment w:id="2" w:author="Jesús Ventura" w:date="2026-10-09T15:17:00Z" w:initials="JV">
    <w:p w14:paraId="6A96850E" w14:textId="2B7B6665" w:rsidR="00D214DC" w:rsidRDefault="00D214DC">
      <w:pPr>
        <w:pStyle w:val="Textocomentario"/>
      </w:pPr>
      <w:r>
        <w:rPr>
          <w:rStyle w:val="Refdecomentario"/>
        </w:rPr>
        <w:annotationRef/>
      </w:r>
    </w:p>
  </w:comment>
  <w:comment w:id="3" w:author="Jesús Ventura" w:date="2026-10-09T15:18:00Z" w:initials="JV">
    <w:p w14:paraId="3813F148" w14:textId="186AC647" w:rsidR="00D214DC" w:rsidRDefault="00D214DC">
      <w:pPr>
        <w:pStyle w:val="Textocomentario"/>
      </w:pPr>
      <w:r>
        <w:rPr>
          <w:rStyle w:val="Refdecomentario"/>
        </w:rPr>
        <w:annotationRef/>
      </w:r>
      <w:r>
        <w:t xml:space="preserve">que puede pasar si no desarrollas este </w:t>
      </w:r>
      <w:proofErr w:type="spellStart"/>
      <w:r>
        <w:t>sofware</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ABC270" w15:done="1"/>
  <w15:commentEx w15:paraId="1C949C6A" w15:done="1"/>
  <w15:commentEx w15:paraId="6A96850E" w15:done="0"/>
  <w15:commentEx w15:paraId="3813F14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E5FE142" w16cex:dateUtc="2026-10-18T19:14:00Z"/>
  <w16cex:commentExtensible w16cex:durableId="1A418C00" w16cex:dateUtc="2026-10-09T19:14:00Z"/>
  <w16cex:commentExtensible w16cex:durableId="4C7254F5" w16cex:dateUtc="2026-10-09T19:17:00Z"/>
  <w16cex:commentExtensible w16cex:durableId="3AA083F7" w16cex:dateUtc="2026-10-09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ABC270" w16cid:durableId="1E5FE142"/>
  <w16cid:commentId w16cid:paraId="1C949C6A" w16cid:durableId="1A418C00"/>
  <w16cid:commentId w16cid:paraId="6A96850E" w16cid:durableId="4C7254F5"/>
  <w16cid:commentId w16cid:paraId="3813F148" w16cid:durableId="3AA083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B7843" w14:textId="77777777" w:rsidR="0026216C" w:rsidRDefault="0026216C" w:rsidP="00DE6732">
      <w:pPr>
        <w:spacing w:after="0" w:line="240" w:lineRule="auto"/>
      </w:pPr>
      <w:r>
        <w:separator/>
      </w:r>
    </w:p>
  </w:endnote>
  <w:endnote w:type="continuationSeparator" w:id="0">
    <w:p w14:paraId="43E192BC" w14:textId="77777777" w:rsidR="0026216C" w:rsidRDefault="0026216C" w:rsidP="00DE6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08016" w14:textId="77777777" w:rsidR="0026216C" w:rsidRDefault="0026216C" w:rsidP="00DE6732">
      <w:pPr>
        <w:spacing w:after="0" w:line="240" w:lineRule="auto"/>
      </w:pPr>
      <w:r>
        <w:separator/>
      </w:r>
    </w:p>
  </w:footnote>
  <w:footnote w:type="continuationSeparator" w:id="0">
    <w:p w14:paraId="20070945" w14:textId="77777777" w:rsidR="0026216C" w:rsidRDefault="0026216C" w:rsidP="00DE6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883996"/>
      <w:docPartObj>
        <w:docPartGallery w:val="Page Numbers (Top of Page)"/>
        <w:docPartUnique/>
      </w:docPartObj>
    </w:sdtPr>
    <w:sdtContent>
      <w:p w14:paraId="38B1C237" w14:textId="5E7ACAC4" w:rsidR="008D767F" w:rsidRDefault="008D767F">
        <w:pPr>
          <w:pStyle w:val="Encabezado"/>
          <w:jc w:val="right"/>
        </w:pPr>
        <w:r>
          <w:fldChar w:fldCharType="begin"/>
        </w:r>
        <w:r>
          <w:instrText>PAGE   \* MERGEFORMAT</w:instrText>
        </w:r>
        <w:r>
          <w:fldChar w:fldCharType="separate"/>
        </w:r>
        <w:r>
          <w:rPr>
            <w:lang w:val="es-ES"/>
          </w:rPr>
          <w:t>2</w:t>
        </w:r>
        <w:r>
          <w:fldChar w:fldCharType="end"/>
        </w:r>
      </w:p>
    </w:sdtContent>
  </w:sdt>
  <w:p w14:paraId="1D3B89B5" w14:textId="77777777" w:rsidR="008D767F" w:rsidRDefault="008D76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A10DB"/>
    <w:multiLevelType w:val="multilevel"/>
    <w:tmpl w:val="4BD2238C"/>
    <w:lvl w:ilvl="0">
      <w:start w:val="1"/>
      <w:numFmt w:val="upperRoman"/>
      <w:pStyle w:val="Ttulo1"/>
      <w:lvlText w:val="%1."/>
      <w:lvlJc w:val="right"/>
      <w:pPr>
        <w:ind w:left="360" w:hanging="360"/>
      </w:pPr>
    </w:lvl>
    <w:lvl w:ilvl="1">
      <w:start w:val="1"/>
      <w:numFmt w:val="decimal"/>
      <w:pStyle w:val="Ttulo2"/>
      <w:isLgl/>
      <w:lvlText w:val="%1.%2"/>
      <w:lvlJc w:val="left"/>
      <w:pPr>
        <w:ind w:left="735" w:hanging="375"/>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2D7D24"/>
    <w:multiLevelType w:val="multilevel"/>
    <w:tmpl w:val="357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0A2B0E"/>
    <w:multiLevelType w:val="multilevel"/>
    <w:tmpl w:val="4BD2238C"/>
    <w:lvl w:ilvl="0">
      <w:start w:val="2"/>
      <w:numFmt w:val="upperRoman"/>
      <w:lvlText w:val="%1."/>
      <w:lvlJc w:val="right"/>
      <w:pPr>
        <w:ind w:left="36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2259541">
    <w:abstractNumId w:val="0"/>
  </w:num>
  <w:num w:numId="2" w16cid:durableId="1424493300">
    <w:abstractNumId w:val="1"/>
  </w:num>
  <w:num w:numId="3" w16cid:durableId="3145358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ús Ventura">
    <w15:presenceInfo w15:providerId="Windows Live" w15:userId="58da809ca0d7a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732"/>
    <w:rsid w:val="0000578C"/>
    <w:rsid w:val="000606B3"/>
    <w:rsid w:val="000B23E4"/>
    <w:rsid w:val="000B5A15"/>
    <w:rsid w:val="0011223F"/>
    <w:rsid w:val="00140ACA"/>
    <w:rsid w:val="00191620"/>
    <w:rsid w:val="001E5325"/>
    <w:rsid w:val="00224C6C"/>
    <w:rsid w:val="00253685"/>
    <w:rsid w:val="0026216C"/>
    <w:rsid w:val="00352901"/>
    <w:rsid w:val="00364A09"/>
    <w:rsid w:val="00367BB2"/>
    <w:rsid w:val="003846D1"/>
    <w:rsid w:val="00386374"/>
    <w:rsid w:val="00400773"/>
    <w:rsid w:val="0041399A"/>
    <w:rsid w:val="004A52B7"/>
    <w:rsid w:val="004D3E26"/>
    <w:rsid w:val="00543373"/>
    <w:rsid w:val="00552274"/>
    <w:rsid w:val="00577709"/>
    <w:rsid w:val="0058016A"/>
    <w:rsid w:val="005A2502"/>
    <w:rsid w:val="005A5E69"/>
    <w:rsid w:val="005E026D"/>
    <w:rsid w:val="00617CF4"/>
    <w:rsid w:val="006C253F"/>
    <w:rsid w:val="006C4B12"/>
    <w:rsid w:val="007763DA"/>
    <w:rsid w:val="007C186B"/>
    <w:rsid w:val="007F4C76"/>
    <w:rsid w:val="007F6B43"/>
    <w:rsid w:val="00817E61"/>
    <w:rsid w:val="00825EA3"/>
    <w:rsid w:val="0085417F"/>
    <w:rsid w:val="0086421E"/>
    <w:rsid w:val="00876EE0"/>
    <w:rsid w:val="00897746"/>
    <w:rsid w:val="008C3188"/>
    <w:rsid w:val="008D767F"/>
    <w:rsid w:val="00917DEF"/>
    <w:rsid w:val="009C46FF"/>
    <w:rsid w:val="009E4DA3"/>
    <w:rsid w:val="00A317DE"/>
    <w:rsid w:val="00A638EE"/>
    <w:rsid w:val="00A722A4"/>
    <w:rsid w:val="00AD15F3"/>
    <w:rsid w:val="00AE3988"/>
    <w:rsid w:val="00B47C73"/>
    <w:rsid w:val="00B757E0"/>
    <w:rsid w:val="00B8172E"/>
    <w:rsid w:val="00B86830"/>
    <w:rsid w:val="00BD2001"/>
    <w:rsid w:val="00BE7E69"/>
    <w:rsid w:val="00BF3E65"/>
    <w:rsid w:val="00C01726"/>
    <w:rsid w:val="00C64086"/>
    <w:rsid w:val="00C810FD"/>
    <w:rsid w:val="00CD7E94"/>
    <w:rsid w:val="00CE64B3"/>
    <w:rsid w:val="00D0232B"/>
    <w:rsid w:val="00D214DC"/>
    <w:rsid w:val="00D26AA9"/>
    <w:rsid w:val="00D83436"/>
    <w:rsid w:val="00DA52F0"/>
    <w:rsid w:val="00DB471C"/>
    <w:rsid w:val="00DE0EC4"/>
    <w:rsid w:val="00DE6732"/>
    <w:rsid w:val="00EA6BA3"/>
    <w:rsid w:val="00FD119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3B9F9"/>
  <w15:chartTrackingRefBased/>
  <w15:docId w15:val="{851059CD-B47D-4C4E-A1EF-5A64E57F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DE6732"/>
    <w:pPr>
      <w:numPr>
        <w:numId w:val="1"/>
      </w:numPr>
      <w:spacing w:line="360" w:lineRule="auto"/>
      <w:ind w:left="720"/>
      <w:jc w:val="both"/>
      <w:outlineLvl w:val="0"/>
    </w:pPr>
    <w:rPr>
      <w:rFonts w:ascii="Times New Roman" w:hAnsi="Times New Roman" w:cs="Times New Roman"/>
      <w:b/>
      <w:bCs/>
      <w:sz w:val="28"/>
      <w:szCs w:val="28"/>
      <w:lang w:val="en-US"/>
    </w:rPr>
  </w:style>
  <w:style w:type="paragraph" w:styleId="Ttulo2">
    <w:name w:val="heading 2"/>
    <w:basedOn w:val="Prrafodelista"/>
    <w:next w:val="Normal"/>
    <w:link w:val="Ttulo2Car"/>
    <w:uiPriority w:val="9"/>
    <w:unhideWhenUsed/>
    <w:qFormat/>
    <w:rsid w:val="00DE6732"/>
    <w:pPr>
      <w:numPr>
        <w:ilvl w:val="1"/>
        <w:numId w:val="1"/>
      </w:numPr>
      <w:spacing w:line="360" w:lineRule="auto"/>
      <w:jc w:val="both"/>
      <w:outlineLvl w:val="1"/>
    </w:pPr>
    <w:rPr>
      <w:rFonts w:ascii="Times New Roman" w:hAnsi="Times New Roman" w:cs="Times New Roman"/>
      <w:b/>
      <w:bCs/>
      <w:lang w:val="en-US"/>
    </w:rPr>
  </w:style>
  <w:style w:type="paragraph" w:styleId="Ttulo3">
    <w:name w:val="heading 3"/>
    <w:basedOn w:val="Prrafodelista"/>
    <w:next w:val="Normal"/>
    <w:link w:val="Ttulo3Car"/>
    <w:uiPriority w:val="9"/>
    <w:unhideWhenUsed/>
    <w:qFormat/>
    <w:rsid w:val="00DE6732"/>
    <w:pPr>
      <w:numPr>
        <w:ilvl w:val="2"/>
        <w:numId w:val="1"/>
      </w:numPr>
      <w:spacing w:line="360" w:lineRule="auto"/>
      <w:jc w:val="both"/>
      <w:outlineLvl w:val="2"/>
    </w:pPr>
    <w:rPr>
      <w:rFonts w:ascii="Times New Roman" w:hAnsi="Times New Roman" w:cs="Times New Roman"/>
      <w:b/>
      <w:bCs/>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E67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6732"/>
  </w:style>
  <w:style w:type="paragraph" w:styleId="Piedepgina">
    <w:name w:val="footer"/>
    <w:basedOn w:val="Normal"/>
    <w:link w:val="PiedepginaCar"/>
    <w:uiPriority w:val="99"/>
    <w:unhideWhenUsed/>
    <w:rsid w:val="00DE67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6732"/>
  </w:style>
  <w:style w:type="paragraph" w:customStyle="1" w:styleId="APA7">
    <w:name w:val="APA7"/>
    <w:basedOn w:val="Normal"/>
    <w:next w:val="Normal"/>
    <w:qFormat/>
    <w:rsid w:val="00DE6732"/>
    <w:pPr>
      <w:spacing w:line="360" w:lineRule="auto"/>
      <w:ind w:firstLine="709"/>
      <w:jc w:val="both"/>
    </w:pPr>
    <w:rPr>
      <w:rFonts w:ascii="Times New Roman" w:hAnsi="Times New Roman"/>
    </w:rPr>
  </w:style>
  <w:style w:type="paragraph" w:styleId="Ttulo">
    <w:name w:val="Title"/>
    <w:basedOn w:val="Normal"/>
    <w:next w:val="Normal"/>
    <w:link w:val="TtuloCar"/>
    <w:uiPriority w:val="10"/>
    <w:qFormat/>
    <w:rsid w:val="00DE6732"/>
    <w:pPr>
      <w:spacing w:after="0" w:line="360" w:lineRule="auto"/>
      <w:contextualSpacing/>
    </w:pPr>
    <w:rPr>
      <w:rFonts w:ascii="Times New Roman" w:eastAsiaTheme="majorEastAsia" w:hAnsi="Times New Roman" w:cstheme="majorBidi"/>
      <w:spacing w:val="-10"/>
      <w:kern w:val="28"/>
      <w:sz w:val="28"/>
      <w:szCs w:val="56"/>
    </w:rPr>
  </w:style>
  <w:style w:type="character" w:customStyle="1" w:styleId="TtuloCar">
    <w:name w:val="Título Car"/>
    <w:basedOn w:val="Fuentedeprrafopredeter"/>
    <w:link w:val="Ttulo"/>
    <w:uiPriority w:val="10"/>
    <w:rsid w:val="00DE6732"/>
    <w:rPr>
      <w:rFonts w:ascii="Times New Roman" w:eastAsiaTheme="majorEastAsia" w:hAnsi="Times New Roman" w:cstheme="majorBidi"/>
      <w:spacing w:val="-10"/>
      <w:kern w:val="28"/>
      <w:sz w:val="28"/>
      <w:szCs w:val="56"/>
    </w:rPr>
  </w:style>
  <w:style w:type="paragraph" w:styleId="Prrafodelista">
    <w:name w:val="List Paragraph"/>
    <w:basedOn w:val="Normal"/>
    <w:uiPriority w:val="34"/>
    <w:qFormat/>
    <w:rsid w:val="00DE6732"/>
    <w:pPr>
      <w:ind w:left="720"/>
      <w:contextualSpacing/>
    </w:pPr>
  </w:style>
  <w:style w:type="character" w:customStyle="1" w:styleId="Ttulo1Car">
    <w:name w:val="Título 1 Car"/>
    <w:basedOn w:val="Fuentedeprrafopredeter"/>
    <w:link w:val="Ttulo1"/>
    <w:uiPriority w:val="9"/>
    <w:rsid w:val="00DE6732"/>
    <w:rPr>
      <w:rFonts w:ascii="Times New Roman" w:hAnsi="Times New Roman" w:cs="Times New Roman"/>
      <w:b/>
      <w:bCs/>
      <w:sz w:val="28"/>
      <w:szCs w:val="28"/>
      <w:lang w:val="en-US"/>
    </w:rPr>
  </w:style>
  <w:style w:type="character" w:customStyle="1" w:styleId="Ttulo2Car">
    <w:name w:val="Título 2 Car"/>
    <w:basedOn w:val="Fuentedeprrafopredeter"/>
    <w:link w:val="Ttulo2"/>
    <w:uiPriority w:val="9"/>
    <w:rsid w:val="00DE6732"/>
    <w:rPr>
      <w:rFonts w:ascii="Times New Roman" w:hAnsi="Times New Roman" w:cs="Times New Roman"/>
      <w:b/>
      <w:bCs/>
      <w:lang w:val="en-US"/>
    </w:rPr>
  </w:style>
  <w:style w:type="character" w:customStyle="1" w:styleId="Ttulo3Car">
    <w:name w:val="Título 3 Car"/>
    <w:basedOn w:val="Fuentedeprrafopredeter"/>
    <w:link w:val="Ttulo3"/>
    <w:uiPriority w:val="9"/>
    <w:rsid w:val="00DE6732"/>
    <w:rPr>
      <w:rFonts w:ascii="Times New Roman" w:hAnsi="Times New Roman" w:cs="Times New Roman"/>
      <w:b/>
      <w:bCs/>
      <w:lang w:val="en-US"/>
    </w:rPr>
  </w:style>
  <w:style w:type="paragraph" w:styleId="NormalWeb">
    <w:name w:val="Normal (Web)"/>
    <w:basedOn w:val="Normal"/>
    <w:uiPriority w:val="99"/>
    <w:semiHidden/>
    <w:unhideWhenUsed/>
    <w:rsid w:val="00577709"/>
    <w:pPr>
      <w:spacing w:before="100" w:beforeAutospacing="1" w:after="100" w:afterAutospacing="1" w:line="240" w:lineRule="auto"/>
    </w:pPr>
    <w:rPr>
      <w:rFonts w:ascii="Times New Roman" w:eastAsia="Times New Roman" w:hAnsi="Times New Roman" w:cs="Times New Roman"/>
      <w:kern w:val="0"/>
      <w:lang w:eastAsia="es-VE"/>
      <w14:ligatures w14:val="none"/>
    </w:rPr>
  </w:style>
  <w:style w:type="character" w:styleId="Refdecomentario">
    <w:name w:val="annotation reference"/>
    <w:basedOn w:val="Fuentedeprrafopredeter"/>
    <w:uiPriority w:val="99"/>
    <w:semiHidden/>
    <w:unhideWhenUsed/>
    <w:rsid w:val="0000578C"/>
    <w:rPr>
      <w:sz w:val="16"/>
      <w:szCs w:val="16"/>
    </w:rPr>
  </w:style>
  <w:style w:type="paragraph" w:styleId="Textocomentario">
    <w:name w:val="annotation text"/>
    <w:basedOn w:val="Normal"/>
    <w:link w:val="TextocomentarioCar"/>
    <w:uiPriority w:val="99"/>
    <w:semiHidden/>
    <w:unhideWhenUsed/>
    <w:rsid w:val="0000578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0578C"/>
    <w:rPr>
      <w:sz w:val="20"/>
      <w:szCs w:val="20"/>
    </w:rPr>
  </w:style>
  <w:style w:type="paragraph" w:styleId="Asuntodelcomentario">
    <w:name w:val="annotation subject"/>
    <w:basedOn w:val="Textocomentario"/>
    <w:next w:val="Textocomentario"/>
    <w:link w:val="AsuntodelcomentarioCar"/>
    <w:uiPriority w:val="99"/>
    <w:semiHidden/>
    <w:unhideWhenUsed/>
    <w:rsid w:val="0000578C"/>
    <w:rPr>
      <w:b/>
      <w:bCs/>
    </w:rPr>
  </w:style>
  <w:style w:type="character" w:customStyle="1" w:styleId="AsuntodelcomentarioCar">
    <w:name w:val="Asunto del comentario Car"/>
    <w:basedOn w:val="TextocomentarioCar"/>
    <w:link w:val="Asuntodelcomentario"/>
    <w:uiPriority w:val="99"/>
    <w:semiHidden/>
    <w:rsid w:val="000057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897001">
      <w:bodyDiv w:val="1"/>
      <w:marLeft w:val="0"/>
      <w:marRight w:val="0"/>
      <w:marTop w:val="0"/>
      <w:marBottom w:val="0"/>
      <w:divBdr>
        <w:top w:val="none" w:sz="0" w:space="0" w:color="auto"/>
        <w:left w:val="none" w:sz="0" w:space="0" w:color="auto"/>
        <w:bottom w:val="none" w:sz="0" w:space="0" w:color="auto"/>
        <w:right w:val="none" w:sz="0" w:space="0" w:color="auto"/>
      </w:divBdr>
    </w:div>
    <w:div w:id="968557248">
      <w:bodyDiv w:val="1"/>
      <w:marLeft w:val="0"/>
      <w:marRight w:val="0"/>
      <w:marTop w:val="0"/>
      <w:marBottom w:val="0"/>
      <w:divBdr>
        <w:top w:val="none" w:sz="0" w:space="0" w:color="auto"/>
        <w:left w:val="none" w:sz="0" w:space="0" w:color="auto"/>
        <w:bottom w:val="none" w:sz="0" w:space="0" w:color="auto"/>
        <w:right w:val="none" w:sz="0" w:space="0" w:color="auto"/>
      </w:divBdr>
    </w:div>
    <w:div w:id="1392265988">
      <w:bodyDiv w:val="1"/>
      <w:marLeft w:val="0"/>
      <w:marRight w:val="0"/>
      <w:marTop w:val="0"/>
      <w:marBottom w:val="0"/>
      <w:divBdr>
        <w:top w:val="none" w:sz="0" w:space="0" w:color="auto"/>
        <w:left w:val="none" w:sz="0" w:space="0" w:color="auto"/>
        <w:bottom w:val="none" w:sz="0" w:space="0" w:color="auto"/>
        <w:right w:val="none" w:sz="0" w:space="0" w:color="auto"/>
      </w:divBdr>
    </w:div>
    <w:div w:id="1981303787">
      <w:bodyDiv w:val="1"/>
      <w:marLeft w:val="0"/>
      <w:marRight w:val="0"/>
      <w:marTop w:val="0"/>
      <w:marBottom w:val="0"/>
      <w:divBdr>
        <w:top w:val="none" w:sz="0" w:space="0" w:color="auto"/>
        <w:left w:val="none" w:sz="0" w:space="0" w:color="auto"/>
        <w:bottom w:val="none" w:sz="0" w:space="0" w:color="auto"/>
        <w:right w:val="none" w:sz="0" w:space="0" w:color="auto"/>
      </w:divBdr>
    </w:div>
    <w:div w:id="1989240137">
      <w:bodyDiv w:val="1"/>
      <w:marLeft w:val="0"/>
      <w:marRight w:val="0"/>
      <w:marTop w:val="0"/>
      <w:marBottom w:val="0"/>
      <w:divBdr>
        <w:top w:val="none" w:sz="0" w:space="0" w:color="auto"/>
        <w:left w:val="none" w:sz="0" w:space="0" w:color="auto"/>
        <w:bottom w:val="none" w:sz="0" w:space="0" w:color="auto"/>
        <w:right w:val="none" w:sz="0" w:space="0" w:color="auto"/>
      </w:divBdr>
    </w:div>
    <w:div w:id="199649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16C35-6331-4F18-BC0F-6C50BA47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12</Pages>
  <Words>2562</Words>
  <Characters>14095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Ventura</dc:creator>
  <cp:keywords/>
  <dc:description/>
  <cp:lastModifiedBy>Jesús Ventura</cp:lastModifiedBy>
  <cp:revision>15</cp:revision>
  <dcterms:created xsi:type="dcterms:W3CDTF">2026-10-09T17:31:00Z</dcterms:created>
  <dcterms:modified xsi:type="dcterms:W3CDTF">2026-10-18T19:15:00Z</dcterms:modified>
</cp:coreProperties>
</file>