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AA5E" w14:textId="561536A4" w:rsidR="00744A86"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 xml:space="preserve">Dear </w:t>
      </w:r>
      <w:r w:rsidR="003F2598">
        <w:rPr>
          <w:rFonts w:ascii="Palatino Linotype" w:hAnsi="Palatino Linotype"/>
          <w:sz w:val="22"/>
          <w:szCs w:val="22"/>
          <w:lang w:val="en-ES"/>
        </w:rPr>
        <w:t>Editors</w:t>
      </w:r>
      <w:r w:rsidR="004C2BF8">
        <w:rPr>
          <w:rFonts w:ascii="Palatino Linotype" w:hAnsi="Palatino Linotype"/>
          <w:sz w:val="22"/>
          <w:szCs w:val="22"/>
          <w:lang w:val="en-ES"/>
        </w:rPr>
        <w:t xml:space="preserve"> and Guest Editors,</w:t>
      </w:r>
    </w:p>
    <w:p w14:paraId="36BFDBDB" w14:textId="77777777" w:rsidR="00744A86" w:rsidRPr="00744A86" w:rsidRDefault="00744A86" w:rsidP="00744A86">
      <w:pPr>
        <w:jc w:val="both"/>
        <w:rPr>
          <w:rFonts w:ascii="Palatino Linotype" w:hAnsi="Palatino Linotype"/>
          <w:sz w:val="22"/>
          <w:szCs w:val="22"/>
          <w:lang w:val="en-ES"/>
        </w:rPr>
      </w:pPr>
    </w:p>
    <w:p w14:paraId="57CDC88E" w14:textId="0466F16A" w:rsidR="004A1193" w:rsidRPr="001C12A3" w:rsidRDefault="004A1193" w:rsidP="00744A86">
      <w:pPr>
        <w:jc w:val="both"/>
        <w:rPr>
          <w:rFonts w:ascii="Palatino Linotype" w:hAnsi="Palatino Linotype"/>
          <w:sz w:val="22"/>
          <w:szCs w:val="22"/>
          <w:lang w:val="en-ES"/>
        </w:rPr>
      </w:pPr>
      <w:r w:rsidRPr="001C12A3">
        <w:rPr>
          <w:rFonts w:ascii="Palatino Linotype" w:hAnsi="Palatino Linotype"/>
          <w:sz w:val="22"/>
          <w:szCs w:val="22"/>
          <w:lang w:val="en-ES"/>
        </w:rPr>
        <w:t xml:space="preserve">I am pleased to submit my manuscript "Predicting Market Reactions to News: An LLM-Based Approach Using Spanish Business Articles" for consideration in the </w:t>
      </w:r>
      <w:r w:rsidRPr="00FF4885">
        <w:rPr>
          <w:rFonts w:ascii="Palatino Linotype" w:hAnsi="Palatino Linotype"/>
          <w:sz w:val="22"/>
          <w:szCs w:val="22"/>
          <w:lang w:val="en-ES"/>
        </w:rPr>
        <w:t>Special Issue</w:t>
      </w:r>
      <w:r w:rsidRPr="00FF4885">
        <w:rPr>
          <w:rFonts w:ascii="Palatino Linotype" w:hAnsi="Palatino Linotype"/>
          <w:i/>
          <w:iCs/>
          <w:sz w:val="22"/>
          <w:szCs w:val="22"/>
          <w:lang w:val="en-ES"/>
        </w:rPr>
        <w:t xml:space="preserve"> </w:t>
      </w:r>
      <w:r w:rsidRPr="00FF4885">
        <w:rPr>
          <w:rFonts w:ascii="Palatino Linotype" w:hAnsi="Palatino Linotype"/>
          <w:sz w:val="22"/>
          <w:szCs w:val="22"/>
          <w:lang w:val="en-ES"/>
        </w:rPr>
        <w:t xml:space="preserve">on </w:t>
      </w:r>
      <w:r w:rsidR="003F2598" w:rsidRPr="00FF4885">
        <w:rPr>
          <w:rFonts w:ascii="Palatino Linotype" w:hAnsi="Palatino Linotype"/>
          <w:sz w:val="22"/>
          <w:szCs w:val="22"/>
          <w:lang w:val="en-ES"/>
        </w:rPr>
        <w:t>Artificial Intelligence and Finance</w:t>
      </w:r>
      <w:r w:rsidR="003F2598">
        <w:rPr>
          <w:rFonts w:ascii="Palatino Linotype" w:hAnsi="Palatino Linotype"/>
          <w:sz w:val="22"/>
          <w:szCs w:val="22"/>
          <w:lang w:val="en-ES"/>
        </w:rPr>
        <w:t xml:space="preserve"> </w:t>
      </w:r>
      <w:r w:rsidRPr="001C12A3">
        <w:rPr>
          <w:rFonts w:ascii="Palatino Linotype" w:hAnsi="Palatino Linotype"/>
          <w:sz w:val="22"/>
          <w:szCs w:val="22"/>
          <w:lang w:val="en-ES"/>
        </w:rPr>
        <w:t>of the</w:t>
      </w:r>
      <w:r w:rsidR="003F2598">
        <w:rPr>
          <w:rFonts w:ascii="Palatino Linotype" w:hAnsi="Palatino Linotype"/>
          <w:sz w:val="22"/>
          <w:szCs w:val="22"/>
          <w:lang w:val="en-ES"/>
        </w:rPr>
        <w:t xml:space="preserve"> </w:t>
      </w:r>
      <w:r w:rsidR="00FF4885" w:rsidRPr="00FF4885">
        <w:rPr>
          <w:rFonts w:ascii="Palatino Linotype" w:hAnsi="Palatino Linotype"/>
          <w:i/>
          <w:iCs/>
          <w:sz w:val="22"/>
          <w:szCs w:val="22"/>
          <w:lang w:val="en-ES"/>
        </w:rPr>
        <w:t>International Review of Financial Analysis</w:t>
      </w:r>
      <w:r w:rsidRPr="001C12A3">
        <w:rPr>
          <w:rFonts w:ascii="Palatino Linotype" w:hAnsi="Palatino Linotype"/>
          <w:sz w:val="22"/>
          <w:szCs w:val="22"/>
          <w:lang w:val="en-ES"/>
        </w:rPr>
        <w:t xml:space="preserve">. This paper introduces a novel methodology that leverages Large Language Models (LLMs) to analyze how markets process and react to business news. In particular, we develop a structured schema that guides LLMs to systematically identify and classify firm-specific economic shocks in news articles according to their type, magnitude, and direction. </w:t>
      </w:r>
      <w:r w:rsidR="001C12A3" w:rsidRPr="001C12A3">
        <w:rPr>
          <w:rFonts w:ascii="Palatino Linotype" w:hAnsi="Palatino Linotype"/>
          <w:sz w:val="22"/>
          <w:szCs w:val="22"/>
          <w:lang w:val="en-ES"/>
        </w:rPr>
        <w:t xml:space="preserve">By translating these economically-motivated classifications into trading signals, we are able to construct a trading strategy that generates consistent profits out-of-sample, demonstrating that our LLM-based methodology can effectively </w:t>
      </w:r>
      <w:r w:rsidR="00E14DC7">
        <w:rPr>
          <w:rFonts w:ascii="Palatino Linotype" w:hAnsi="Palatino Linotype"/>
          <w:sz w:val="22"/>
          <w:szCs w:val="22"/>
          <w:lang w:val="en-ES"/>
        </w:rPr>
        <w:t>identify</w:t>
      </w:r>
      <w:r w:rsidR="001C12A3" w:rsidRPr="001C12A3">
        <w:rPr>
          <w:rFonts w:ascii="Palatino Linotype" w:hAnsi="Palatino Linotype"/>
          <w:sz w:val="22"/>
          <w:szCs w:val="22"/>
          <w:lang w:val="en-ES"/>
        </w:rPr>
        <w:t xml:space="preserve"> market trends while maintaining interpretability and economic relevance.</w:t>
      </w:r>
    </w:p>
    <w:p w14:paraId="49E29BA8" w14:textId="77777777" w:rsidR="00744A86" w:rsidRPr="00744A86" w:rsidRDefault="00744A86" w:rsidP="00744A86">
      <w:pPr>
        <w:jc w:val="both"/>
        <w:rPr>
          <w:rFonts w:ascii="Palatino Linotype" w:hAnsi="Palatino Linotype"/>
          <w:sz w:val="22"/>
          <w:szCs w:val="22"/>
          <w:lang w:val="en-ES"/>
        </w:rPr>
      </w:pPr>
    </w:p>
    <w:p w14:paraId="0152D3B5" w14:textId="77777777" w:rsidR="00744A86"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This paper directly aligns with the scope of the special issue, as it applies state-of-the-art generative AI methodologies to asset pricing and market efficiency. By integrating economic frameworks into LLM-guided analysis, this work advances the practical application of generative AI to identify persistent market patterns, offering robust and interpretable insights.</w:t>
      </w:r>
    </w:p>
    <w:p w14:paraId="27D50A78" w14:textId="77777777" w:rsidR="00744A86" w:rsidRPr="00744A86" w:rsidRDefault="00744A86" w:rsidP="00744A86">
      <w:pPr>
        <w:jc w:val="both"/>
        <w:rPr>
          <w:rFonts w:ascii="Palatino Linotype" w:hAnsi="Palatino Linotype"/>
          <w:sz w:val="22"/>
          <w:szCs w:val="22"/>
          <w:lang w:val="en-ES"/>
        </w:rPr>
      </w:pPr>
    </w:p>
    <w:p w14:paraId="619082EB" w14:textId="77777777" w:rsidR="00744A86" w:rsidRPr="00744A86"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Key Contributions of the Paper:</w:t>
      </w:r>
    </w:p>
    <w:p w14:paraId="7FFB6C1A" w14:textId="312389C8" w:rsidR="00744A86" w:rsidRPr="00744A86"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Methodological Innovation</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We propose a new framework that moves beyond traditional text analysis methodologies by embedding economic structure into LLM-based text classification. This approach enhances both the interpretability and the economic relevance of the extracted signals.</w:t>
      </w:r>
    </w:p>
    <w:p w14:paraId="6B6F1AFA" w14:textId="41440C75" w:rsidR="00744A86" w:rsidRPr="00744A86"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Predictive Superiority and Profitability</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Our methodology demonstrates superior predictive power relative to conventional vector embedding techniques. These gains translate into consistent out-of-sample profitability, supported by transparent, interpretable, and durable trading signals.</w:t>
      </w:r>
    </w:p>
    <w:p w14:paraId="206ADA7D" w14:textId="693DAD84" w:rsidR="00744A86" w:rsidRPr="001C12A3"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Revealing Persistent Patterns in Market Reactions</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Guided by economic frameworks, LLMs can effectively identify persistent patterns in how markets react to diverse types of firm-specific news, thereby strengthening our understanding of market efficiency and the informational content of news events.</w:t>
      </w:r>
    </w:p>
    <w:p w14:paraId="0CBAFC48" w14:textId="77777777" w:rsidR="00744A86" w:rsidRPr="00744A86" w:rsidRDefault="00744A86" w:rsidP="00744A86">
      <w:pPr>
        <w:jc w:val="both"/>
        <w:rPr>
          <w:rFonts w:ascii="Palatino Linotype" w:hAnsi="Palatino Linotype"/>
          <w:sz w:val="22"/>
          <w:szCs w:val="22"/>
          <w:lang w:val="en-ES"/>
        </w:rPr>
      </w:pPr>
    </w:p>
    <w:p w14:paraId="3E4CB604" w14:textId="77777777" w:rsidR="00744A86"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Incorporation of Feedback from Recent Conferences:</w:t>
      </w:r>
    </w:p>
    <w:p w14:paraId="1FEF91AB" w14:textId="05D884B1" w:rsidR="00744A86" w:rsidRPr="00744A86" w:rsidRDefault="00D354C3" w:rsidP="00744A86">
      <w:pPr>
        <w:jc w:val="both"/>
        <w:rPr>
          <w:rFonts w:ascii="Palatino Linotype" w:hAnsi="Palatino Linotype"/>
          <w:sz w:val="22"/>
          <w:szCs w:val="22"/>
          <w:lang w:val="en-ES"/>
        </w:rPr>
      </w:pPr>
      <w:r w:rsidRPr="00D354C3">
        <w:rPr>
          <w:rFonts w:ascii="Palatino Linotype" w:hAnsi="Palatino Linotype"/>
          <w:sz w:val="22"/>
          <w:szCs w:val="22"/>
        </w:rPr>
        <w:t>This research has been presented at several academic conferences where it benefited from candid discussions and valuable feedback that enhanced both its methodological rigor and practical relevance.</w:t>
      </w:r>
      <w:r>
        <w:rPr>
          <w:rFonts w:ascii="Palatino Linotype" w:hAnsi="Palatino Linotype"/>
          <w:sz w:val="22"/>
          <w:szCs w:val="22"/>
        </w:rPr>
        <w:t xml:space="preserve"> </w:t>
      </w:r>
      <w:r w:rsidRPr="00D354C3">
        <w:rPr>
          <w:rFonts w:ascii="Palatino Linotype" w:hAnsi="Palatino Linotype"/>
          <w:sz w:val="22"/>
          <w:szCs w:val="22"/>
        </w:rPr>
        <w:t>Most recently, it benefited from presentations and feedback at</w:t>
      </w:r>
      <w:r>
        <w:rPr>
          <w:rFonts w:ascii="Palatino Linotype" w:hAnsi="Palatino Linotype"/>
          <w:sz w:val="22"/>
          <w:szCs w:val="22"/>
          <w:lang w:val="en-ES"/>
        </w:rPr>
        <w:t xml:space="preserve"> </w:t>
      </w:r>
      <w:r w:rsidR="00744A86" w:rsidRPr="00744A86">
        <w:rPr>
          <w:rFonts w:ascii="Palatino Linotype" w:hAnsi="Palatino Linotype"/>
          <w:sz w:val="22"/>
          <w:szCs w:val="22"/>
          <w:lang w:val="en-ES"/>
        </w:rPr>
        <w:t>the Generative AI in Finance Conference held in Montréal (October 2024), the Banking &amp; Finance seminar at CEMFI</w:t>
      </w:r>
      <w:r w:rsidR="00744A86" w:rsidRPr="001C12A3">
        <w:rPr>
          <w:rFonts w:ascii="Palatino Linotype" w:hAnsi="Palatino Linotype"/>
          <w:sz w:val="22"/>
          <w:szCs w:val="22"/>
          <w:lang w:val="en-ES"/>
        </w:rPr>
        <w:t xml:space="preserve"> (October 2024)</w:t>
      </w:r>
      <w:r w:rsidR="00772355">
        <w:rPr>
          <w:rFonts w:ascii="Palatino Linotype" w:hAnsi="Palatino Linotype"/>
          <w:sz w:val="22"/>
          <w:szCs w:val="22"/>
          <w:lang w:val="en-ES"/>
        </w:rPr>
        <w:t xml:space="preserve"> and the </w:t>
      </w:r>
      <w:r w:rsidR="00662600" w:rsidRPr="00662600">
        <w:rPr>
          <w:rFonts w:ascii="Palatino Linotype" w:hAnsi="Palatino Linotype"/>
          <w:sz w:val="22"/>
          <w:szCs w:val="22"/>
          <w:lang w:val="en-ES"/>
        </w:rPr>
        <w:t>3rd Contemporary Issues in Financial Markets and Banking</w:t>
      </w:r>
      <w:r w:rsidR="009E27AA">
        <w:rPr>
          <w:rFonts w:ascii="Palatino Linotype" w:hAnsi="Palatino Linotype"/>
          <w:sz w:val="22"/>
          <w:szCs w:val="22"/>
          <w:lang w:val="en-ES"/>
        </w:rPr>
        <w:t xml:space="preserve"> (January 2025)</w:t>
      </w:r>
      <w:r w:rsidR="00744A86" w:rsidRPr="00744A86">
        <w:rPr>
          <w:rFonts w:ascii="Palatino Linotype" w:hAnsi="Palatino Linotype"/>
          <w:sz w:val="22"/>
          <w:szCs w:val="22"/>
          <w:lang w:val="en-ES"/>
        </w:rPr>
        <w:t>. We have incorporated all key feedback received:</w:t>
      </w:r>
    </w:p>
    <w:p w14:paraId="5D01E9E0" w14:textId="77777777" w:rsidR="00744A86" w:rsidRPr="001C12A3" w:rsidRDefault="00744A86" w:rsidP="00744A86">
      <w:pPr>
        <w:jc w:val="both"/>
        <w:rPr>
          <w:rFonts w:ascii="Palatino Linotype" w:hAnsi="Palatino Linotype"/>
          <w:sz w:val="22"/>
          <w:szCs w:val="22"/>
          <w:lang w:val="en-ES"/>
        </w:rPr>
      </w:pPr>
    </w:p>
    <w:p w14:paraId="4C871137" w14:textId="77777777" w:rsidR="00744A86" w:rsidRPr="00744A86" w:rsidRDefault="00744A86" w:rsidP="00744A86">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Expanded Risk Metrics: We have now included Sortino Ratio, Maximum Drawdown, Calmar Ratio, Skewness, Excess Kurtosis, Value at Risk (VaR), and Conditional VaR (CVaR) to provide a comprehensive evaluation of trading strategy performance (see Table 5, Table A.4).</w:t>
      </w:r>
    </w:p>
    <w:p w14:paraId="7E375DCB" w14:textId="77777777" w:rsidR="002F3AC2" w:rsidRDefault="00744A86" w:rsidP="002F3AC2">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lastRenderedPageBreak/>
        <w:t>Enhanced Methodology Interpretation: We now provide a clearer interpretation of the embedding-based methodology to improve comprehension of the technical underpinnings (Section 4.1.2)</w:t>
      </w:r>
      <w:r w:rsidR="002F3AC2">
        <w:rPr>
          <w:rFonts w:ascii="Palatino Linotype" w:hAnsi="Palatino Linotype"/>
          <w:sz w:val="22"/>
          <w:szCs w:val="22"/>
          <w:lang w:val="en-ES"/>
        </w:rPr>
        <w:t>.</w:t>
      </w:r>
    </w:p>
    <w:p w14:paraId="12D1D9F9" w14:textId="1168D81C" w:rsidR="00744A86" w:rsidRPr="002F3AC2" w:rsidRDefault="00744A86" w:rsidP="002F3AC2">
      <w:pPr>
        <w:numPr>
          <w:ilvl w:val="0"/>
          <w:numId w:val="4"/>
        </w:numPr>
        <w:jc w:val="both"/>
        <w:rPr>
          <w:rFonts w:ascii="Palatino Linotype" w:hAnsi="Palatino Linotype"/>
          <w:sz w:val="22"/>
          <w:szCs w:val="22"/>
          <w:lang w:val="en-ES"/>
        </w:rPr>
      </w:pPr>
      <w:r w:rsidRPr="002F3AC2">
        <w:rPr>
          <w:rFonts w:ascii="Palatino Linotype" w:hAnsi="Palatino Linotype"/>
          <w:sz w:val="22"/>
          <w:szCs w:val="22"/>
          <w:lang w:val="en-ES"/>
        </w:rPr>
        <w:t>Trading Intensity and Transaction Costs: We analyze trading intensity differences between KMeans and LLM methodologies, incorporating conservative estimates of transaction costs (Section 5.3, Appendix Section A.8).</w:t>
      </w:r>
    </w:p>
    <w:p w14:paraId="17A3E958"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Foundational Explanation of LLMs: We introduce and contextualize LLMs and their evolution prior to detailing our LLM-based approach (Sections 4.2.1 and 4.2.2).</w:t>
      </w:r>
    </w:p>
    <w:p w14:paraId="063B9E2D"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Illustrative Examples: We include example articles to showcase how the methodology operates in practice (Examples 1 and 2).</w:t>
      </w:r>
    </w:p>
    <w:p w14:paraId="382FE995"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Benchmarking Rationale: We rigorously justify our choice of vector embeddings as the benchmark and explain why sentiment analysis or topic modeling approaches are less suitable comparators (Section 4.1.1, Appendix Section A.7).</w:t>
      </w:r>
    </w:p>
    <w:p w14:paraId="2FD1F8D3" w14:textId="77777777" w:rsidR="000651DB" w:rsidRPr="001C12A3" w:rsidRDefault="000651DB" w:rsidP="00744A86">
      <w:pPr>
        <w:jc w:val="both"/>
        <w:rPr>
          <w:rFonts w:ascii="Palatino Linotype" w:hAnsi="Palatino Linotype"/>
          <w:sz w:val="22"/>
          <w:szCs w:val="22"/>
          <w:lang w:val="en-ES"/>
        </w:rPr>
      </w:pPr>
    </w:p>
    <w:p w14:paraId="24488AC7" w14:textId="6F56833C"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Given the paper’s direct alignment with the special issue’s focus and its comprehensive integration of economic structure, LLMs, and robust empirical analyses</w:t>
      </w:r>
      <w:r w:rsidR="005A2E27">
        <w:rPr>
          <w:rFonts w:ascii="Palatino Linotype" w:hAnsi="Palatino Linotype"/>
          <w:sz w:val="22"/>
          <w:szCs w:val="22"/>
          <w:lang w:val="en-ES"/>
        </w:rPr>
        <w:t xml:space="preserve"> </w:t>
      </w:r>
      <w:r w:rsidRPr="00744A86">
        <w:rPr>
          <w:rFonts w:ascii="Palatino Linotype" w:hAnsi="Palatino Linotype"/>
          <w:sz w:val="22"/>
          <w:szCs w:val="22"/>
          <w:lang w:val="en-ES"/>
        </w:rPr>
        <w:t>we believe it will make a valuable contribution to this special issue. We greatly appreciate your time and consideration and look forward to your response. Should you require any additional information, please do not hesitate to contact me.</w:t>
      </w:r>
    </w:p>
    <w:p w14:paraId="19A3E107" w14:textId="77777777" w:rsidR="000651DB" w:rsidRPr="001C12A3" w:rsidRDefault="000651DB" w:rsidP="00744A86">
      <w:pPr>
        <w:jc w:val="both"/>
        <w:rPr>
          <w:rFonts w:ascii="Palatino Linotype" w:hAnsi="Palatino Linotype"/>
          <w:sz w:val="22"/>
          <w:szCs w:val="22"/>
          <w:lang w:val="en-ES"/>
        </w:rPr>
      </w:pPr>
    </w:p>
    <w:p w14:paraId="5DC3E51B" w14:textId="77777777" w:rsidR="000651DB"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Sincerely,</w:t>
      </w:r>
    </w:p>
    <w:p w14:paraId="04F3D642" w14:textId="3F392ABB" w:rsidR="000651DB" w:rsidRPr="001C12A3" w:rsidRDefault="000651DB" w:rsidP="00744A86">
      <w:pPr>
        <w:jc w:val="both"/>
        <w:rPr>
          <w:rFonts w:ascii="Blackadder ITC" w:hAnsi="Blackadder ITC"/>
          <w:sz w:val="22"/>
          <w:szCs w:val="22"/>
          <w:lang w:val="en-ES"/>
        </w:rPr>
      </w:pPr>
    </w:p>
    <w:p w14:paraId="0E00C96B" w14:textId="64F58AF5" w:rsidR="00744A86" w:rsidRPr="00744A86" w:rsidRDefault="00744A86" w:rsidP="000651DB">
      <w:pPr>
        <w:rPr>
          <w:rFonts w:ascii="Blackadder ITC" w:hAnsi="Blackadder ITC"/>
          <w:sz w:val="36"/>
          <w:szCs w:val="36"/>
          <w:lang w:val="en-ES"/>
        </w:rPr>
      </w:pPr>
      <w:r w:rsidRPr="00744A86">
        <w:rPr>
          <w:rFonts w:ascii="Blackadder ITC" w:hAnsi="Blackadder ITC"/>
          <w:sz w:val="36"/>
          <w:szCs w:val="36"/>
          <w:lang w:val="en-ES"/>
        </w:rPr>
        <w:t xml:space="preserve">Jesús Villota </w:t>
      </w:r>
    </w:p>
    <w:p w14:paraId="27906C2D" w14:textId="56EFC1AB" w:rsidR="00110E32" w:rsidRPr="001C12A3" w:rsidRDefault="00110E32" w:rsidP="00744A86">
      <w:pPr>
        <w:jc w:val="both"/>
        <w:rPr>
          <w:rFonts w:ascii="Palatino Linotype" w:hAnsi="Palatino Linotype"/>
          <w:sz w:val="22"/>
          <w:szCs w:val="22"/>
        </w:rPr>
      </w:pPr>
    </w:p>
    <w:sectPr w:rsidR="00110E32" w:rsidRPr="001C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lackadder ITC">
    <w:panose1 w:val="04020505050007020D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221"/>
    <w:multiLevelType w:val="multilevel"/>
    <w:tmpl w:val="465A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92247"/>
    <w:multiLevelType w:val="multilevel"/>
    <w:tmpl w:val="5A0E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784"/>
    <w:multiLevelType w:val="hybridMultilevel"/>
    <w:tmpl w:val="A94AF578"/>
    <w:lvl w:ilvl="0" w:tplc="5610F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75481"/>
    <w:multiLevelType w:val="multilevel"/>
    <w:tmpl w:val="3CC4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641872">
    <w:abstractNumId w:val="3"/>
  </w:num>
  <w:num w:numId="2" w16cid:durableId="438449476">
    <w:abstractNumId w:val="2"/>
  </w:num>
  <w:num w:numId="3" w16cid:durableId="1872372905">
    <w:abstractNumId w:val="0"/>
  </w:num>
  <w:num w:numId="4" w16cid:durableId="24735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8"/>
    <w:rsid w:val="00032468"/>
    <w:rsid w:val="0005142D"/>
    <w:rsid w:val="000651DB"/>
    <w:rsid w:val="000A10CD"/>
    <w:rsid w:val="00110E32"/>
    <w:rsid w:val="001C12A3"/>
    <w:rsid w:val="002303BC"/>
    <w:rsid w:val="002F3AC2"/>
    <w:rsid w:val="003C485A"/>
    <w:rsid w:val="003F2598"/>
    <w:rsid w:val="00440B00"/>
    <w:rsid w:val="004A1193"/>
    <w:rsid w:val="004A6CEB"/>
    <w:rsid w:val="004C2BF8"/>
    <w:rsid w:val="004F5C5D"/>
    <w:rsid w:val="005A2E27"/>
    <w:rsid w:val="00662600"/>
    <w:rsid w:val="00726CBA"/>
    <w:rsid w:val="00744A86"/>
    <w:rsid w:val="007542EF"/>
    <w:rsid w:val="00772355"/>
    <w:rsid w:val="00932E9F"/>
    <w:rsid w:val="00940818"/>
    <w:rsid w:val="009D3A62"/>
    <w:rsid w:val="009E27AA"/>
    <w:rsid w:val="00CB4F6C"/>
    <w:rsid w:val="00D056DA"/>
    <w:rsid w:val="00D354C3"/>
    <w:rsid w:val="00E14DC7"/>
    <w:rsid w:val="00E45145"/>
    <w:rsid w:val="00FD082C"/>
    <w:rsid w:val="00FF488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C7E5B0"/>
  <w15:chartTrackingRefBased/>
  <w15:docId w15:val="{25C16E87-48A7-804F-A779-D747029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3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03246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3246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03246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3246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3246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3246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3246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3246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32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6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32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6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32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468"/>
    <w:rPr>
      <w:i/>
      <w:iCs/>
      <w:color w:val="404040" w:themeColor="text1" w:themeTint="BF"/>
      <w:lang w:val="en-US"/>
    </w:rPr>
  </w:style>
  <w:style w:type="paragraph" w:styleId="ListParagraph">
    <w:name w:val="List Paragraph"/>
    <w:basedOn w:val="Normal"/>
    <w:uiPriority w:val="34"/>
    <w:qFormat/>
    <w:rsid w:val="00032468"/>
    <w:pPr>
      <w:ind w:left="720"/>
      <w:contextualSpacing/>
    </w:pPr>
  </w:style>
  <w:style w:type="character" w:styleId="IntenseEmphasis">
    <w:name w:val="Intense Emphasis"/>
    <w:basedOn w:val="DefaultParagraphFont"/>
    <w:uiPriority w:val="21"/>
    <w:qFormat/>
    <w:rsid w:val="00032468"/>
    <w:rPr>
      <w:i/>
      <w:iCs/>
      <w:color w:val="0F4761" w:themeColor="accent1" w:themeShade="BF"/>
    </w:rPr>
  </w:style>
  <w:style w:type="paragraph" w:styleId="IntenseQuote">
    <w:name w:val="Intense Quote"/>
    <w:basedOn w:val="Normal"/>
    <w:next w:val="Normal"/>
    <w:link w:val="IntenseQuoteChar"/>
    <w:uiPriority w:val="30"/>
    <w:qFormat/>
    <w:rsid w:val="0003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68"/>
    <w:rPr>
      <w:i/>
      <w:iCs/>
      <w:color w:val="0F4761" w:themeColor="accent1" w:themeShade="BF"/>
      <w:lang w:val="en-US"/>
    </w:rPr>
  </w:style>
  <w:style w:type="character" w:styleId="IntenseReference">
    <w:name w:val="Intense Reference"/>
    <w:basedOn w:val="DefaultParagraphFont"/>
    <w:uiPriority w:val="32"/>
    <w:qFormat/>
    <w:rsid w:val="00032468"/>
    <w:rPr>
      <w:b/>
      <w:bCs/>
      <w:smallCaps/>
      <w:color w:val="0F4761" w:themeColor="accent1" w:themeShade="BF"/>
      <w:spacing w:val="5"/>
    </w:rPr>
  </w:style>
  <w:style w:type="paragraph" w:customStyle="1" w:styleId="p1">
    <w:name w:val="p1"/>
    <w:basedOn w:val="Normal"/>
    <w:rsid w:val="00932E9F"/>
    <w:rPr>
      <w:rFonts w:ascii="Helvetica" w:eastAsia="Times New Roman" w:hAnsi="Helvetica" w:cs="Times New Roman"/>
      <w:color w:val="000000"/>
      <w:kern w:val="0"/>
      <w:sz w:val="15"/>
      <w:szCs w:val="15"/>
      <w:lang w:val="en-ES"/>
      <w14:ligatures w14:val="none"/>
    </w:rPr>
  </w:style>
  <w:style w:type="character" w:customStyle="1" w:styleId="apple-converted-space">
    <w:name w:val="apple-converted-space"/>
    <w:basedOn w:val="DefaultParagraphFont"/>
    <w:rsid w:val="00932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5060">
      <w:bodyDiv w:val="1"/>
      <w:marLeft w:val="0"/>
      <w:marRight w:val="0"/>
      <w:marTop w:val="0"/>
      <w:marBottom w:val="0"/>
      <w:divBdr>
        <w:top w:val="none" w:sz="0" w:space="0" w:color="auto"/>
        <w:left w:val="none" w:sz="0" w:space="0" w:color="auto"/>
        <w:bottom w:val="none" w:sz="0" w:space="0" w:color="auto"/>
        <w:right w:val="none" w:sz="0" w:space="0" w:color="auto"/>
      </w:divBdr>
    </w:div>
    <w:div w:id="112017859">
      <w:bodyDiv w:val="1"/>
      <w:marLeft w:val="0"/>
      <w:marRight w:val="0"/>
      <w:marTop w:val="0"/>
      <w:marBottom w:val="0"/>
      <w:divBdr>
        <w:top w:val="none" w:sz="0" w:space="0" w:color="auto"/>
        <w:left w:val="none" w:sz="0" w:space="0" w:color="auto"/>
        <w:bottom w:val="none" w:sz="0" w:space="0" w:color="auto"/>
        <w:right w:val="none" w:sz="0" w:space="0" w:color="auto"/>
      </w:divBdr>
    </w:div>
    <w:div w:id="873887834">
      <w:bodyDiv w:val="1"/>
      <w:marLeft w:val="0"/>
      <w:marRight w:val="0"/>
      <w:marTop w:val="0"/>
      <w:marBottom w:val="0"/>
      <w:divBdr>
        <w:top w:val="none" w:sz="0" w:space="0" w:color="auto"/>
        <w:left w:val="none" w:sz="0" w:space="0" w:color="auto"/>
        <w:bottom w:val="none" w:sz="0" w:space="0" w:color="auto"/>
        <w:right w:val="none" w:sz="0" w:space="0" w:color="auto"/>
      </w:divBdr>
    </w:div>
    <w:div w:id="1085145935">
      <w:bodyDiv w:val="1"/>
      <w:marLeft w:val="0"/>
      <w:marRight w:val="0"/>
      <w:marTop w:val="0"/>
      <w:marBottom w:val="0"/>
      <w:divBdr>
        <w:top w:val="none" w:sz="0" w:space="0" w:color="auto"/>
        <w:left w:val="none" w:sz="0" w:space="0" w:color="auto"/>
        <w:bottom w:val="none" w:sz="0" w:space="0" w:color="auto"/>
        <w:right w:val="none" w:sz="0" w:space="0" w:color="auto"/>
      </w:divBdr>
    </w:div>
    <w:div w:id="1269581913">
      <w:bodyDiv w:val="1"/>
      <w:marLeft w:val="0"/>
      <w:marRight w:val="0"/>
      <w:marTop w:val="0"/>
      <w:marBottom w:val="0"/>
      <w:divBdr>
        <w:top w:val="none" w:sz="0" w:space="0" w:color="auto"/>
        <w:left w:val="none" w:sz="0" w:space="0" w:color="auto"/>
        <w:bottom w:val="none" w:sz="0" w:space="0" w:color="auto"/>
        <w:right w:val="none" w:sz="0" w:space="0" w:color="auto"/>
      </w:divBdr>
    </w:div>
    <w:div w:id="1308515279">
      <w:bodyDiv w:val="1"/>
      <w:marLeft w:val="0"/>
      <w:marRight w:val="0"/>
      <w:marTop w:val="0"/>
      <w:marBottom w:val="0"/>
      <w:divBdr>
        <w:top w:val="none" w:sz="0" w:space="0" w:color="auto"/>
        <w:left w:val="none" w:sz="0" w:space="0" w:color="auto"/>
        <w:bottom w:val="none" w:sz="0" w:space="0" w:color="auto"/>
        <w:right w:val="none" w:sz="0" w:space="0" w:color="auto"/>
      </w:divBdr>
    </w:div>
    <w:div w:id="1570309434">
      <w:bodyDiv w:val="1"/>
      <w:marLeft w:val="0"/>
      <w:marRight w:val="0"/>
      <w:marTop w:val="0"/>
      <w:marBottom w:val="0"/>
      <w:divBdr>
        <w:top w:val="none" w:sz="0" w:space="0" w:color="auto"/>
        <w:left w:val="none" w:sz="0" w:space="0" w:color="auto"/>
        <w:bottom w:val="none" w:sz="0" w:space="0" w:color="auto"/>
        <w:right w:val="none" w:sz="0" w:space="0" w:color="auto"/>
      </w:divBdr>
    </w:div>
    <w:div w:id="1616910290">
      <w:bodyDiv w:val="1"/>
      <w:marLeft w:val="0"/>
      <w:marRight w:val="0"/>
      <w:marTop w:val="0"/>
      <w:marBottom w:val="0"/>
      <w:divBdr>
        <w:top w:val="none" w:sz="0" w:space="0" w:color="auto"/>
        <w:left w:val="none" w:sz="0" w:space="0" w:color="auto"/>
        <w:bottom w:val="none" w:sz="0" w:space="0" w:color="auto"/>
        <w:right w:val="none" w:sz="0" w:space="0" w:color="auto"/>
      </w:divBdr>
    </w:div>
    <w:div w:id="17033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E851-419E-B14B-9B6E-09221856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20</cp:revision>
  <dcterms:created xsi:type="dcterms:W3CDTF">2024-12-10T21:00:00Z</dcterms:created>
  <dcterms:modified xsi:type="dcterms:W3CDTF">2025-04-07T11:16:00Z</dcterms:modified>
</cp:coreProperties>
</file>