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5: Reflection on Generative AI in Program &amp; Stakeholder Management</w:t>
      </w:r>
    </w:p>
    <w:p>
      <w:pPr>
        <w:spacing w:line="276" w:lineRule="auto" w:after="160"/>
      </w:pPr>
      <w:r>
        <w:t>Generative AI significantly enhanced the efficiency and analytical depth throughout this project. By processing the Shop Ease Online business case, GenAI rapidly generated structured baselines for requirements elicitation, RACI assignment, and stakeholder engagement matrices. It helped overcome the 'blank page syndrome,' allowing me to transition quickly from initial ideation to structured analysis. Furthermore, GenAI provided creative perspectives on potential edge cases, such as off-hours sales conversion and multi-language support, which enriched the functional scope.</w:t>
      </w:r>
    </w:p>
    <w:p>
      <w:pPr>
        <w:spacing w:line="276" w:lineRule="auto" w:after="160"/>
      </w:pPr>
      <w:r>
        <w:t>However, several notable limitations were observed in the AI's raw outputs. AI responses often defaulted to generic e-commerce assumptions rather than strictly adhering to the technical and operational boundaries of the scenario. For instance, initial suggestions included complex AI capabilities that exceeded the immediate project timeline or overlooked specific legacy CRM integration constraints. Additionally, AI lacked organizational context regarding internal company politics and actual resource availability, occasionally misallocating stakeholder accountabilities.</w:t>
      </w:r>
    </w:p>
    <w:p>
      <w:pPr>
        <w:spacing w:line="276" w:lineRule="auto" w:after="160"/>
      </w:pPr>
      <w:r>
        <w:t>To effectively mitigate these limitations, a Business Analyst or Project Manager must exercise professional judgment through a rigorous validation workflow. First, AI outputs must be cross-referenced against business objectives, contractual constraints, and technical architecture specifications. Second, requirements and RACI matrices should be validated through collaborative stakeholder workshops (e.g., UAT sessions and compliance reviews with the DPO and IT Lead). Finally, iterative prompt engineering and human-in-the-loop review are essential to refine AI-generated drafts into actionable, production-ready deliverables that ensure true business alignment and risk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