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ABF7D6" w14:textId="6E9366B0" w:rsidR="32364AD8" w:rsidRDefault="32364AD8" w:rsidP="32364AD8">
      <w:pPr>
        <w:ind w:left="720" w:firstLine="720"/>
        <w:rPr>
          <w:rFonts w:ascii="Cambria" w:eastAsia="MS Mincho" w:hAnsi="Cambria"/>
          <w:b/>
          <w:bCs/>
          <w:color w:val="1F497D" w:themeColor="text2"/>
        </w:rPr>
      </w:pPr>
      <w:proofErr w:type="spellStart"/>
      <w:r w:rsidRPr="32364AD8">
        <w:rPr>
          <w:rFonts w:ascii="Cambria" w:eastAsia="MS Mincho" w:hAnsi="Cambria"/>
          <w:b/>
          <w:bCs/>
          <w:color w:val="1F497D" w:themeColor="text2"/>
        </w:rPr>
        <w:t>NexaCare</w:t>
      </w:r>
      <w:proofErr w:type="spellEnd"/>
      <w:r w:rsidRPr="32364AD8">
        <w:rPr>
          <w:rFonts w:ascii="Cambria" w:eastAsia="MS Mincho" w:hAnsi="Cambria"/>
          <w:b/>
          <w:bCs/>
          <w:color w:val="1F497D" w:themeColor="text2"/>
        </w:rPr>
        <w:t xml:space="preserve"> Solutions: </w:t>
      </w:r>
      <w:r w:rsidR="00553873">
        <w:rPr>
          <w:rFonts w:ascii="Cambria" w:eastAsia="MS Mincho" w:hAnsi="Cambria"/>
          <w:b/>
          <w:bCs/>
          <w:color w:val="1F497D" w:themeColor="text2"/>
        </w:rPr>
        <w:t>Non Functional Requirements</w:t>
      </w:r>
      <w:r w:rsidRPr="32364AD8">
        <w:rPr>
          <w:rFonts w:ascii="Cambria" w:eastAsia="MS Mincho" w:hAnsi="Cambria"/>
          <w:b/>
          <w:bCs/>
          <w:color w:val="1F497D" w:themeColor="text2"/>
        </w:rPr>
        <w:t xml:space="preserve"> Kit</w:t>
      </w:r>
    </w:p>
    <w:p w14:paraId="195CAE48" w14:textId="710D79D4" w:rsidR="32364AD8" w:rsidRDefault="32364AD8" w:rsidP="32364AD8">
      <w:pPr>
        <w:rPr>
          <w:rFonts w:ascii="Cambria" w:eastAsia="MS Mincho" w:hAnsi="Cambria"/>
        </w:rPr>
      </w:pPr>
      <w:r>
        <w:t>Prepared by: Systems Professional (NexaCare Solutions)</w:t>
        <w:br/>
        <w:t xml:space="preserve"> Role: Systems Analyst</w:t>
        <w:br/>
        <w:t xml:space="preserve"> Project: Appointment Scheduling Platform – Version 3.0 Release</w:t>
        <w:br/>
        <w:t xml:space="preserve"> Date: October 19, 2026</w:t>
      </w:r>
    </w:p>
    <w:p w14:paraId="6BAD6542" w14:textId="7FC17656" w:rsidR="32364AD8" w:rsidRDefault="32364AD8" w:rsidP="32364AD8">
      <w:pPr>
        <w:rPr>
          <w:rFonts w:ascii="Cambria" w:eastAsia="MS Mincho" w:hAnsi="Cambria"/>
          <w:b/>
          <w:bCs/>
        </w:rPr>
      </w:pPr>
      <w:r w:rsidRPr="32364AD8">
        <w:rPr>
          <w:rFonts w:ascii="Cambria" w:eastAsia="MS Mincho" w:hAnsi="Cambria"/>
          <w:b/>
          <w:bCs/>
        </w:rPr>
        <w:t>Project scenario</w:t>
      </w:r>
    </w:p>
    <w:p w14:paraId="03F09E16" w14:textId="2EF8BF69" w:rsidR="32364AD8" w:rsidRDefault="32364AD8" w:rsidP="32364AD8">
      <w:pPr>
        <w:rPr>
          <w:rFonts w:ascii="Cambria" w:eastAsia="MS Mincho" w:hAnsi="Cambria"/>
        </w:rPr>
      </w:pPr>
      <w:proofErr w:type="spellStart"/>
      <w:r w:rsidRPr="32364AD8">
        <w:rPr>
          <w:rFonts w:ascii="Cambria" w:eastAsia="MS Mincho" w:hAnsi="Cambria"/>
        </w:rPr>
        <w:t>NexaCare</w:t>
      </w:r>
      <w:proofErr w:type="spellEnd"/>
      <w:r w:rsidRPr="32364AD8">
        <w:rPr>
          <w:rFonts w:ascii="Cambria" w:eastAsia="MS Mincho" w:hAnsi="Cambria"/>
        </w:rPr>
        <w:t xml:space="preserve"> Solutions is a healthcare technology company supporting over 300 clinics across North Ameri</w:t>
      </w:r>
      <w:bookmarkStart w:id="0" w:name="_GoBack"/>
      <w:bookmarkEnd w:id="0"/>
      <w:r w:rsidRPr="32364AD8">
        <w:rPr>
          <w:rFonts w:ascii="Cambria" w:eastAsia="MS Mincho" w:hAnsi="Cambria"/>
        </w:rPr>
        <w:t>ca. The organization is preparing to launch Version 3.0 of its web-based appointment scheduling platform.</w:t>
      </w:r>
    </w:p>
    <w:p w14:paraId="494A8041" w14:textId="28561432" w:rsidR="32364AD8" w:rsidRDefault="32364AD8" w:rsidP="32364AD8">
      <w:pPr>
        <w:rPr>
          <w:rFonts w:ascii="Cambria" w:eastAsia="MS Mincho" w:hAnsi="Cambria"/>
        </w:rPr>
      </w:pPr>
      <w:r w:rsidRPr="32364AD8">
        <w:rPr>
          <w:rFonts w:ascii="Cambria" w:eastAsia="MS Mincho" w:hAnsi="Cambria"/>
        </w:rPr>
        <w:t xml:space="preserve">This version introduces new features that aim to improve usability, patient engagement, and clinic operations. As the Systems </w:t>
      </w:r>
      <w:r w:rsidR="00553873">
        <w:rPr>
          <w:rFonts w:ascii="Cambria" w:eastAsia="MS Mincho" w:hAnsi="Cambria"/>
        </w:rPr>
        <w:t>Professional</w:t>
      </w:r>
      <w:r w:rsidRPr="32364AD8">
        <w:rPr>
          <w:rFonts w:ascii="Cambria" w:eastAsia="MS Mincho" w:hAnsi="Cambria"/>
        </w:rPr>
        <w:t>, your responsibility is to coordinate and document a complete testing and release plan to ensure a safe, compliant, and successful rollout.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66"/>
        <w:gridCol w:w="81"/>
      </w:tblGrid>
      <w:tr w:rsidR="00553873" w:rsidRPr="00553873" w14:paraId="2F8D7B39" w14:textId="77777777" w:rsidTr="00553873">
        <w:trPr>
          <w:tblHeader/>
          <w:tblCellSpacing w:w="15" w:type="dxa"/>
        </w:trPr>
        <w:tc>
          <w:tcPr>
            <w:tcW w:w="0" w:type="auto"/>
            <w:vAlign w:val="center"/>
          </w:tcPr>
          <w:p w14:paraId="57289BBF" w14:textId="20071DB5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BEBCA9F" w14:textId="4942BADA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FC9269B" w14:textId="2BE347B5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DAD0EA" w14:textId="61BD07DB" w:rsidR="00553873" w:rsidRPr="00553873" w:rsidRDefault="00553873" w:rsidP="005538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68A2699" w14:textId="3806DD11" w:rsidR="32364AD8" w:rsidRDefault="32364AD8" w:rsidP="32364AD8">
      <w:pPr>
        <w:rPr>
          <w:rFonts w:ascii="Cambria" w:eastAsia="MS Mincho" w:hAnsi="Cambria"/>
        </w:rPr>
      </w:pPr>
    </w:p>
    <w:p w14:paraId="6C1D992B" w14:textId="168F623D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NFR Definition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669"/>
        <w:gridCol w:w="2589"/>
        <w:gridCol w:w="1551"/>
        <w:gridCol w:w="1673"/>
      </w:tblGrid>
      <w:tr w:rsidR="00553873" w14:paraId="235AE2FB" w14:textId="77777777" w:rsidTr="32364AD8">
        <w:trPr>
          <w:trHeight w:val="300"/>
        </w:trPr>
        <w:tc>
          <w:tcPr>
            <w:tcW w:w="1669" w:type="dxa"/>
            <w:vAlign w:val="center"/>
          </w:tcPr>
          <w:p w14:paraId="1C176689" w14:textId="22F1E7F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NFR Category</w:t>
            </w:r>
          </w:p>
        </w:tc>
        <w:tc>
          <w:tcPr>
            <w:tcW w:w="2589" w:type="dxa"/>
            <w:vAlign w:val="center"/>
          </w:tcPr>
          <w:p w14:paraId="01A78D29" w14:textId="5DB2F1E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Specific Requirement</w:t>
            </w:r>
          </w:p>
        </w:tc>
        <w:tc>
          <w:tcPr>
            <w:tcW w:w="1551" w:type="dxa"/>
            <w:vAlign w:val="center"/>
          </w:tcPr>
          <w:p w14:paraId="33F7ADAA" w14:textId="48524E7D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Target Value</w:t>
            </w:r>
          </w:p>
        </w:tc>
        <w:tc>
          <w:tcPr>
            <w:tcW w:w="1673" w:type="dxa"/>
            <w:vAlign w:val="center"/>
          </w:tcPr>
          <w:p w14:paraId="1DF659C2" w14:textId="560AC329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Measurement Method</w:t>
            </w:r>
          </w:p>
        </w:tc>
      </w:tr>
      <w:tr>
        <w:tc>
          <w:tcPr>
            <w:tcW w:type="dxa" w:w="1669"/>
          </w:tcPr>
          <w:p>
            <w:r>
              <w:t>Performance</w:t>
            </w:r>
          </w:p>
        </w:tc>
        <w:tc>
          <w:tcPr>
            <w:tcW w:type="dxa" w:w="2589"/>
          </w:tcPr>
          <w:p>
            <w:r>
              <w:t>Appointment booking transaction completion time</w:t>
            </w:r>
          </w:p>
        </w:tc>
        <w:tc>
          <w:tcPr>
            <w:tcW w:type="dxa" w:w="1551"/>
          </w:tcPr>
          <w:p>
            <w:r>
              <w:t>&lt; 3.0 seconds</w:t>
            </w:r>
          </w:p>
        </w:tc>
        <w:tc>
          <w:tcPr>
            <w:tcW w:type="dxa" w:w="1673"/>
          </w:tcPr>
          <w:p>
            <w:r>
              <w:t>End-to-end client telemetry and APM transaction tracing</w:t>
            </w:r>
          </w:p>
        </w:tc>
      </w:tr>
      <w:tr>
        <w:tc>
          <w:tcPr>
            <w:tcW w:type="dxa" w:w="1669"/>
          </w:tcPr>
          <w:p>
            <w:r>
              <w:t>Performance</w:t>
            </w:r>
          </w:p>
        </w:tc>
        <w:tc>
          <w:tcPr>
            <w:tcW w:type="dxa" w:w="2589"/>
          </w:tcPr>
          <w:p>
            <w:r>
              <w:t>Doctor availability update propagation across sessions</w:t>
            </w:r>
          </w:p>
        </w:tc>
        <w:tc>
          <w:tcPr>
            <w:tcW w:type="dxa" w:w="1551"/>
          </w:tcPr>
          <w:p>
            <w:r>
              <w:t>&lt; 5.0 seconds</w:t>
            </w:r>
          </w:p>
        </w:tc>
        <w:tc>
          <w:tcPr>
            <w:tcW w:type="dxa" w:w="1673"/>
          </w:tcPr>
          <w:p>
            <w:r>
              <w:t>WebSocket broadcast delivery latency measurement</w:t>
            </w:r>
          </w:p>
        </w:tc>
      </w:tr>
      <w:tr>
        <w:tc>
          <w:tcPr>
            <w:tcW w:type="dxa" w:w="1669"/>
          </w:tcPr>
          <w:p>
            <w:r>
              <w:t>Performance</w:t>
            </w:r>
          </w:p>
        </w:tc>
        <w:tc>
          <w:tcPr>
            <w:tcW w:type="dxa" w:w="2589"/>
          </w:tcPr>
          <w:p>
            <w:r>
              <w:t>SMS reminder notification dispatch latency</w:t>
            </w:r>
          </w:p>
        </w:tc>
        <w:tc>
          <w:tcPr>
            <w:tcW w:type="dxa" w:w="1551"/>
          </w:tcPr>
          <w:p>
            <w:r>
              <w:t>&lt; 2.0 minutes from schedule</w:t>
            </w:r>
          </w:p>
        </w:tc>
        <w:tc>
          <w:tcPr>
            <w:tcW w:type="dxa" w:w="1673"/>
          </w:tcPr>
          <w:p>
            <w:r>
              <w:t>Scheduled queue worker delivery receipt (DLR) timestamp</w:t>
            </w:r>
          </w:p>
        </w:tc>
      </w:tr>
      <w:tr>
        <w:tc>
          <w:tcPr>
            <w:tcW w:type="dxa" w:w="1669"/>
          </w:tcPr>
          <w:p>
            <w:r>
              <w:t>Scalability</w:t>
            </w:r>
          </w:p>
        </w:tc>
        <w:tc>
          <w:tcPr>
            <w:tcW w:type="dxa" w:w="2589"/>
          </w:tcPr>
          <w:p>
            <w:r>
              <w:t>Baseline concurrent active users</w:t>
            </w:r>
          </w:p>
        </w:tc>
        <w:tc>
          <w:tcPr>
            <w:tcW w:type="dxa" w:w="1551"/>
          </w:tcPr>
          <w:p>
            <w:r>
              <w:t>500 users</w:t>
            </w:r>
          </w:p>
        </w:tc>
        <w:tc>
          <w:tcPr>
            <w:tcW w:type="dxa" w:w="1673"/>
          </w:tcPr>
          <w:p>
            <w:r>
              <w:t>Sustained load testing validation via JMeter/k6</w:t>
            </w:r>
          </w:p>
        </w:tc>
      </w:tr>
      <w:tr>
        <w:tc>
          <w:tcPr>
            <w:tcW w:type="dxa" w:w="1669"/>
          </w:tcPr>
          <w:p>
            <w:r>
              <w:t>Scalability</w:t>
            </w:r>
          </w:p>
        </w:tc>
        <w:tc>
          <w:tcPr>
            <w:tcW w:type="dxa" w:w="2589"/>
          </w:tcPr>
          <w:p>
            <w:r>
              <w:t>Monday morning peak concurrent active users</w:t>
            </w:r>
          </w:p>
        </w:tc>
        <w:tc>
          <w:tcPr>
            <w:tcW w:type="dxa" w:w="1551"/>
          </w:tcPr>
          <w:p>
            <w:r>
              <w:t>2,500 users (3-5x normal)</w:t>
            </w:r>
          </w:p>
        </w:tc>
        <w:tc>
          <w:tcPr>
            <w:tcW w:type="dxa" w:w="1673"/>
          </w:tcPr>
          <w:p>
            <w:r>
              <w:t>Distributed spike testing simulating 8:00 - 10:00 AM traffic</w:t>
            </w:r>
          </w:p>
        </w:tc>
      </w:tr>
      <w:tr>
        <w:tc>
          <w:tcPr>
            <w:tcW w:type="dxa" w:w="1669"/>
          </w:tcPr>
          <w:p>
            <w:r>
              <w:t>Reliability</w:t>
            </w:r>
          </w:p>
        </w:tc>
        <w:tc>
          <w:tcPr>
            <w:tcW w:type="dxa" w:w="2589"/>
          </w:tcPr>
          <w:p>
            <w:r>
              <w:t>Maximum unplanned system downtime</w:t>
            </w:r>
          </w:p>
        </w:tc>
        <w:tc>
          <w:tcPr>
            <w:tcW w:type="dxa" w:w="1551"/>
          </w:tcPr>
          <w:p>
            <w:r>
              <w:t>&lt;= 43.8 minutes/month (99.9% SLA)</w:t>
            </w:r>
          </w:p>
        </w:tc>
        <w:tc>
          <w:tcPr>
            <w:tcW w:type="dxa" w:w="1673"/>
          </w:tcPr>
          <w:p>
            <w:r>
              <w:t>Synthetic multi-region uptime probes (Pingdom/UptimeRobot)</w:t>
            </w:r>
          </w:p>
        </w:tc>
      </w:tr>
      <w:tr>
        <w:tc>
          <w:tcPr>
            <w:tcW w:type="dxa" w:w="1669"/>
          </w:tcPr>
          <w:p>
            <w:r>
              <w:t>Availability</w:t>
            </w:r>
          </w:p>
        </w:tc>
        <w:tc>
          <w:tcPr>
            <w:tcW w:type="dxa" w:w="2589"/>
          </w:tcPr>
          <w:p>
            <w:r>
              <w:t>Web platform and core booking API availability</w:t>
            </w:r>
          </w:p>
        </w:tc>
        <w:tc>
          <w:tcPr>
            <w:tcW w:type="dxa" w:w="1551"/>
          </w:tcPr>
          <w:p>
            <w:r>
              <w:t>&gt;= 99.9%</w:t>
            </w:r>
          </w:p>
        </w:tc>
        <w:tc>
          <w:tcPr>
            <w:tcW w:type="dxa" w:w="1673"/>
          </w:tcPr>
          <w:p>
            <w:r>
              <w:t>APM uptime metrics and load balancer HTTP access logs</w:t>
            </w:r>
          </w:p>
        </w:tc>
      </w:tr>
      <w:tr>
        <w:tc>
          <w:tcPr>
            <w:tcW w:type="dxa" w:w="1669"/>
          </w:tcPr>
          <w:p>
            <w:r>
              <w:t>Latency</w:t>
            </w:r>
          </w:p>
        </w:tc>
        <w:tc>
          <w:tcPr>
            <w:tcW w:type="dxa" w:w="2589"/>
          </w:tcPr>
          <w:p>
            <w:r>
              <w:t>Read API response time (P95) for schedule searching</w:t>
            </w:r>
          </w:p>
        </w:tc>
        <w:tc>
          <w:tcPr>
            <w:tcW w:type="dxa" w:w="1551"/>
          </w:tcPr>
          <w:p>
            <w:r>
              <w:t>&lt; 300 ms</w:t>
            </w:r>
          </w:p>
        </w:tc>
        <w:tc>
          <w:tcPr>
            <w:tcW w:type="dxa" w:w="1673"/>
          </w:tcPr>
          <w:p>
            <w:r>
              <w:t>Application Load Balancer access logs &amp; APM tracing</w:t>
            </w:r>
          </w:p>
        </w:tc>
      </w:tr>
      <w:tr>
        <w:tc>
          <w:tcPr>
            <w:tcW w:type="dxa" w:w="1669"/>
          </w:tcPr>
          <w:p>
            <w:r>
              <w:t>Security / HIPAA</w:t>
            </w:r>
          </w:p>
        </w:tc>
        <w:tc>
          <w:tcPr>
            <w:tcW w:type="dxa" w:w="2589"/>
          </w:tcPr>
          <w:p>
            <w:r>
              <w:t>Data encryption in transit and at rest for PHI</w:t>
            </w:r>
          </w:p>
        </w:tc>
        <w:tc>
          <w:tcPr>
            <w:tcW w:type="dxa" w:w="1551"/>
          </w:tcPr>
          <w:p>
            <w:r>
              <w:t>TLS 1.3 / AES-256-GCM</w:t>
            </w:r>
          </w:p>
        </w:tc>
        <w:tc>
          <w:tcPr>
            <w:tcW w:type="dxa" w:w="1673"/>
          </w:tcPr>
          <w:p>
            <w:r>
              <w:t>Automated SAST/DAST audits, SSL Labs A+ check, KMS audit logs</w:t>
            </w:r>
          </w:p>
        </w:tc>
      </w:tr>
    </w:tbl>
    <w:p w14:paraId="71536C4E" w14:textId="602E6E37" w:rsidR="32364AD8" w:rsidRDefault="32364AD8" w:rsidP="32364AD8">
      <w:pPr>
        <w:rPr>
          <w:rFonts w:ascii="Cambria" w:eastAsia="MS Mincho" w:hAnsi="Cambria"/>
          <w:b/>
          <w:bCs/>
        </w:rPr>
      </w:pPr>
    </w:p>
    <w:p w14:paraId="754EA57F" w14:textId="62687449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Golden Signals Monitoring Plan</w:t>
      </w:r>
    </w:p>
    <w:tbl>
      <w:tblPr>
        <w:tblW w:w="9434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515"/>
        <w:gridCol w:w="1775"/>
        <w:gridCol w:w="1936"/>
        <w:gridCol w:w="2104"/>
        <w:gridCol w:w="2104"/>
      </w:tblGrid>
      <w:tr w:rsidR="00553873" w14:paraId="40109FAD" w14:textId="6453C7D5" w:rsidTr="00553873">
        <w:trPr>
          <w:trHeight w:val="277"/>
        </w:trPr>
        <w:tc>
          <w:tcPr>
            <w:tcW w:w="1515" w:type="dxa"/>
            <w:vAlign w:val="center"/>
          </w:tcPr>
          <w:p w14:paraId="715DD65B" w14:textId="3677F59F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Golden Signal</w:t>
            </w:r>
          </w:p>
        </w:tc>
        <w:tc>
          <w:tcPr>
            <w:tcW w:w="1775" w:type="dxa"/>
            <w:vAlign w:val="center"/>
          </w:tcPr>
          <w:p w14:paraId="6E1A11CD" w14:textId="70C3102D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Metric Name</w:t>
            </w:r>
          </w:p>
        </w:tc>
        <w:tc>
          <w:tcPr>
            <w:tcW w:w="1936" w:type="dxa"/>
            <w:vAlign w:val="center"/>
          </w:tcPr>
          <w:p w14:paraId="389AF540" w14:textId="70E96902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How to Measure</w:t>
            </w:r>
          </w:p>
        </w:tc>
        <w:tc>
          <w:tcPr>
            <w:tcW w:w="2104" w:type="dxa"/>
            <w:vAlign w:val="center"/>
          </w:tcPr>
          <w:p w14:paraId="530A2339" w14:textId="1DE17AD8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Target/ Threshold</w:t>
            </w:r>
          </w:p>
        </w:tc>
        <w:tc>
          <w:tcPr>
            <w:tcW w:w="2104" w:type="dxa"/>
          </w:tcPr>
          <w:p w14:paraId="7D261E3A" w14:textId="7D5900A8" w:rsidR="00553873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Business Impact</w:t>
            </w:r>
          </w:p>
        </w:tc>
      </w:tr>
      <w:tr>
        <w:tc>
          <w:tcPr>
            <w:tcW w:type="dxa" w:w="1515"/>
          </w:tcPr>
          <w:p>
            <w:r>
              <w:t>Latency</w:t>
            </w:r>
          </w:p>
        </w:tc>
        <w:tc>
          <w:tcPr>
            <w:tcW w:type="dxa" w:w="1775"/>
          </w:tcPr>
          <w:p>
            <w:r>
              <w:t>API Response Time P95</w:t>
            </w:r>
          </w:p>
        </w:tc>
        <w:tc>
          <w:tcPr>
            <w:tcW w:type="dxa" w:w="1936"/>
          </w:tcPr>
          <w:p>
            <w:r>
              <w:t>Application Performance Monitoring (Datadog)</w:t>
            </w:r>
          </w:p>
        </w:tc>
        <w:tc>
          <w:tcPr>
            <w:tcW w:type="dxa" w:w="2104"/>
          </w:tcPr>
          <w:p>
            <w:r>
              <w:t>&lt; 500 ms</w:t>
            </w:r>
          </w:p>
        </w:tc>
        <w:tc>
          <w:tcPr>
            <w:tcW w:type="dxa" w:w="2104"/>
          </w:tcPr>
          <w:p>
            <w:r>
              <w:t>High latency directly drives appointment abandonment and clinic frustration.</w:t>
            </w:r>
          </w:p>
        </w:tc>
      </w:tr>
      <w:tr>
        <w:tc>
          <w:tcPr>
            <w:tcW w:type="dxa" w:w="1515"/>
          </w:tcPr>
          <w:p>
            <w:r>
              <w:t>Traffic</w:t>
            </w:r>
          </w:p>
        </w:tc>
        <w:tc>
          <w:tcPr>
            <w:tcW w:type="dxa" w:w="1775"/>
          </w:tcPr>
          <w:p>
            <w:r>
              <w:t>Active Concurrent Users &amp; RPS</w:t>
            </w:r>
          </w:p>
        </w:tc>
        <w:tc>
          <w:tcPr>
            <w:tcW w:type="dxa" w:w="1936"/>
          </w:tcPr>
          <w:p>
            <w:r>
              <w:t>Real-time user sessions &amp; API Gateway RPS</w:t>
            </w:r>
          </w:p>
        </w:tc>
        <w:tc>
          <w:tcPr>
            <w:tcW w:type="dxa" w:w="2104"/>
          </w:tcPr>
          <w:p>
            <w:r>
              <w:t>Baseline: 500 CCU / 150 RPS</w:t>
              <w:br/>
              <w:t>Peak: 2,500 CCU / 800 RPS</w:t>
            </w:r>
          </w:p>
        </w:tc>
        <w:tc>
          <w:tcPr>
            <w:tcW w:type="dxa" w:w="2104"/>
          </w:tcPr>
          <w:p>
            <w:r>
              <w:t>Guides horizontal pod autoscaling before system saturation occurs.</w:t>
            </w:r>
          </w:p>
        </w:tc>
      </w:tr>
      <w:tr>
        <w:tc>
          <w:tcPr>
            <w:tcW w:type="dxa" w:w="1515"/>
          </w:tcPr>
          <w:p>
            <w:r>
              <w:t>Errors</w:t>
            </w:r>
          </w:p>
        </w:tc>
        <w:tc>
          <w:tcPr>
            <w:tcW w:type="dxa" w:w="1775"/>
          </w:tcPr>
          <w:p>
            <w:r>
              <w:t>HTTP 5xx Server Error Rate</w:t>
            </w:r>
          </w:p>
        </w:tc>
        <w:tc>
          <w:tcPr>
            <w:tcW w:type="dxa" w:w="1936"/>
          </w:tcPr>
          <w:p>
            <w:r>
              <w:t>APM error tracking &amp; log aggregation (ELK)</w:t>
            </w:r>
          </w:p>
        </w:tc>
        <w:tc>
          <w:tcPr>
            <w:tcW w:type="dxa" w:w="2104"/>
          </w:tcPr>
          <w:p>
            <w:r>
              <w:t>&lt; 0.1% (Alert if &gt; 0.5%)</w:t>
            </w:r>
          </w:p>
        </w:tc>
        <w:tc>
          <w:tcPr>
            <w:tcW w:type="dxa" w:w="2104"/>
          </w:tcPr>
          <w:p>
            <w:r>
              <w:t>Failed booking transactions result in lost patient visits and revenue.</w:t>
            </w:r>
          </w:p>
        </w:tc>
      </w:tr>
      <w:tr>
        <w:tc>
          <w:tcPr>
            <w:tcW w:type="dxa" w:w="1515"/>
          </w:tcPr>
          <w:p>
            <w:r>
              <w:t>Saturation</w:t>
            </w:r>
          </w:p>
        </w:tc>
        <w:tc>
          <w:tcPr>
            <w:tcW w:type="dxa" w:w="1775"/>
          </w:tcPr>
          <w:p>
            <w:r>
              <w:t>DB Connection Pool Utilization</w:t>
            </w:r>
          </w:p>
        </w:tc>
        <w:tc>
          <w:tcPr>
            <w:tcW w:type="dxa" w:w="1936"/>
          </w:tcPr>
          <w:p>
            <w:r>
              <w:t>Database monitoring (PgBouncer metrics)</w:t>
            </w:r>
          </w:p>
        </w:tc>
        <w:tc>
          <w:tcPr>
            <w:tcW w:type="dxa" w:w="2104"/>
          </w:tcPr>
          <w:p>
            <w:r>
              <w:t>&lt; 70% (Alert if &gt; 80%)</w:t>
            </w:r>
          </w:p>
        </w:tc>
        <w:tc>
          <w:tcPr>
            <w:tcW w:type="dxa" w:w="2104"/>
          </w:tcPr>
          <w:p>
            <w:r>
              <w:t>Connection exhaustion causes cascading service crashes and dropped transactions.</w:t>
            </w:r>
          </w:p>
        </w:tc>
      </w:tr>
    </w:tbl>
    <w:p w14:paraId="19380F77" w14:textId="77777777" w:rsidR="00553873" w:rsidRDefault="00553873" w:rsidP="32364AD8">
      <w:pPr>
        <w:rPr>
          <w:rFonts w:ascii="Cambria" w:eastAsia="MS Mincho" w:hAnsi="Cambria"/>
          <w:b/>
          <w:bCs/>
        </w:rPr>
      </w:pPr>
    </w:p>
    <w:p w14:paraId="2C32D828" w14:textId="70A2071C" w:rsidR="32364AD8" w:rsidRDefault="00553873" w:rsidP="32364AD8">
      <w:pPr>
        <w:rPr>
          <w:rFonts w:ascii="Cambria" w:eastAsia="MS Mincho" w:hAnsi="Cambria"/>
          <w:b/>
          <w:bCs/>
        </w:rPr>
      </w:pPr>
      <w:r>
        <w:rPr>
          <w:rFonts w:ascii="Cambria" w:eastAsia="MS Mincho" w:hAnsi="Cambria"/>
          <w:b/>
          <w:bCs/>
        </w:rPr>
        <w:t>Peak Traffic Preparation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2031"/>
        <w:gridCol w:w="1749"/>
        <w:gridCol w:w="1278"/>
        <w:gridCol w:w="3704"/>
      </w:tblGrid>
      <w:tr w:rsidR="32364AD8" w14:paraId="7309AA04" w14:textId="77777777" w:rsidTr="32364AD8">
        <w:trPr>
          <w:trHeight w:val="300"/>
        </w:trPr>
        <w:tc>
          <w:tcPr>
            <w:tcW w:w="2031" w:type="dxa"/>
            <w:vAlign w:val="center"/>
          </w:tcPr>
          <w:p w14:paraId="30AB2A36" w14:textId="0894AF05" w:rsidR="32364AD8" w:rsidRDefault="00553873" w:rsidP="00553873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lastRenderedPageBreak/>
              <w:t>Metric</w:t>
            </w:r>
          </w:p>
        </w:tc>
        <w:tc>
          <w:tcPr>
            <w:tcW w:w="1749" w:type="dxa"/>
            <w:vAlign w:val="center"/>
          </w:tcPr>
          <w:p w14:paraId="68630843" w14:textId="1A91AEC3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Normal Threshold</w:t>
            </w:r>
          </w:p>
        </w:tc>
        <w:tc>
          <w:tcPr>
            <w:tcW w:w="1278" w:type="dxa"/>
            <w:vAlign w:val="center"/>
          </w:tcPr>
          <w:p w14:paraId="1E9405D5" w14:textId="7AEC3504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Peak Period Threshold</w:t>
            </w:r>
          </w:p>
        </w:tc>
        <w:tc>
          <w:tcPr>
            <w:tcW w:w="3704" w:type="dxa"/>
            <w:vAlign w:val="center"/>
          </w:tcPr>
          <w:p w14:paraId="7CE4A9C1" w14:textId="37F5CC12" w:rsidR="32364AD8" w:rsidRDefault="00553873" w:rsidP="32364AD8">
            <w:pPr>
              <w:rPr>
                <w:rFonts w:ascii="Cambria" w:eastAsia="MS Mincho" w:hAnsi="Cambria"/>
                <w:b/>
                <w:bCs/>
              </w:rPr>
            </w:pPr>
            <w:r>
              <w:rPr>
                <w:rFonts w:ascii="Cambria" w:eastAsia="MS Mincho" w:hAnsi="Cambria"/>
                <w:b/>
                <w:bCs/>
              </w:rPr>
              <w:t>Reasoning</w:t>
            </w:r>
          </w:p>
        </w:tc>
      </w:tr>
      <w:tr>
        <w:tc>
          <w:tcPr>
            <w:tcW w:type="dxa" w:w="2031"/>
          </w:tcPr>
          <w:p>
            <w:r>
              <w:t>Database Host CPU</w:t>
            </w:r>
          </w:p>
        </w:tc>
        <w:tc>
          <w:tcPr>
            <w:tcW w:type="dxa" w:w="1749"/>
          </w:tcPr>
          <w:p>
            <w:r>
              <w:t>Alert if &gt; 70% for 5 min</w:t>
            </w:r>
          </w:p>
        </w:tc>
        <w:tc>
          <w:tcPr>
            <w:tcW w:type="dxa" w:w="1278"/>
          </w:tcPr>
          <w:p>
            <w:r>
              <w:t>Alert if &gt; 85% for 5 min</w:t>
            </w:r>
          </w:p>
        </w:tc>
        <w:tc>
          <w:tcPr>
            <w:tcW w:type="dxa" w:w="3704"/>
          </w:tcPr>
          <w:p>
            <w:r>
              <w:t>High read query volume and concurrent slot indexing consume CPU; avoids false alarm fatigue.</w:t>
            </w:r>
          </w:p>
        </w:tc>
      </w:tr>
      <w:tr>
        <w:tc>
          <w:tcPr>
            <w:tcW w:type="dxa" w:w="2031"/>
          </w:tcPr>
          <w:p>
            <w:r>
              <w:t>API Response Time (P95)</w:t>
            </w:r>
          </w:p>
        </w:tc>
        <w:tc>
          <w:tcPr>
            <w:tcW w:type="dxa" w:w="1749"/>
          </w:tcPr>
          <w:p>
            <w:r>
              <w:t>Alert if &gt; 500 ms</w:t>
            </w:r>
          </w:p>
        </w:tc>
        <w:tc>
          <w:tcPr>
            <w:tcW w:type="dxa" w:w="1278"/>
          </w:tcPr>
          <w:p>
            <w:r>
              <w:t>Alert if &gt; 1,200 ms</w:t>
            </w:r>
          </w:p>
        </w:tc>
        <w:tc>
          <w:tcPr>
            <w:tcW w:type="dxa" w:w="3704"/>
          </w:tcPr>
          <w:p>
            <w:r>
              <w:t>Allows for minor queuing delay while remaining strictly under the 3.0s hard user SLA.</w:t>
            </w:r>
          </w:p>
        </w:tc>
      </w:tr>
      <w:tr>
        <w:tc>
          <w:tcPr>
            <w:tcW w:type="dxa" w:w="2031"/>
          </w:tcPr>
          <w:p>
            <w:r>
              <w:t>DB Connection Pool</w:t>
            </w:r>
          </w:p>
        </w:tc>
        <w:tc>
          <w:tcPr>
            <w:tcW w:type="dxa" w:w="1749"/>
          </w:tcPr>
          <w:p>
            <w:r>
              <w:t>Alert if &gt; 65%</w:t>
            </w:r>
          </w:p>
        </w:tc>
        <w:tc>
          <w:tcPr>
            <w:tcW w:type="dxa" w:w="1278"/>
          </w:tcPr>
          <w:p>
            <w:r>
              <w:t>Alert if &gt; 85%</w:t>
            </w:r>
          </w:p>
        </w:tc>
        <w:tc>
          <w:tcPr>
            <w:tcW w:type="dxa" w:w="3704"/>
          </w:tcPr>
          <w:p>
            <w:r>
              <w:t>Horizontal pod autoscaling adds concurrent connections; buffered headroom prevents exhaustion.</w:t>
            </w:r>
          </w:p>
        </w:tc>
      </w:tr>
      <w:tr>
        <w:tc>
          <w:tcPr>
            <w:tcW w:type="dxa" w:w="2031"/>
          </w:tcPr>
          <w:p>
            <w:r>
              <w:t>Pod Memory Utilization</w:t>
            </w:r>
          </w:p>
        </w:tc>
        <w:tc>
          <w:tcPr>
            <w:tcW w:type="dxa" w:w="1749"/>
          </w:tcPr>
          <w:p>
            <w:r>
              <w:t>Alert if &gt; 75%</w:t>
            </w:r>
          </w:p>
        </w:tc>
        <w:tc>
          <w:tcPr>
            <w:tcW w:type="dxa" w:w="1278"/>
          </w:tcPr>
          <w:p>
            <w:r>
              <w:t>Alert if &gt; 85%</w:t>
            </w:r>
          </w:p>
        </w:tc>
        <w:tc>
          <w:tcPr>
            <w:tcW w:type="dxa" w:w="3704"/>
          </w:tcPr>
          <w:p>
            <w:r>
              <w:t>Accommodates in-memory session caches during maximum concurrent active logins.</w:t>
            </w:r>
          </w:p>
        </w:tc>
      </w:tr>
    </w:tbl>
    <w:p w14:paraId="6A674B74" w14:textId="46BE94FF" w:rsidR="32364AD8" w:rsidRDefault="32364AD8" w:rsidP="00553873"/>
    <w:p>
      <w:pPr>
        <w:pStyle w:val="Heading2"/>
      </w:pPr>
      <w:r>
        <w:t>Three-Layer Performance Optimization Plan</w:t>
      </w:r>
    </w:p>
    <w:p>
      <w:r>
        <w:t>1. Infrastructure Layer:</w:t>
        <w:br/>
        <w:t xml:space="preserve">   - Scheduled Horizontal Pod Autoscaling (HPA): Proactively scale application pods from 5 to 20 replicas at 07:30 AM EST every Monday, pre-warming resources before traffic hits.</w:t>
        <w:br/>
        <w:t xml:space="preserve">   - Edge Caching &amp; CDN: Cloudflare CDN offloads 95% of static frontend UI assets and compresses payloads via Brotli.</w:t>
        <w:br/>
        <w:br/>
        <w:t>2. Application Layer:</w:t>
        <w:br/>
        <w:t xml:space="preserve">   - In-Memory Redis Caching: Cache doctor availability slots with 15-second TTL, reducing database read queries by 75%. Cache invalidated on booking commit.</w:t>
        <w:br/>
        <w:t xml:space="preserve">   - Asynchronous Decoupling: RabbitMQ message queues decouple SMS dispatch and calendar sync, ensuring third-party API latency never blocks the booking flow.</w:t>
        <w:br/>
        <w:br/>
        <w:t>3. Database Layer:</w:t>
        <w:br/>
        <w:t xml:space="preserve">   - Composite Indexing: B-Tree indexes on (clinic_id, doctor_id, appointment_date, status) enable sub-10ms slot queries.</w:t>
        <w:br/>
        <w:t xml:space="preserve">   - Read-Write Splitting &amp; Connection Pooling: PgBouncer caps connections at 300, routing search queries to read replicas and reserving Primary for atomic booking commits.</w:t>
      </w:r>
    </w:p>
    <w:p>
      <w:pPr>
        <w:pStyle w:val="Heading2"/>
      </w:pPr>
      <w:r>
        <w:t>Circuit Breaking &amp; Graceful Degradation Runbook</w:t>
      </w:r>
    </w:p>
    <w:p>
      <w:r>
        <w:t>- Level 1 (Traffic &gt; 2,500 CCU): Automatically defer non-essential background tasks (historical reports, non-urgent exports).</w:t>
        <w:br/>
        <w:t>- Level 2 (DB CPU &gt; 88%): Throttle external calendar sync webhooks; queue updates for off-peak execution while keeping core booking live.</w:t>
        <w:br/>
        <w:t>- Level 3 (Emergency): Activate Cloudflare Virtual Waiting Room to queue incoming users and preserve core transaction stability.</w:t>
      </w:r>
    </w:p>
    <w:sectPr w:rsidR="32364A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0AA2C6"/>
    <w:multiLevelType w:val="hybridMultilevel"/>
    <w:tmpl w:val="D8A85268"/>
    <w:lvl w:ilvl="0" w:tplc="B922F0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6BE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A044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5A39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588B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54F1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48F0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C28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206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4170A6"/>
    <w:multiLevelType w:val="hybridMultilevel"/>
    <w:tmpl w:val="D5189498"/>
    <w:lvl w:ilvl="0" w:tplc="F92809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725E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226A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EAB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CA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4841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187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E4A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4C2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884AE1"/>
    <w:multiLevelType w:val="hybridMultilevel"/>
    <w:tmpl w:val="00589B94"/>
    <w:lvl w:ilvl="0" w:tplc="2B969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986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8AD9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F8DE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848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0A6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E22B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98BD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2A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2501D"/>
    <w:multiLevelType w:val="hybridMultilevel"/>
    <w:tmpl w:val="5286755E"/>
    <w:lvl w:ilvl="0" w:tplc="0122E2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DA29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D6AAB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4C17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060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B3881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68B0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3256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26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89FC1"/>
    <w:multiLevelType w:val="hybridMultilevel"/>
    <w:tmpl w:val="4A86492A"/>
    <w:lvl w:ilvl="0" w:tplc="65F25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849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283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7C3B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D02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A670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20BA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027F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12E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12"/>
  </w:num>
  <w:num w:numId="4">
    <w:abstractNumId w:val="9"/>
  </w:num>
  <w:num w:numId="5">
    <w:abstractNumId w:val="10"/>
  </w:num>
  <w:num w:numId="6">
    <w:abstractNumId w:val="8"/>
  </w:num>
  <w:num w:numId="7">
    <w:abstractNumId w:val="6"/>
  </w:num>
  <w:num w:numId="8">
    <w:abstractNumId w:val="5"/>
  </w:num>
  <w:num w:numId="9">
    <w:abstractNumId w:val="4"/>
  </w:num>
  <w:num w:numId="10">
    <w:abstractNumId w:val="7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3873"/>
    <w:rsid w:val="008D5A3B"/>
    <w:rsid w:val="00AA1D8D"/>
    <w:rsid w:val="00B47730"/>
    <w:rsid w:val="00CB0664"/>
    <w:rsid w:val="00FC693F"/>
    <w:rsid w:val="3236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D367C7-6C7E-47B6-A62D-E8D9B33B4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2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B728954-90E8-4AA7-B204-98BF3CA409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Ramanujam Srinivasan</dc:creator>
  <cp:keywords/>
  <dc:description>generated by python-docx</dc:description>
  <cp:lastModifiedBy>Rama</cp:lastModifiedBy>
  <cp:revision>3</cp:revision>
  <dcterms:created xsi:type="dcterms:W3CDTF">2025-10-14T23:16:00Z</dcterms:created>
  <dcterms:modified xsi:type="dcterms:W3CDTF">2025-10-14T23:20:00Z</dcterms:modified>
  <cp:category/>
</cp:coreProperties>
</file>