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urn:schemas-microsoft-com:vml" xmlns:ns3="urn:schemas-microsoft-com:office:office" xmlns:ns4="http://schemas.openxmlformats.org/officeDocument/2006/relationships" xmlns:w="http://schemas.openxmlformats.org/wordprocessingml/2006/main">
  <w:body>
    <w:p w:rsidR="00000000" w:rsidDel="00000000" w:rsidP="00000000" w:rsidRDefault="00000000" w:rsidRPr="00000000" ns1:paraId="00000001">
      <w:pPr>
        <w:pStyle w:val="Title"/>
        <w:keepNext w:val="0"/>
        <w:keepLines w:val="0"/>
        <w:spacing w:after="0" w:before="320" w:line="240" w:lineRule="auto"/>
        <w:rPr>
          <w:rFonts w:ascii="Proxima Nova" w:cs="Proxima Nova" w:eastAsia="Proxima Nova" w:hAnsi="Proxima Nova"/>
          <w:b w:val="1"/>
          <w:color w:val="4a86e8"/>
          <w:sz w:val="58"/>
          <w:szCs w:val="58"/>
        </w:rPr>
      </w:pPr>
      <w:bookmarkStart w:colFirst="0" w:colLast="0" w:name="_5x0d5h95i329" w:id="0"/>
      <w:bookmarkEnd w:id="0"/>
      <w:r w:rsidDel="00000000" w:rsidR="00000000" w:rsidRPr="00000000">
        <w:rPr>
          <w:rFonts w:ascii="Google Sans" w:cs="Google Sans" w:eastAsia="Google Sans" w:hAnsi="Google Sans"/>
          <w:b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ns1:paraId="00000002">
      <w:pPr>
        <w:pStyle w:val="Subtitle"/>
        <w:keepNext w:val="0"/>
        <w:keepLines w:val="0"/>
        <w:spacing w:after="0" w:line="240" w:lineRule="auto"/>
        <w:rPr>
          <w:rFonts w:ascii="Google Sans" w:cs="Google Sans" w:eastAsia="Google Sans" w:hAnsi="Google Sans"/>
          <w:b w:val="1"/>
          <w:sz w:val="28"/>
          <w:szCs w:val="28"/>
        </w:rPr>
      </w:pPr>
      <w:bookmarkStart w:colFirst="0" w:colLast="0" w:name="_af80tl7prv5v" w:id="1"/>
      <w:bookmarkEnd w:id="1"/>
      <w:r w:rsidDel="00000000" w:rsidR="00000000" w:rsidRPr="00000000">
        <w:rPr>
          <w:rFonts w:ascii="Google Sans" w:cs="Google Sans" w:eastAsia="Google Sans" w:hAnsi="Google Sans"/>
          <w:b w:val="1"/>
          <w:sz w:val="28"/>
          <w:szCs w:val="28"/>
          <w:rtl w:val="0"/>
        </w:rPr>
        <w:t xml:space="preserve">1</w:t>
      </w:r>
      <w:r w:rsidDel="00000000" w:rsidR="00000000" w:rsidRPr="00000000">
        <w:rPr>
          <w:rFonts w:ascii="Google Sans" w:cs="Google Sans" w:eastAsia="Google Sans" w:hAnsi="Google Sans"/>
          <w:b w:val="1"/>
          <w:sz w:val="28"/>
          <w:szCs w:val="28"/>
          <w:vertAlign w:val="superscript"/>
          <w:rtl w:val="0"/>
        </w:rPr>
        <w:t xml:space="preserve">st</w:t>
      </w:r>
      <w:r w:rsidDel="00000000" w:rsidR="00000000" w:rsidRPr="00000000">
        <w:rPr>
          <w:rFonts w:ascii="Google Sans" w:cs="Google Sans" w:eastAsia="Google Sans" w:hAnsi="Google Sans"/>
          <w:b w:val="1"/>
          <w:sz w:val="28"/>
          <w:szCs w:val="28"/>
          <w:rtl w:val="0"/>
        </w:rPr>
        <w:t xml:space="preserve"> January 20XX</w:t>
      </w:r>
    </w:p>
    <w:p w:rsidR="00000000" w:rsidDel="00000000" w:rsidP="00000000" w:rsidRDefault="00000000" w:rsidRPr="00000000" ns1:paraId="00000003">
      <w:pPr>
        <w:pStyle w:val="Subtitle"/>
        <w:keepNext w:val="0"/>
        <w:keepLines w:val="0"/>
        <w:spacing w:after="0" w:line="240" w:lineRule="auto"/>
        <w:rPr>
          <w:rFonts w:ascii="Google Sans" w:cs="Google Sans" w:eastAsia="Google Sans" w:hAnsi="Google Sans"/>
          <w:b w:val="1"/>
          <w:sz w:val="28"/>
          <w:szCs w:val="28"/>
        </w:rPr>
      </w:pPr>
      <w:bookmarkStart w:colFirst="0" w:colLast="0" w:name="_nhcy8rpxthcf" w:id="2"/>
      <w:bookmarkEnd w:id="2"/>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04">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buc6q0k08dmn" w:id="3"/>
      <w:bookmarkEnd w:id="3"/>
      <w:r w:rsidDel="00000000" w:rsidR="00000000" w:rsidRPr="00000000">
        <w:rPr>
          <w:rFonts w:ascii="Proxima Nova" w:cs="Proxima Nova" w:eastAsia="Proxima Nova" w:hAnsi="Proxima Nova"/>
          <w:b w:val="1"/>
          <w:color w:val="353744"/>
          <w:sz w:val="28"/>
          <w:szCs w:val="28"/>
          <w:rtl w:val="0"/>
        </w:rPr>
        <w:t xml:space="preserve">System Description</w:t>
      </w:r>
    </w:p>
    <w:p w:rsidR="00000000" w:rsidDel="00000000" w:rsidP="00000000" w:rsidRDefault="00000000" w:rsidRPr="00000000" ns1:paraId="00000005">
      <w:pPr>
        <w:spacing w:before="200" w:line="312"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ns1:paraId="00000006">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e64wndl8jmz1" w:id="4"/>
      <w:bookmarkEnd w:id="4"/>
      <w:r w:rsidDel="00000000" w:rsidR="00000000" w:rsidRPr="00000000">
        <w:rPr>
          <w:rFonts w:ascii="Proxima Nova" w:cs="Proxima Nova" w:eastAsia="Proxima Nova" w:hAnsi="Proxima Nova"/>
          <w:b w:val="1"/>
          <w:color w:val="353744"/>
          <w:sz w:val="28"/>
          <w:szCs w:val="28"/>
          <w:rtl w:val="0"/>
        </w:rPr>
        <w:t xml:space="preserve">Scope</w:t>
      </w:r>
    </w:p>
    <w:p w:rsidR="00000000" w:rsidDel="00000000" w:rsidP="00000000" w:rsidRDefault="00000000" w:rsidRPr="00000000" ns1:paraId="00000007">
      <w:pPr>
        <w:spacing w:before="200" w:line="312"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 xml:space="preserve">The scope of this vulnerability assessment relates to the current access controls of the system. The assessment will cover a period of three months, from June 20XX to August 20XX. </w:t>
      </w:r>
      <w:hyperlink ns4:id="rId6">
        <w:r w:rsidDel="00000000" w:rsidR="00000000" w:rsidRPr="00000000">
          <w:rPr>
            <w:rFonts w:ascii="Google Sans" w:cs="Google Sans" w:eastAsia="Google Sans" w:hAnsi="Google Sans"/>
            <w:color w:val="1155cc"/>
            <w:u w:val="single"/>
            <w:rtl w:val="0"/>
          </w:rPr>
          <w:t xml:space="preserve">NIST SP 800-30 Rev. 1</w:t>
        </w:r>
      </w:hyperlink>
      <w:r w:rsidDel="00000000" w:rsidR="00000000" w:rsidRPr="00000000">
        <w:rPr>
          <w:rFonts w:ascii="Google Sans" w:cs="Google Sans" w:eastAsia="Google Sans" w:hAnsi="Google Sans"/>
          <w:color w:val="353744"/>
          <w:rtl w:val="0"/>
        </w:rPr>
        <w:t xml:space="preserve"> is used to guide the risk analysis of the information system.</w:t>
      </w:r>
    </w:p>
    <w:p w:rsidR="00000000" w:rsidDel="00000000" w:rsidP="00000000" w:rsidRDefault="00000000" w:rsidRPr="00000000" ns1:paraId="00000008">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oymnw3nlvwib" w:id="5"/>
      <w:bookmarkEnd w:id="5"/>
      <w:r w:rsidDel="00000000" w:rsidR="00000000" w:rsidRPr="00000000">
        <w:rPr>
          <w:rFonts w:ascii="Proxima Nova" w:cs="Proxima Nova" w:eastAsia="Proxima Nova" w:hAnsi="Proxima Nova"/>
          <w:b w:val="1"/>
          <w:color w:val="353744"/>
          <w:sz w:val="28"/>
          <w:szCs w:val="28"/>
          <w:rtl w:val="0"/>
        </w:rPr>
        <w:t xml:space="preserve">Purpose</w:t>
      </w:r>
    </w:p>
    <w:p>
      <w:r>
        <w:t>The remote MySQL database server is critical to business operations as it stores customer data regularly queried by global remote employees. Securing this server is essential to protect customer confidentiality, maintain business data integrity, and prevent unauthorized data theft. If the server were compromised or disabled by an attack, remote employees would be unable to perform essential sales operations, resulting in severe business disruption, financial loss, and reputational damage. Therefore, this assessment identifies vulnerabilities to establish proper safeguards.</w:t>
      </w:r>
    </w:p>
    <w:p w:rsidR="00000000" w:rsidDel="00000000" w:rsidP="00000000" w:rsidRDefault="00000000" w:rsidRPr="00000000" ns1:paraId="0000000D">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i2ip4lwifo50" w:id="6"/>
      <w:bookmarkEnd w:id="6"/>
      <w:r w:rsidDel="00000000" w:rsidR="00000000" w:rsidRPr="00000000">
        <w:rPr>
          <w:rFonts w:ascii="Proxima Nova" w:cs="Proxima Nova" w:eastAsia="Proxima Nova" w:hAnsi="Proxima Nova"/>
          <w:b w:val="1"/>
          <w:color w:val="353744"/>
          <w:sz w:val="28"/>
          <w:szCs w:val="28"/>
          <w:rtl w:val="0"/>
        </w:rPr>
        <w:t xml:space="preserve">Risk Assessment</w:t>
      </w:r>
    </w:p>
    <w:p w:rsidR="00000000" w:rsidDel="00000000" w:rsidP="00000000" w:rsidRDefault="00000000" w:rsidRPr="00000000" ns1:paraId="0000000E">
      <w:pPr>
        <w:spacing w:line="312" w:lineRule="auto"/>
        <w:rPr>
          <w:rFonts w:ascii="Google Sans" w:cs="Google Sans" w:eastAsia="Google Sans" w:hAnsi="Google Sans"/>
          <w:color w:val="353744"/>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ns1:paraId="0000000F">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ns1:paraId="00000010">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ns1:paraId="00000011">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ns1:paraId="00000012">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ns1:paraId="00000013">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Risk</w:t>
            </w:r>
          </w:p>
        </w:tc>
      </w:tr>
      <w:tr>
        <w:trPr>
          <w:cantSplit w:val="0"/>
          <w:tblHeader w:val="0"/>
        </w:trPr>
        <w:tc>
          <w:tcPr>
            <w:shd w:fill="auto" w:val="clear"/>
            <w:tcMar>
              <w:top w:w="100.0" w:type="dxa"/>
              <w:left w:w="100.0" w:type="dxa"/>
              <w:bottom w:w="100.0" w:type="dxa"/>
              <w:right w:w="100.0" w:type="dxa"/>
            </w:tcMar>
            <w:vAlign w:val="top"/>
          </w:tcPr>
          <w:p>
            <w:pPr>
              <w:widowControl w:val="0"/>
              <w:spacing w:line="240" w:lineRule="auto"/>
              <w:rPr>
                <w:rFonts w:ascii="Google Sans" w:cs="Google Sans" w:eastAsia="Google Sans" w:hAnsi="Google Sans"/>
                <w:i w:val="1"/>
                <w:color w:val="353744"/>
              </w:rPr>
            </w:pPr>
            <w:r>
              <w:t>Outsider / Hacker</w:t>
            </w:r>
          </w:p>
        </w:tc>
        <w:tc>
          <w:tcPr>
            <w:shd w:fill="auto" w:val="clear"/>
            <w:tcMar>
              <w:top w:w="100.0" w:type="dxa"/>
              <w:left w:w="100.0" w:type="dxa"/>
              <w:bottom w:w="100.0" w:type="dxa"/>
              <w:right w:w="100.0" w:type="dxa"/>
            </w:tcMar>
            <w:vAlign w:val="top"/>
          </w:tcPr>
          <w:p>
            <w:pPr>
              <w:widowControl w:val="0"/>
              <w:spacing w:line="240" w:lineRule="auto"/>
              <w:rPr>
                <w:rFonts w:ascii="Google Sans" w:cs="Google Sans" w:eastAsia="Google Sans" w:hAnsi="Google Sans"/>
                <w:i w:val="1"/>
                <w:color w:val="353744"/>
              </w:rPr>
            </w:pPr>
            <w:r>
              <w:t>Obtain sensitive information via exfiltration</w:t>
            </w:r>
          </w:p>
        </w:tc>
        <w:tc>
          <w:tcPr>
            <w:shd w:fill="auto" w:val="clear"/>
            <w:tcMar>
              <w:top w:w="100.0" w:type="dxa"/>
              <w:left w:w="100.0" w:type="dxa"/>
              <w:bottom w:w="100.0" w:type="dxa"/>
              <w:right w:w="100.0" w:type="dxa"/>
            </w:tcMar>
            <w:vAlign w:val="top"/>
          </w:tcPr>
          <w:p>
            <w:pPr>
              <w:widowControl w:val="0"/>
              <w:spacing w:line="240" w:lineRule="auto"/>
              <w:rPr>
                <w:rFonts w:ascii="Google Sans" w:cs="Google Sans" w:eastAsia="Google Sans" w:hAnsi="Google Sans"/>
                <w:i w:val="1"/>
                <w:color w:val="353744"/>
              </w:rPr>
            </w:pPr>
            <w:r>
              <w:t>3</w:t>
            </w:r>
          </w:p>
        </w:tc>
        <w:tc>
          <w:tcPr>
            <w:shd w:fill="auto" w:val="clear"/>
            <w:tcMar>
              <w:top w:w="100.0" w:type="dxa"/>
              <w:left w:w="100.0" w:type="dxa"/>
              <w:bottom w:w="100.0" w:type="dxa"/>
              <w:right w:w="100.0" w:type="dxa"/>
            </w:tcMar>
            <w:vAlign w:val="top"/>
          </w:tcPr>
          <w:p>
            <w:pPr>
              <w:widowControl w:val="0"/>
              <w:spacing w:line="240" w:lineRule="auto"/>
              <w:rPr>
                <w:rFonts w:ascii="Google Sans" w:cs="Google Sans" w:eastAsia="Google Sans" w:hAnsi="Google Sans"/>
                <w:i w:val="1"/>
                <w:color w:val="353744"/>
              </w:rPr>
            </w:pPr>
            <w:r>
              <w:t>3</w:t>
            </w:r>
          </w:p>
        </w:tc>
        <w:tc>
          <w:tcPr>
            <w:shd w:fill="auto" w:val="clear"/>
            <w:tcMar>
              <w:top w:w="100.0" w:type="dxa"/>
              <w:left w:w="100.0" w:type="dxa"/>
              <w:bottom w:w="100.0" w:type="dxa"/>
              <w:right w:w="100.0" w:type="dxa"/>
            </w:tcMar>
            <w:vAlign w:val="top"/>
          </w:tcPr>
          <w:p>
            <w:pPr>
              <w:widowControl w:val="0"/>
              <w:spacing w:line="240" w:lineRule="auto"/>
              <w:rPr>
                <w:rFonts w:ascii="Google Sans" w:cs="Google Sans" w:eastAsia="Google Sans" w:hAnsi="Google Sans"/>
                <w:i w:val="1"/>
                <w:color w:val="353744"/>
              </w:rPr>
            </w:pPr>
            <w:r>
              <w:t>9</w:t>
            </w:r>
          </w:p>
        </w:tc>
      </w:tr>
      <w:tr>
        <w:trPr>
          <w:cantSplit w:val="0"/>
          <w:tblHeader w:val="0"/>
        </w:trPr>
        <w:tc>
          <w:tcPr>
            <w:shd w:fill="auto" w:val="clear"/>
            <w:tcMar>
              <w:top w:w="100.0" w:type="dxa"/>
              <w:left w:w="100.0" w:type="dxa"/>
              <w:bottom w:w="100.0" w:type="dxa"/>
              <w:right w:w="100.0" w:type="dxa"/>
            </w:tcMar>
            <w:vAlign w:val="top"/>
          </w:tcPr>
          <w:p>
            <w:pPr>
              <w:widowControl w:val="0"/>
              <w:spacing w:line="240" w:lineRule="auto"/>
              <w:rPr>
                <w:rFonts w:ascii="Google Sans" w:cs="Google Sans" w:eastAsia="Google Sans" w:hAnsi="Google Sans"/>
                <w:i w:val="1"/>
                <w:color w:val="353744"/>
              </w:rPr>
            </w:pPr>
            <w:r>
              <w:t>Competitor</w:t>
            </w:r>
          </w:p>
        </w:tc>
        <w:tc>
          <w:tcPr>
            <w:shd w:fill="auto" w:val="clear"/>
            <w:tcMar>
              <w:top w:w="100.0" w:type="dxa"/>
              <w:left w:w="100.0" w:type="dxa"/>
              <w:bottom w:w="100.0" w:type="dxa"/>
              <w:right w:w="100.0" w:type="dxa"/>
            </w:tcMar>
            <w:vAlign w:val="top"/>
          </w:tcPr>
          <w:p>
            <w:pPr>
              <w:widowControl w:val="0"/>
              <w:spacing w:line="240" w:lineRule="auto"/>
              <w:rPr>
                <w:rFonts w:ascii="Google Sans" w:cs="Google Sans" w:eastAsia="Google Sans" w:hAnsi="Google Sans"/>
                <w:i w:val="1"/>
                <w:color w:val="353744"/>
              </w:rPr>
            </w:pPr>
            <w:r>
              <w:t>Conduct Denial of Service (DoS) attacks</w:t>
            </w:r>
          </w:p>
        </w:tc>
        <w:tc>
          <w:tcPr>
            <w:shd w:fill="auto" w:val="clear"/>
            <w:tcMar>
              <w:top w:w="100.0" w:type="dxa"/>
              <w:left w:w="100.0" w:type="dxa"/>
              <w:bottom w:w="100.0" w:type="dxa"/>
              <w:right w:w="100.0" w:type="dxa"/>
            </w:tcMar>
            <w:vAlign w:val="top"/>
          </w:tcPr>
          <w:p>
            <w:pPr>
              <w:widowControl w:val="0"/>
              <w:spacing w:line="240" w:lineRule="auto"/>
              <w:rPr>
                <w:rFonts w:ascii="Google Sans" w:cs="Google Sans" w:eastAsia="Google Sans" w:hAnsi="Google Sans"/>
                <w:i w:val="1"/>
                <w:color w:val="353744"/>
              </w:rPr>
            </w:pPr>
            <w:r>
              <w:t>2</w:t>
            </w:r>
          </w:p>
        </w:tc>
        <w:tc>
          <w:tcPr>
            <w:shd w:fill="auto" w:val="clear"/>
            <w:tcMar>
              <w:top w:w="100.0" w:type="dxa"/>
              <w:left w:w="100.0" w:type="dxa"/>
              <w:bottom w:w="100.0" w:type="dxa"/>
              <w:right w:w="100.0" w:type="dxa"/>
            </w:tcMar>
            <w:vAlign w:val="top"/>
          </w:tcPr>
          <w:p>
            <w:pPr>
              <w:widowControl w:val="0"/>
              <w:spacing w:line="240" w:lineRule="auto"/>
              <w:rPr>
                <w:rFonts w:ascii="Google Sans" w:cs="Google Sans" w:eastAsia="Google Sans" w:hAnsi="Google Sans"/>
                <w:i w:val="1"/>
                <w:color w:val="353744"/>
              </w:rPr>
            </w:pPr>
            <w:r>
              <w:t>3</w:t>
            </w:r>
          </w:p>
        </w:tc>
        <w:tc>
          <w:tcPr>
            <w:shd w:fill="auto" w:val="clear"/>
            <w:tcMar>
              <w:top w:w="100.0" w:type="dxa"/>
              <w:left w:w="100.0" w:type="dxa"/>
              <w:bottom w:w="100.0" w:type="dxa"/>
              <w:right w:w="100.0" w:type="dxa"/>
            </w:tcMar>
            <w:vAlign w:val="top"/>
          </w:tcPr>
          <w:p>
            <w:pPr>
              <w:widowControl w:val="0"/>
              <w:spacing w:line="240" w:lineRule="auto"/>
              <w:rPr>
                <w:rFonts w:ascii="Google Sans" w:cs="Google Sans" w:eastAsia="Google Sans" w:hAnsi="Google Sans"/>
                <w:i w:val="1"/>
                <w:color w:val="353744"/>
              </w:rPr>
            </w:pPr>
            <w:r>
              <w:t>6</w:t>
            </w:r>
          </w:p>
        </w:tc>
      </w:tr>
      <w:tr>
        <w:trPr>
          <w:cantSplit w:val="0"/>
          <w:tblHeader w:val="0"/>
        </w:trPr>
        <w:tc>
          <w:tcPr>
            <w:shd w:fill="auto" w:val="clear"/>
            <w:tcMar>
              <w:top w:w="100.0" w:type="dxa"/>
              <w:left w:w="100.0" w:type="dxa"/>
              <w:bottom w:w="100.0" w:type="dxa"/>
              <w:right w:w="100.0" w:type="dxa"/>
            </w:tcMar>
            <w:vAlign w:val="top"/>
          </w:tcPr>
          <w:p>
            <w:pPr>
              <w:widowControl w:val="0"/>
              <w:spacing w:line="240" w:lineRule="auto"/>
              <w:rPr>
                <w:rFonts w:ascii="Google Sans" w:cs="Google Sans" w:eastAsia="Google Sans" w:hAnsi="Google Sans"/>
                <w:i w:val="1"/>
                <w:color w:val="353744"/>
              </w:rPr>
            </w:pPr>
            <w:r>
              <w:t>Standard User / Employee</w:t>
            </w:r>
          </w:p>
        </w:tc>
        <w:tc>
          <w:tcPr>
            <w:shd w:fill="auto" w:val="clear"/>
            <w:tcMar>
              <w:top w:w="100.0" w:type="dxa"/>
              <w:left w:w="100.0" w:type="dxa"/>
              <w:bottom w:w="100.0" w:type="dxa"/>
              <w:right w:w="100.0" w:type="dxa"/>
            </w:tcMar>
            <w:vAlign w:val="top"/>
          </w:tcPr>
          <w:p>
            <w:pPr>
              <w:widowControl w:val="0"/>
              <w:spacing w:line="240" w:lineRule="auto"/>
              <w:rPr>
                <w:rFonts w:ascii="Google Sans" w:cs="Google Sans" w:eastAsia="Google Sans" w:hAnsi="Google Sans"/>
                <w:i w:val="1"/>
                <w:color w:val="353744"/>
              </w:rPr>
            </w:pPr>
            <w:r>
              <w:t>Alter/Delete critical information</w:t>
            </w:r>
          </w:p>
        </w:tc>
        <w:tc>
          <w:tcPr>
            <w:shd w:fill="auto" w:val="clear"/>
            <w:tcMar>
              <w:top w:w="100.0" w:type="dxa"/>
              <w:left w:w="100.0" w:type="dxa"/>
              <w:bottom w:w="100.0" w:type="dxa"/>
              <w:right w:w="100.0" w:type="dxa"/>
            </w:tcMar>
            <w:vAlign w:val="top"/>
          </w:tcPr>
          <w:p>
            <w:pPr>
              <w:widowControl w:val="0"/>
              <w:spacing w:line="240" w:lineRule="auto"/>
              <w:rPr>
                <w:rFonts w:ascii="Google Sans" w:cs="Google Sans" w:eastAsia="Google Sans" w:hAnsi="Google Sans"/>
                <w:i w:val="1"/>
                <w:color w:val="353744"/>
              </w:rPr>
            </w:pPr>
            <w:r>
              <w:t>2</w:t>
            </w:r>
          </w:p>
        </w:tc>
        <w:tc>
          <w:tcPr>
            <w:shd w:fill="auto" w:val="clear"/>
            <w:tcMar>
              <w:top w:w="100.0" w:type="dxa"/>
              <w:left w:w="100.0" w:type="dxa"/>
              <w:bottom w:w="100.0" w:type="dxa"/>
              <w:right w:w="100.0" w:type="dxa"/>
            </w:tcMar>
            <w:vAlign w:val="top"/>
          </w:tcPr>
          <w:p>
            <w:pPr>
              <w:widowControl w:val="0"/>
              <w:spacing w:line="240" w:lineRule="auto"/>
              <w:rPr>
                <w:rFonts w:ascii="Google Sans" w:cs="Google Sans" w:eastAsia="Google Sans" w:hAnsi="Google Sans"/>
                <w:i w:val="1"/>
                <w:color w:val="353744"/>
              </w:rPr>
            </w:pPr>
            <w:r>
              <w:t>3</w:t>
            </w:r>
          </w:p>
        </w:tc>
        <w:tc>
          <w:tcPr>
            <w:shd w:fill="auto" w:val="clear"/>
            <w:tcMar>
              <w:top w:w="100.0" w:type="dxa"/>
              <w:left w:w="100.0" w:type="dxa"/>
              <w:bottom w:w="100.0" w:type="dxa"/>
              <w:right w:w="100.0" w:type="dxa"/>
            </w:tcMar>
            <w:vAlign w:val="top"/>
          </w:tcPr>
          <w:p>
            <w:pPr>
              <w:widowControl w:val="0"/>
              <w:spacing w:line="240" w:lineRule="auto"/>
              <w:rPr>
                <w:rFonts w:ascii="Google Sans" w:cs="Google Sans" w:eastAsia="Google Sans" w:hAnsi="Google Sans"/>
                <w:i w:val="1"/>
                <w:color w:val="353744"/>
              </w:rPr>
            </w:pPr>
            <w:r>
              <w:t>6</w:t>
            </w:r>
          </w:p>
        </w:tc>
      </w:tr>
    </w:tbl>
    <w:p w:rsidR="00000000" w:rsidDel="00000000" w:rsidP="00000000" w:rsidRDefault="00000000" w:rsidRPr="00000000" ns1:paraId="00000023">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a9ivkvfuz16w" w:id="7"/>
      <w:bookmarkEnd w:id="7"/>
      <w:r w:rsidDel="00000000" w:rsidR="00000000" w:rsidRPr="00000000">
        <w:rPr>
          <w:rFonts w:ascii="Proxima Nova" w:cs="Proxima Nova" w:eastAsia="Proxima Nova" w:hAnsi="Proxima Nova"/>
          <w:b w:val="1"/>
          <w:color w:val="353744"/>
          <w:sz w:val="28"/>
          <w:szCs w:val="28"/>
          <w:rtl w:val="0"/>
        </w:rPr>
        <w:t xml:space="preserve">Approach</w:t>
      </w:r>
    </w:p>
    <w:p>
      <w:r>
        <w:t>This vulnerability assessment utilized a qualitative risk approach guided by NIST SP 800-30 Rev. 1 standards. Threat sources and events were selected based on the database server's public exposure over the past three years. Likelihood scores were derived from the high accessibility of open public endpoints, while severity scores reflected the catastrophic impact on core business functions if data integrity or availability is lost. The primary limitation of this assessment is its focus on high-level architecture without active penetration testing or internal audit logs.</w:t>
      </w:r>
    </w:p>
    <w:p w:rsidR="00000000" w:rsidDel="00000000" w:rsidP="00000000" w:rsidRDefault="00000000" w:rsidRPr="00000000" ns1:paraId="00000029">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vf6vykh0xvv7" w:id="8"/>
      <w:bookmarkEnd w:id="8"/>
      <w:r w:rsidDel="00000000" w:rsidR="00000000" w:rsidRPr="00000000">
        <w:rPr>
          <w:rFonts w:ascii="Proxima Nova" w:cs="Proxima Nova" w:eastAsia="Proxima Nova" w:hAnsi="Proxima Nova"/>
          <w:b w:val="1"/>
          <w:color w:val="353744"/>
          <w:sz w:val="28"/>
          <w:szCs w:val="28"/>
          <w:rtl w:val="0"/>
        </w:rPr>
        <w:t xml:space="preserve">Remediation Strategy</w:t>
      </w:r>
    </w:p>
    <w:p>
      <w:r>
        <w:t>To remediate the identified risks, the database server must be removed from the public internet and placed within a private network accessed only via a secure VPN with Multi-Factor Authentication (MFA). Implementing the Principle of Least Privilege (PoLP) and the AAA framework will ensure employees only access data required for their roles. Additionally, establishing a Web Application Firewall (WAF), automated database backups, and network intrusion detection systems (IDS) will enforce defense-in-depth, mitigating Denial of Service attacks and protecting against data exfiltration or unauthorized tampering.</w:t>
      </w:r>
    </w:p>
    <w:p w:rsidR="00000000" w:rsidDel="00000000" w:rsidP="00000000" w:rsidRDefault="00000000" w:rsidRPr="00000000" ns1: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Fc4L2azQlnUM-8r43PU9mYlT30BnxTwdjAMqpT7JeZk/edit?resourcekey=0-Q-XglnC3Li7JPK2hIvMkVg#heading=h.hvbcmqwzo9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