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Parking lot USB exercise</w:t>
      </w:r>
    </w:p>
    <w:p>
      <w:r>
        <w:t>Contents</w:t>
      </w:r>
    </w:p>
    <w:p>
      <w:r>
        <w:t>The USB drive contains a combination of personal items and sensitive work-related files belonging to Jorge Bailey, the HR Manager. Personal files include family and pet photos, vacation plans, and wedding documents, while work files contain employee shift schedules, new hire letters, and budget spreadsheets. Storing personal and business data together creates security risks by exposing sensitive corporate information.</w:t>
      </w:r>
    </w:p>
    <w:p>
      <w:r>
        <w:t>Attacker mindset</w:t>
      </w:r>
    </w:p>
    <w:p>
      <w:r>
        <w:t>An attacker could exploit the PII on this USB to launch targeted spear-phishing attacks against Jorge, his family, or hospital staff. Leveraging employee shift schedules and HR files enables attackers to craft convincing social engineering lures to steal credentials. Furthermore, exposing these schedules provides unauthorized insights into hospital operations and physical staffing patterns.</w:t>
      </w:r>
    </w:p>
    <w:p>
      <w:r>
        <w:t>Risk analysis</w:t>
      </w:r>
    </w:p>
    <w:p>
      <w:r>
        <w:t>USB baiting attacks often conceal malware such as keyloggers, ransomware, or trojans that execute automatically when plugged into a workstation. To mitigate these risks, organizations must implement technical controls like disabling autorun and blocking unauthorized removable media via endpoint security software. Operationally, staff should isolate unknown USBs using virtualized sandbox environments for investigation. Managerially, enforcing security awareness training and strict acceptable use policies prevents employees from plugging in untrusted devices.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