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3: RACI Matrix - Shop Ease Online AI Chatbot</w:t>
      </w:r>
    </w:p>
    <w:p>
      <w:r>
        <w:t>This RACI framework clarifies the roles, responsibilities, and engagement levels for all seven key stakeholder groups across the project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5760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 Description</w:t>
            </w:r>
          </w:p>
        </w:tc>
        <w:tc>
          <w:tcPr>
            <w:tcW w:type="dxa" w:w="172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RACI Designator(s)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Executive Sponsor (CEO)</w:t>
            </w:r>
          </w:p>
        </w:tc>
        <w:tc>
          <w:tcPr>
            <w:tcW w:type="dxa" w:w="5760"/>
            <w:shd w:fill="FFFFFF"/>
          </w:tcPr>
          <w:p>
            <w:pPr>
              <w:jc w:val="left"/>
            </w:pPr>
            <w:r>
              <w:rPr>
                <w:sz w:val="19"/>
              </w:rPr>
              <w:t>Provides overarching strategic vision, champions organizational alignment, and holds ultimate executive authority for budget approval and project sign-off.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Accountable (A)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Program Manager</w:t>
            </w:r>
          </w:p>
        </w:tc>
        <w:tc>
          <w:tcPr>
            <w:tcW w:type="dxa" w:w="5760"/>
            <w:shd w:fill="F2F5F9"/>
          </w:tcPr>
          <w:p>
            <w:pPr>
              <w:jc w:val="left"/>
            </w:pPr>
            <w:r>
              <w:rPr>
                <w:sz w:val="19"/>
              </w:rPr>
              <w:t>Leads project planning, coordinates cross-functional workstreams, manages schedule, risks, scope, budget, and overall day-to-day execution.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Responsible (R), Accountable (A)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IT/AI Lead</w:t>
            </w:r>
          </w:p>
        </w:tc>
        <w:tc>
          <w:tcPr>
            <w:tcW w:type="dxa" w:w="5760"/>
            <w:shd w:fill="FFFFFF"/>
          </w:tcPr>
          <w:p>
            <w:pPr>
              <w:jc w:val="left"/>
            </w:pPr>
            <w:r>
              <w:rPr>
                <w:sz w:val="19"/>
              </w:rPr>
              <w:t>Directs technical architecture, AI model configuration, CRM/OMS system integrations, infrastructure performance, and technical testing.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Responsible (R)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Customer Service Manager</w:t>
            </w:r>
          </w:p>
        </w:tc>
        <w:tc>
          <w:tcPr>
            <w:tcW w:type="dxa" w:w="5760"/>
            <w:shd w:fill="F2F5F9"/>
          </w:tcPr>
          <w:p>
            <w:pPr>
              <w:jc w:val="left"/>
            </w:pPr>
            <w:r>
              <w:rPr>
                <w:sz w:val="19"/>
              </w:rPr>
              <w:t>Defines support workflows, knowledge base content, agent handoff protocols, and leads live-agent training and operational adoption.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Responsible (R), Consulted (C)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Marketing Manager</w:t>
            </w:r>
          </w:p>
        </w:tc>
        <w:tc>
          <w:tcPr>
            <w:tcW w:type="dxa" w:w="5760"/>
            <w:shd w:fill="FFFFFF"/>
          </w:tcPr>
          <w:p>
            <w:pPr>
              <w:jc w:val="left"/>
            </w:pPr>
            <w:r>
              <w:rPr>
                <w:sz w:val="19"/>
              </w:rPr>
              <w:t>Develops promotional campaigns, drives customer awareness of the new AI chatbot, and aligns conversational tone with brand voice.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Consulted (C), Informed (I)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Data Protection Officer (DPO)</w:t>
            </w:r>
          </w:p>
        </w:tc>
        <w:tc>
          <w:tcPr>
            <w:tcW w:type="dxa" w:w="5760"/>
            <w:shd w:fill="F2F5F9"/>
          </w:tcPr>
          <w:p>
            <w:pPr>
              <w:jc w:val="left"/>
            </w:pPr>
            <w:r>
              <w:rPr>
                <w:sz w:val="19"/>
              </w:rPr>
              <w:t>Conducts privacy impact assessments, audits data handling practices, and ensures strict compliance with GDPR and relevant privacy regulations.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Consulted (C)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End Customers</w:t>
            </w:r>
          </w:p>
        </w:tc>
        <w:tc>
          <w:tcPr>
            <w:tcW w:type="dxa" w:w="5760"/>
            <w:shd w:fill="FFFFFF"/>
          </w:tcPr>
          <w:p>
            <w:pPr>
              <w:jc w:val="left"/>
            </w:pPr>
            <w:r>
              <w:rPr>
                <w:sz w:val="19"/>
              </w:rPr>
              <w:t>Direct users of the chatbot interface who interact with the system, submit inquiries, and provide CSAT ratings and feedback.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Informed (I)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