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pStyle w:val="Title"/>
      </w:pPr>
      <w:r>
        <w:rPr>
          <w:b/>
          <w:bCs/>
          <w:color w:val="020617"/>
          <w:sz w:val="80"/>
          <w:szCs w:val="80"/>
        </w:rPr>
        <w:t xml:space="preserve">DEITIES &amp; DEMIGODS</w:t>
      </w:r>
    </w:p>
    <w:p>
      <w:pPr>
        <w:pStyle w:val="Subtitle"/>
      </w:pPr>
      <w:r>
        <w:rPr>
          <w:b/>
          <w:bCs/>
          <w:color w:val="C19A6B"/>
          <w:sz w:val="48"/>
          <w:szCs w:val="48"/>
        </w:rPr>
        <w:t xml:space="preserve">MYTHWORLD ENGINE</w:t>
      </w:r>
    </w:p>
    <w:p>
      <w:pPr>
        <w:spacing w:before="600"/>
        <w:jc w:val="center"/>
      </w:pPr>
      <w:r>
        <w:rPr>
          <w:color w:val="C19A6B"/>
          <w:sz w:val="20"/>
          <w:szCs w:val="20"/>
        </w:rPr>
        <w:t xml:space="preserve">━━━━━━━━━━━━━━━━━━━━━━━━━━━━━━━</w:t>
      </w:r>
    </w:p>
    <w:p>
      <w:pPr>
        <w:pStyle w:val="Subtitle"/>
      </w:pPr>
      <w:r>
        <w:t xml:space="preserve">The Complete Rulebook</w:t>
      </w:r>
    </w:p>
    <w:p>
      <w:pPr>
        <w:spacing w:before="200"/>
        <w:jc w:val="center"/>
      </w:pPr>
      <w:r>
        <w:rPr>
          <w:i/>
          <w:iCs/>
          <w:color w:val="64748B"/>
          <w:sz w:val="22"/>
          <w:szCs w:val="22"/>
        </w:rPr>
        <w:t xml:space="preserve">A Comprehensive Guide to Divine Conflict</w:t>
      </w:r>
    </w:p>
    <w:p>
      <w:pPr>
        <w:spacing w:before="200"/>
        <w:jc w:val="center"/>
      </w:pPr>
      <w:r>
        <w:rPr>
          <w:i/>
          <w:iCs/>
          <w:color w:val="64748B"/>
          <w:sz w:val="22"/>
          <w:szCs w:val="22"/>
        </w:rPr>
        <w:t xml:space="preserve">Across the Mythologies of the World</w:t>
      </w:r>
    </w:p>
    <w:p>
      <w:pPr>
        <w:spacing w:before="2000"/>
        <w:jc w:val="center"/>
      </w:pPr>
      <w:r>
        <w:rPr>
          <w:color w:val="1E293B"/>
          <w:sz w:val="20"/>
          <w:szCs w:val="20"/>
        </w:rPr>
        <w:t xml:space="preserve">Featuring 195 Characters from 17 Pantheons</w:t>
      </w:r>
    </w:p>
    <w:p>
      <w:pPr>
        <w:spacing w:before="100"/>
        <w:jc w:val="center"/>
      </w:pPr>
      <w:r>
        <w:rPr>
          <w:color w:val="1E293B"/>
          <w:sz w:val="20"/>
          <w:szCs w:val="20"/>
        </w:rPr>
        <w:t xml:space="preserve">Including the Dragonlance Chronicles</w:t>
      </w:r>
    </w:p>
    <w:p>
      <w:pPr>
        <w:spacing w:before="1500"/>
        <w:jc w:val="center"/>
      </w:pPr>
      <w:r>
        <w:rPr>
          <w:b/>
          <w:bCs/>
          <w:color w:val="020617"/>
          <w:sz w:val="22"/>
          <w:szCs w:val="22"/>
        </w:rPr>
        <w:t xml:space="preserve">Version 1.0</w:t>
      </w:r>
    </w:p>
    <w:p>
      <w:r>
        <w:br w:type="page"/>
      </w:r>
    </w:p>
    <w:p>
      <w:pPr>
        <w:sectPr>
          <w:pgSz w:w="11906" w:h="16838" w:orient="portrait"/>
          <w:pgMar w:top="0" w:right="0" w:bottom="0" w:left="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Chapter 1: Introduction</w:t>
          </w:r>
          <w:r>
            <w:tab/>
          </w:r>
          <w:r>
            <w:t>3</w:t>
          </w:r>
        </w:p>
        <w:p>
          <w:pPr>
            <w:pStyle w:val="11"/>
            <w:ind w:left="360"/>
            <w:tabs>
              <w:tab w:val="right" w:leader="dot" w:pos="9026"/>
            </w:tabs>
          </w:pPr>
          <w:r>
            <w:t>What is Deities &amp; Demigods?</w:t>
          </w:r>
          <w:r>
            <w:tab/>
          </w:r>
          <w:r>
            <w:t>3</w:t>
          </w:r>
        </w:p>
        <w:p>
          <w:pPr>
            <w:pStyle w:val="11"/>
            <w:ind w:left="360"/>
            <w:tabs>
              <w:tab w:val="right" w:leader="dot" w:pos="9026"/>
            </w:tabs>
          </w:pPr>
          <w:r>
            <w:t>The Setting</w:t>
          </w:r>
          <w:r>
            <w:tab/>
          </w:r>
          <w:r>
            <w:t>3</w:t>
          </w:r>
        </w:p>
        <w:p>
          <w:pPr>
            <w:pStyle w:val="11"/>
            <w:ind w:left="360"/>
            <w:tabs>
              <w:tab w:val="right" w:leader="dot" w:pos="9026"/>
            </w:tabs>
          </w:pPr>
          <w:r>
            <w:t>The Pantheons</w:t>
          </w:r>
          <w:r>
            <w:tab/>
          </w:r>
          <w:r>
            <w:t>4</w:t>
          </w:r>
        </w:p>
        <w:p>
          <w:pPr>
            <w:pStyle w:val="9"/>
            <w:tabs>
              <w:tab w:val="right" w:leader="dot" w:pos="9026"/>
            </w:tabs>
          </w:pPr>
          <w:r>
            <w:t>Chapter 2: Character Types</w:t>
          </w:r>
          <w:r>
            <w:tab/>
          </w:r>
          <w:r>
            <w:t>5</w:t>
          </w:r>
        </w:p>
        <w:p>
          <w:pPr>
            <w:pStyle w:val="11"/>
            <w:ind w:left="360"/>
            <w:tabs>
              <w:tab w:val="right" w:leader="dot" w:pos="9026"/>
            </w:tabs>
          </w:pPr>
          <w:r>
            <w:t>Divine Ranks</w:t>
          </w:r>
          <w:r>
            <w:tab/>
          </w:r>
          <w:r>
            <w:t>5</w:t>
          </w:r>
        </w:p>
        <w:p>
          <w:pPr>
            <w:pStyle w:val="12"/>
            <w:ind w:left="720"/>
            <w:tabs>
              <w:tab w:val="right" w:leader="dot" w:pos="9026"/>
            </w:tabs>
          </w:pPr>
          <w:r>
            <w:t>Greater Gods</w:t>
          </w:r>
          <w:r>
            <w:tab/>
          </w:r>
          <w:r>
            <w:t>5</w:t>
          </w:r>
        </w:p>
        <w:p>
          <w:pPr>
            <w:pStyle w:val="12"/>
            <w:ind w:left="720"/>
            <w:tabs>
              <w:tab w:val="right" w:leader="dot" w:pos="9026"/>
            </w:tabs>
          </w:pPr>
          <w:r>
            <w:t>Lesser Gods</w:t>
          </w:r>
          <w:r>
            <w:tab/>
          </w:r>
          <w:r>
            <w:t>5</w:t>
          </w:r>
        </w:p>
        <w:p>
          <w:pPr>
            <w:pStyle w:val="12"/>
            <w:ind w:left="720"/>
            <w:tabs>
              <w:tab w:val="right" w:leader="dot" w:pos="9026"/>
            </w:tabs>
          </w:pPr>
          <w:r>
            <w:t>Demigods</w:t>
          </w:r>
          <w:r>
            <w:tab/>
          </w:r>
          <w:r>
            <w:t>6</w:t>
          </w:r>
        </w:p>
        <w:p>
          <w:pPr>
            <w:pStyle w:val="12"/>
            <w:ind w:left="720"/>
            <w:tabs>
              <w:tab w:val="right" w:leader="dot" w:pos="9026"/>
            </w:tabs>
          </w:pPr>
          <w:r>
            <w:t>Heroes</w:t>
          </w:r>
          <w:r>
            <w:tab/>
          </w:r>
          <w:r>
            <w:t>6</w:t>
          </w:r>
        </w:p>
        <w:p>
          <w:pPr>
            <w:pStyle w:val="12"/>
            <w:ind w:left="720"/>
            <w:tabs>
              <w:tab w:val="right" w:leader="dot" w:pos="9026"/>
            </w:tabs>
          </w:pPr>
          <w:r>
            <w:t>Monsters</w:t>
          </w:r>
          <w:r>
            <w:tab/>
          </w:r>
          <w:r>
            <w:t>6</w:t>
          </w:r>
        </w:p>
        <w:p>
          <w:pPr>
            <w:pStyle w:val="9"/>
            <w:tabs>
              <w:tab w:val="right" w:leader="dot" w:pos="9026"/>
            </w:tabs>
          </w:pPr>
          <w:r>
            <w:t>Chapter 3: The Combat System</w:t>
          </w:r>
          <w:r>
            <w:tab/>
          </w:r>
          <w:r>
            <w:t>7</w:t>
          </w:r>
        </w:p>
        <w:p>
          <w:pPr>
            <w:pStyle w:val="11"/>
            <w:ind w:left="360"/>
            <w:tabs>
              <w:tab w:val="right" w:leader="dot" w:pos="9026"/>
            </w:tabs>
          </w:pPr>
          <w:r>
            <w:t>Core Mechanics</w:t>
          </w:r>
          <w:r>
            <w:tab/>
          </w:r>
          <w:r>
            <w:t>7</w:t>
          </w:r>
        </w:p>
        <w:p>
          <w:pPr>
            <w:pStyle w:val="11"/>
            <w:ind w:left="360"/>
            <w:tabs>
              <w:tab w:val="right" w:leader="dot" w:pos="9026"/>
            </w:tabs>
          </w:pPr>
          <w:r>
            <w:t>The Three-Phase System</w:t>
          </w:r>
          <w:r>
            <w:tab/>
          </w:r>
          <w:r>
            <w:t>7</w:t>
          </w:r>
        </w:p>
        <w:p>
          <w:pPr>
            <w:pStyle w:val="9"/>
            <w:tabs>
              <w:tab w:val="right" w:leader="dot" w:pos="9026"/>
            </w:tabs>
          </w:pPr>
          <w:r>
            <w:t>Chapter 4: Divine Abilities</w:t>
          </w:r>
          <w:r>
            <w:tab/>
          </w:r>
          <w:r>
            <w:t>9</w:t>
          </w:r>
        </w:p>
        <w:p>
          <w:pPr>
            <w:pStyle w:val="11"/>
            <w:ind w:left="360"/>
            <w:tabs>
              <w:tab w:val="right" w:leader="dot" w:pos="9026"/>
            </w:tabs>
          </w:pPr>
          <w:r>
            <w:t>Ability Categories</w:t>
          </w:r>
          <w:r>
            <w:tab/>
          </w:r>
          <w:r>
            <w:t>9</w:t>
          </w:r>
        </w:p>
        <w:p>
          <w:pPr>
            <w:pStyle w:val="11"/>
            <w:ind w:left="360"/>
            <w:tabs>
              <w:tab w:val="right" w:leader="dot" w:pos="9026"/>
            </w:tabs>
          </w:pPr>
          <w:r>
            <w:t>Using Abilities</w:t>
          </w:r>
          <w:r>
            <w:tab/>
          </w:r>
          <w:r>
            <w:t>10</w:t>
          </w:r>
        </w:p>
        <w:p>
          <w:pPr>
            <w:pStyle w:val="9"/>
            <w:tabs>
              <w:tab w:val="right" w:leader="dot" w:pos="9026"/>
            </w:tabs>
          </w:pPr>
          <w:r>
            <w:t>Chapter 5: The Codex</w:t>
          </w:r>
          <w:r>
            <w:tab/>
          </w:r>
          <w:r>
            <w:t>11</w:t>
          </w:r>
        </w:p>
        <w:p>
          <w:pPr>
            <w:pStyle w:val="9"/>
            <w:tabs>
              <w:tab w:val="right" w:leader="dot" w:pos="9026"/>
            </w:tabs>
          </w:pPr>
          <w:r>
            <w:t>Chapter 6: Running the Game</w:t>
          </w:r>
          <w:r>
            <w:tab/>
          </w:r>
          <w:r>
            <w:t>12</w:t>
          </w:r>
        </w:p>
        <w:p>
          <w:pPr>
            <w:pStyle w:val="11"/>
            <w:ind w:left="360"/>
            <w:tabs>
              <w:tab w:val="right" w:leader="dot" w:pos="9026"/>
            </w:tabs>
          </w:pPr>
          <w:r>
            <w:t>Session Types</w:t>
          </w:r>
          <w:r>
            <w:tab/>
          </w:r>
          <w:r>
            <w:t>12</w:t>
          </w:r>
        </w:p>
        <w:p>
          <w:pPr>
            <w:pStyle w:val="11"/>
            <w:ind w:left="360"/>
            <w:tabs>
              <w:tab w:val="right" w:leader="dot" w:pos="9026"/>
            </w:tabs>
          </w:pPr>
          <w:r>
            <w:t>Campaign Frames</w:t>
          </w:r>
          <w:r>
            <w:tab/>
          </w:r>
          <w:r>
            <w:t>13</w:t>
          </w:r>
        </w:p>
        <w:p>
          <w:pPr>
            <w:pStyle w:val="9"/>
            <w:tabs>
              <w:tab w:val="right" w:leader="dot" w:pos="9026"/>
            </w:tabs>
          </w:pPr>
          <w:r>
            <w:t>Chapter 7: Quick Reference</w:t>
          </w:r>
          <w:r>
            <w:tab/>
          </w:r>
          <w:r>
            <w:t>14</w:t>
          </w:r>
        </w:p>
        <w:p>
          <w:pPr>
            <w:pStyle w:val="9"/>
            <w:tabs>
              <w:tab w:val="right" w:leader="dot" w:pos="9026"/>
            </w:tabs>
          </w:pPr>
          <w:r>
            <w:t>Appendix: The Digital Codex</w:t>
          </w:r>
          <w:r>
            <w:tab/>
          </w:r>
          <w:r>
            <w:t>16</w:t>
          </w:r>
        </w:p>
        <w:p>
          <w:r>
            <w:fldChar w:fldCharType="end"/>
          </w:r>
        </w:p>
      </w:sdtContent>
    </w:sdt>
    <w:p>
      <w:pPr>
        <w:spacing w:after="400" w:before="200"/>
        <w:jc w:val="center"/>
      </w:pPr>
      <w:r>
        <w:rPr>
          <w:i/>
          <w:iCs/>
          <w:color w:val="999999"/>
          <w:sz w:val="18"/>
          <w:szCs w:val="18"/>
        </w:rPr>
        <w:t xml:space="preserve">Note: Right-click the Table of Contents and select 'Update Field' to refresh page numbers.</w:t>
      </w:r>
    </w:p>
    <w:p>
      <w:r>
        <w:br w:type="page"/>
      </w:r>
    </w:p>
    <w:p>
      <w:pPr>
        <w:pStyle w:val="Heading1"/>
      </w:pPr>
      <w:r>
        <w:t xml:space="preserve">Chapter 1: Introduction</w:t>
      </w:r>
    </w:p>
    <w:p>
      <w:pPr>
        <w:pStyle w:val="Heading2"/>
      </w:pPr>
      <w:r>
        <w:t xml:space="preserve">What is Deities &amp; Demigods?</w:t>
      </w:r>
    </w:p>
    <w:p>
      <w:pPr>
        <w:spacing w:after="150"/>
      </w:pPr>
      <w:r>
        <w:rPr>
          <w:color w:val="1E293B"/>
        </w:rPr>
        <w:t xml:space="preserve">Deities &amp; Demigods: Mythworld Engine is a tactical roleplaying game that puts players in control of the most powerful beings across human mythology. Drawing from the original AD&amp;D Deities &amp; Demigods 1st Edition sourcebook, this game brings together gods, demigods, heroes, and monsters from seventeen distinct mythological pantheons into a unified system for divine conflict and epic storytelling.</w:t>
      </w:r>
    </w:p>
    <w:p>
      <w:pPr>
        <w:spacing w:after="150"/>
      </w:pPr>
      <w:r>
        <w:rPr>
          <w:color w:val="1E293B"/>
        </w:rPr>
        <w:t xml:space="preserve">Unlike traditional roleplaying games where characters start as humble adventurers, Mythworld Engine assumes characters are already at the pinnacle of power. A session might see Zeus clashing with Odin, or Ra confronting the machinations of Set. The question is not whether the characters are powerful enough—they are gods—but rather how their divine ambitions intersect and what consequences ripple across the mortal world below.</w:t>
      </w:r>
    </w:p>
    <w:p>
      <w:pPr>
        <w:pStyle w:val="Heading2"/>
      </w:pPr>
      <w:r>
        <w:t xml:space="preserve">The Setting</w:t>
      </w:r>
    </w:p>
    <w:p>
      <w:pPr>
        <w:spacing w:after="150"/>
      </w:pPr>
      <w:r>
        <w:rPr>
          <w:color w:val="1E293B"/>
        </w:rPr>
        <w:t xml:space="preserve">The Mythworld is a metaphysical plane where all mythologies coexist. Here, the Greek Mount Olympus rises alongside the Norse Yggdrasil, and the Egyptian Duat bleeds into the Celtic Otherworld. Mortals rarely perceive this realm directly, but the consequences of divine conflict echo through their world as natural disasters, wars, miracles, and curses.</w:t>
      </w:r>
    </w:p>
    <w:p>
      <w:pPr>
        <w:spacing w:after="150"/>
      </w:pPr>
      <w:r>
        <w:rPr>
          <w:color w:val="1E293B"/>
        </w:rPr>
        <w:t xml:space="preserve">The Mythworld operates on the principle of narrative weight—the more believers a deity has, the more influence they wield. But belief is not merely numbers; it is the intensity of faith, the power of stories told, and the cultural significance of myths. A forgotten god may be nearly powerless, while a widely worshipped deity commands reality itself.</w:t>
      </w:r>
    </w:p>
    <w:p>
      <w:pPr>
        <w:pStyle w:val="Heading2"/>
      </w:pPr>
      <w:r>
        <w:t xml:space="preserve">The Pantheons</w:t>
      </w:r>
    </w:p>
    <w:p>
      <w:pPr>
        <w:spacing w:after="100"/>
      </w:pPr>
      <w:r>
        <w:rPr>
          <w:color w:val="1E293B"/>
        </w:rPr>
        <w:t xml:space="preserve">The game features seventeen distinct pantheons, each with its own flavor, aesthetic, and divine hierarchy:</w:t>
      </w:r>
    </w:p>
    <w:p>
      <w:pPr>
        <w:pStyle w:val="ListParagraph"/>
        <w:numPr>
          <w:ilvl w:val="0"/>
          <w:numId w:val="2"/>
        </w:numPr>
      </w:pPr>
      <w:r>
        <w:rPr>
          <w:b/>
          <w:bCs/>
        </w:rPr>
        <w:t xml:space="preserve">Greek</w:t>
      </w:r>
      <w:r>
        <w:t xml:space="preserve"> — The Olympians, masters of sky, sea, and underworld. Known for their passions and petty squabbles.</w:t>
      </w:r>
    </w:p>
    <w:p>
      <w:pPr>
        <w:pStyle w:val="ListParagraph"/>
        <w:numPr>
          <w:ilvl w:val="0"/>
          <w:numId w:val="2"/>
        </w:numPr>
      </w:pPr>
      <w:r>
        <w:rPr>
          <w:b/>
          <w:bCs/>
        </w:rPr>
        <w:t xml:space="preserve">Norse</w:t>
      </w:r>
      <w:r>
        <w:t xml:space="preserve"> — The Aesir and Vanir, gods of war, wisdom, and inevitable doom. Ragnarok approaches.</w:t>
      </w:r>
    </w:p>
    <w:p>
      <w:pPr>
        <w:pStyle w:val="ListParagraph"/>
        <w:numPr>
          <w:ilvl w:val="0"/>
          <w:numId w:val="2"/>
        </w:numPr>
      </w:pPr>
      <w:r>
        <w:rPr>
          <w:b/>
          <w:bCs/>
        </w:rPr>
        <w:t xml:space="preserve">Egyptian</w:t>
      </w:r>
      <w:r>
        <w:t xml:space="preserve"> — The Ennead, ancient deities of sun, death, and the cosmic order. Guardians of ma'at.</w:t>
      </w:r>
    </w:p>
    <w:p>
      <w:pPr>
        <w:pStyle w:val="ListParagraph"/>
        <w:numPr>
          <w:ilvl w:val="0"/>
          <w:numId w:val="2"/>
        </w:numPr>
      </w:pPr>
      <w:r>
        <w:rPr>
          <w:b/>
          <w:bCs/>
        </w:rPr>
        <w:t xml:space="preserve">Indian</w:t>
      </w:r>
      <w:r>
        <w:t xml:space="preserve"> — The Vedic deities, including the Trimurti of Brahma, Vishnu, and Shiva. Cycles of creation and destruction.</w:t>
      </w:r>
    </w:p>
    <w:p>
      <w:pPr>
        <w:pStyle w:val="ListParagraph"/>
        <w:numPr>
          <w:ilvl w:val="0"/>
          <w:numId w:val="2"/>
        </w:numPr>
      </w:pPr>
      <w:r>
        <w:rPr>
          <w:b/>
          <w:bCs/>
        </w:rPr>
        <w:t xml:space="preserve">Celtic</w:t>
      </w:r>
      <w:r>
        <w:t xml:space="preserve"> — The Tuatha Dé Danann, gods of nature, craft, and the wild places. Masters of shape-changing.</w:t>
      </w:r>
    </w:p>
    <w:p>
      <w:pPr>
        <w:pStyle w:val="ListParagraph"/>
        <w:numPr>
          <w:ilvl w:val="0"/>
          <w:numId w:val="2"/>
        </w:numPr>
      </w:pPr>
      <w:r>
        <w:rPr>
          <w:b/>
          <w:bCs/>
        </w:rPr>
        <w:t xml:space="preserve">Central American</w:t>
      </w:r>
      <w:r>
        <w:t xml:space="preserve"> — The Aztec and Maya deities, gods of sun, sacrifice, and cosmic cycles.</w:t>
      </w:r>
    </w:p>
    <w:p>
      <w:pPr>
        <w:pStyle w:val="ListParagraph"/>
        <w:numPr>
          <w:ilvl w:val="0"/>
          <w:numId w:val="2"/>
        </w:numPr>
      </w:pPr>
      <w:r>
        <w:rPr>
          <w:b/>
          <w:bCs/>
        </w:rPr>
        <w:t xml:space="preserve">Finnish</w:t>
      </w:r>
      <w:r>
        <w:t xml:space="preserve"> — The Kalevala pantheon, masters of song, forge, and the northern forests.</w:t>
      </w:r>
    </w:p>
    <w:p>
      <w:pPr>
        <w:pStyle w:val="ListParagraph"/>
        <w:numPr>
          <w:ilvl w:val="0"/>
          <w:numId w:val="2"/>
        </w:numPr>
      </w:pPr>
      <w:r>
        <w:rPr>
          <w:b/>
          <w:bCs/>
        </w:rPr>
        <w:t xml:space="preserve">Japanese</w:t>
      </w:r>
      <w:r>
        <w:t xml:space="preserve"> — The Kami, spirits of nature, ancestors, and cosmic order. Shinto divinity.</w:t>
      </w:r>
    </w:p>
    <w:p>
      <w:pPr>
        <w:pStyle w:val="ListParagraph"/>
        <w:numPr>
          <w:ilvl w:val="0"/>
          <w:numId w:val="2"/>
        </w:numPr>
      </w:pPr>
      <w:r>
        <w:rPr>
          <w:b/>
          <w:bCs/>
        </w:rPr>
        <w:t xml:space="preserve">Babylonian</w:t>
      </w:r>
      <w:r>
        <w:t xml:space="preserve"> — The ancient Mesopotamian gods, lords of cities, law, and civilization's birth.</w:t>
      </w:r>
    </w:p>
    <w:p>
      <w:pPr>
        <w:pStyle w:val="ListParagraph"/>
        <w:numPr>
          <w:ilvl w:val="0"/>
          <w:numId w:val="2"/>
        </w:numPr>
      </w:pPr>
      <w:r>
        <w:rPr>
          <w:b/>
          <w:bCs/>
        </w:rPr>
        <w:t xml:space="preserve">Chinese</w:t>
      </w:r>
      <w:r>
        <w:t xml:space="preserve"> — The Celestial Bureaucracy, gods of heaven, earth, and the heavenly mandate.</w:t>
      </w:r>
    </w:p>
    <w:p>
      <w:pPr>
        <w:pStyle w:val="ListParagraph"/>
        <w:numPr>
          <w:ilvl w:val="0"/>
          <w:numId w:val="2"/>
        </w:numPr>
      </w:pPr>
      <w:r>
        <w:rPr>
          <w:b/>
          <w:bCs/>
        </w:rPr>
        <w:t xml:space="preserve">Arthurian</w:t>
      </w:r>
      <w:r>
        <w:t xml:space="preserve"> — The Knights of the Round Table and the magic of Camelot. Legendary heroes.</w:t>
      </w:r>
    </w:p>
    <w:p>
      <w:pPr>
        <w:pStyle w:val="ListParagraph"/>
        <w:numPr>
          <w:ilvl w:val="0"/>
          <w:numId w:val="2"/>
        </w:numPr>
      </w:pPr>
      <w:r>
        <w:rPr>
          <w:b/>
          <w:bCs/>
        </w:rPr>
        <w:t xml:space="preserve">American Indian</w:t>
      </w:r>
      <w:r>
        <w:t xml:space="preserve"> — The spirits and tricksters of Native American tradition. Coyote, Thunder Bird, Raven.</w:t>
      </w:r>
    </w:p>
    <w:p>
      <w:pPr>
        <w:pStyle w:val="ListParagraph"/>
        <w:numPr>
          <w:ilvl w:val="0"/>
          <w:numId w:val="2"/>
        </w:numPr>
      </w:pPr>
      <w:r>
        <w:rPr>
          <w:b/>
          <w:bCs/>
        </w:rPr>
        <w:t xml:space="preserve">Nehwon</w:t>
      </w:r>
      <w:r>
        <w:t xml:space="preserve"> — The world of Fafhrd and the Gray Mouser. Swords, sorcery, and dark humor.</w:t>
      </w:r>
    </w:p>
    <w:p>
      <w:pPr>
        <w:pStyle w:val="ListParagraph"/>
        <w:numPr>
          <w:ilvl w:val="0"/>
          <w:numId w:val="2"/>
        </w:numPr>
      </w:pPr>
      <w:r>
        <w:rPr>
          <w:b/>
          <w:bCs/>
        </w:rPr>
        <w:t xml:space="preserve">Melnibonéan</w:t>
      </w:r>
      <w:r>
        <w:t xml:space="preserve"> — The Chaos gods of Elric's world. Arioch and the Lords of Chaos.</w:t>
      </w:r>
    </w:p>
    <w:p>
      <w:pPr>
        <w:pStyle w:val="ListParagraph"/>
        <w:numPr>
          <w:ilvl w:val="0"/>
          <w:numId w:val="2"/>
        </w:numPr>
      </w:pPr>
      <w:r>
        <w:rPr>
          <w:b/>
          <w:bCs/>
        </w:rPr>
        <w:t xml:space="preserve">Cthulhu Mythos</w:t>
      </w:r>
      <w:r>
        <w:t xml:space="preserve"> — The Great Old Ones. Alien, incomprehensible, and utterly indifferent to humanity.</w:t>
      </w:r>
    </w:p>
    <w:p>
      <w:pPr>
        <w:pStyle w:val="ListParagraph"/>
        <w:numPr>
          <w:ilvl w:val="0"/>
          <w:numId w:val="2"/>
        </w:numPr>
      </w:pPr>
      <w:r>
        <w:rPr>
          <w:b/>
          <w:bCs/>
        </w:rPr>
        <w:t xml:space="preserve">Nonhuman</w:t>
      </w:r>
      <w:r>
        <w:t xml:space="preserve"> — The racial deities: Moradin for dwarves, Corellon for elves, Gruumsh for orcs.</w:t>
      </w:r>
    </w:p>
    <w:p>
      <w:pPr>
        <w:pStyle w:val="ListParagraph"/>
        <w:numPr>
          <w:ilvl w:val="0"/>
          <w:numId w:val="2"/>
        </w:numPr>
        <w:spacing w:after="200"/>
      </w:pPr>
      <w:r>
        <w:rPr>
          <w:b/>
          <w:bCs/>
        </w:rPr>
        <w:t xml:space="preserve">Krynn</w:t>
      </w:r>
      <w:r>
        <w:t xml:space="preserve"> — The Dragonlance pantheon. Paladine, Takhisis, and the Heroes of the Lance.</w:t>
      </w:r>
    </w:p>
    <w:p>
      <w:pPr>
        <w:pStyle w:val="Heading1"/>
      </w:pPr>
      <w:r>
        <w:t xml:space="preserve">Chapter 2: Character Types</w:t>
      </w:r>
    </w:p>
    <w:p>
      <w:pPr>
        <w:pStyle w:val="Heading2"/>
      </w:pPr>
      <w:r>
        <w:t xml:space="preserve">Divine Ranks</w:t>
      </w:r>
    </w:p>
    <w:p>
      <w:pPr>
        <w:spacing w:after="150"/>
      </w:pPr>
      <w:r>
        <w:rPr>
          <w:color w:val="1E293B"/>
        </w:rPr>
        <w:t xml:space="preserve">Characters in Mythworld Engine are organized by Divine Rank, which determines their base power level, the scope of their influence, and the magnitude of abilities they can bring to bear. Each rank represents a fundamental difference in the nature of the being, not merely a difference in power magnitude.</w:t>
      </w:r>
    </w:p>
    <w:p>
      <w:pPr>
        <w:pStyle w:val="Heading3"/>
      </w:pPr>
      <w:r>
        <w:t xml:space="preserve">Greater Gods</w:t>
      </w:r>
    </w:p>
    <w:p>
      <w:pPr>
        <w:spacing w:after="150"/>
      </w:pPr>
      <w:r>
        <w:rPr>
          <w:color w:val="1E293B"/>
        </w:rPr>
        <w:t xml:space="preserve">Greater Gods are the supreme deities of their pantheons—the rulers, creators, and destroyers whose very existence shapes the cosmos. These beings command portfolios that encompass fundamental aspects of reality: sky, death, war, love, wisdom, creation itself. A Greater God typically has 300-450 hit points, Armor Class ranging from -10 to +4, and Magic Resistance of 50-100%.</w:t>
      </w:r>
    </w:p>
    <w:p>
      <w:pPr>
        <w:spacing w:after="150"/>
      </w:pPr>
      <w:r>
        <w:rPr>
          <w:color w:val="1E293B"/>
        </w:rPr>
        <w:t xml:space="preserve">What distinguishes Greater Gods is not merely their statistics but their narrative weight. When Zeus speaks, Olympus trembles. When Shiva dances, universes end. These beings have three combat phases, each escalating in power and scope. Their Phase 3 abilities can reshape battlefields, summon armies, or trigger apocalyptic events.</w:t>
      </w:r>
    </w:p>
    <w:p>
      <w:pPr>
        <w:pStyle w:val="Heading3"/>
      </w:pPr>
      <w:r>
        <w:t xml:space="preserve">Lesser Gods</w:t>
      </w:r>
    </w:p>
    <w:p>
      <w:pPr>
        <w:spacing w:after="150"/>
      </w:pPr>
      <w:r>
        <w:rPr>
          <w:color w:val="1E293B"/>
        </w:rPr>
        <w:t xml:space="preserve">Lesser Gods serve as the middle tier of divinity—powerful enough to warrant worship, but subordinate to the Greater Gods in their pantheon's hierarchy. They typically govern specific domains within larger portfolios: a Lesser God of healing serves under a Greater God of life, for instance. Their statistics range from 200-350 hit points, with Magic Resistance of 25-90%.</w:t>
      </w:r>
    </w:p>
    <w:p>
      <w:pPr>
        <w:spacing w:after="150"/>
      </w:pPr>
      <w:r>
        <w:rPr>
          <w:color w:val="1E293B"/>
        </w:rPr>
        <w:t xml:space="preserve">Lesser Gods often have more focused personalities and clearer motivations than their greater brethren. They interact with mortals more frequently and may have mortal favorites, children, or enemies. While they lack the reality-warping Phase 3 abilities of Greater Gods, their Phase 2 abilities are still formidable.</w:t>
      </w:r>
    </w:p>
    <w:p>
      <w:pPr>
        <w:pStyle w:val="Heading3"/>
      </w:pPr>
      <w:r>
        <w:t xml:space="preserve">Demigods</w:t>
      </w:r>
    </w:p>
    <w:p>
      <w:pPr>
        <w:spacing w:after="150"/>
      </w:pPr>
      <w:r>
        <w:rPr>
          <w:color w:val="1E293B"/>
        </w:rPr>
        <w:t xml:space="preserve">Demigods occupy the threshold between mortality and divinity. Many are the offspring of gods and mortals, while others are mortals who ascended through great deeds, dark bargains, or cosmic accidents. Their statistics typically range from 150-300 hit points, with Magic Resistance of 0-85%.</w:t>
      </w:r>
    </w:p>
    <w:p>
      <w:pPr>
        <w:spacing w:after="150"/>
      </w:pPr>
      <w:r>
        <w:rPr>
          <w:color w:val="1E293B"/>
        </w:rPr>
        <w:t xml:space="preserve">Demigods are uniquely positioned to straddle both worlds—they can walk among mortals without causing immediate disruption, yet they can challenge lesser gods in direct conflict. Their mortality often shows through in their personalities: they retain human passions, failings, and sometimes tragic fates. Heroes like Heracles, Gilgamesh, and the ascended Raistlin Majere exemplify this rank.</w:t>
      </w:r>
    </w:p>
    <w:p>
      <w:pPr>
        <w:pStyle w:val="Heading3"/>
      </w:pPr>
      <w:r>
        <w:t xml:space="preserve">Heroes</w:t>
      </w:r>
    </w:p>
    <w:p>
      <w:pPr>
        <w:spacing w:after="150"/>
      </w:pPr>
      <w:r>
        <w:rPr>
          <w:color w:val="1E293B"/>
        </w:rPr>
        <w:t xml:space="preserve">Heroes are mortals of legendary stature—warriors, wizards, and champions whose deeds have earned them a place in the divine narrative. While they lack divine essence, their abilities often approach or exceed those of demigods. Statistics range from 50-150 hit points, with variable Magic Resistance based on their nature.</w:t>
      </w:r>
    </w:p>
    <w:p>
      <w:pPr>
        <w:spacing w:after="150"/>
      </w:pPr>
      <w:r>
        <w:rPr>
          <w:color w:val="1E293B"/>
        </w:rPr>
        <w:t xml:space="preserve">Heroes are defined by their mortality, which is both their greatest weakness and their greatest strength. They can die—and many have died in the myths that made them famous. But they can also achieve things that gods cannot, precisely because they are mortal. The willingness to sacrifice, the ability to change and grow, the capacity for true love without eternal perspective—these are heroic virtues that divine beings often cannot comprehend.</w:t>
      </w:r>
    </w:p>
    <w:p>
      <w:pPr>
        <w:pStyle w:val="Heading3"/>
      </w:pPr>
      <w:r>
        <w:t xml:space="preserve">Monsters</w:t>
      </w:r>
    </w:p>
    <w:p>
      <w:pPr>
        <w:spacing w:after="200"/>
      </w:pPr>
      <w:r>
        <w:rPr>
          <w:color w:val="1E293B"/>
        </w:rPr>
        <w:t xml:space="preserve">Monsters are beings of power that exist outside the divine hierarchy—creatures of chaos, abominations, or entities so alien that they defy categorization. From the Norse Jormungandr to Cthulhu's spawn, monsters often represent primal forces that even gods must respect. Their statistics vary wildly, but they frequently possess unique abilities that bypass normal defenses.</w:t>
      </w:r>
    </w:p>
    <w:p>
      <w:pPr>
        <w:pStyle w:val="Heading1"/>
      </w:pPr>
      <w:r>
        <w:t xml:space="preserve">Chapter 3: The Combat System</w:t>
      </w:r>
    </w:p>
    <w:p>
      <w:pPr>
        <w:pStyle w:val="Heading2"/>
      </w:pPr>
      <w:r>
        <w:t xml:space="preserve">Core Mechanics</w:t>
      </w:r>
    </w:p>
    <w:p>
      <w:pPr>
        <w:spacing w:after="150"/>
      </w:pPr>
      <w:r>
        <w:rPr>
          <w:color w:val="1E293B"/>
        </w:rPr>
        <w:t xml:space="preserve">Combat in Mythworld Engine operates on a phase-based system that simulates the escalating intensity of mythological conflict. Unlike traditional initiative-based combat, divine battles unfold in dramatic stages, with each phase bringing new abilities and heightened stakes.</w:t>
      </w:r>
    </w:p>
    <w:p>
      <w:pPr>
        <w:pStyle w:val="Heading2"/>
      </w:pPr>
      <w:r>
        <w:t xml:space="preserve">The Three-Phase System</w:t>
      </w:r>
    </w:p>
    <w:p>
      <w:pPr>
        <w:pStyle w:val="Heading3"/>
      </w:pPr>
      <w:r>
        <w:t xml:space="preserve">Phase 1: The Opening</w:t>
      </w:r>
    </w:p>
    <w:p>
      <w:pPr>
        <w:spacing w:after="150"/>
      </w:pPr>
      <w:r>
        <w:rPr>
          <w:color w:val="1E293B"/>
        </w:rPr>
        <w:t xml:space="preserve">Phase 1 represents the initial engagement, where combatants test each other's capabilities and deploy their standard abilities. This phase emphasizes positioning, resource management, and tactical assessment. Characters activate their basic powers and establish their presence on the battlefield.</w:t>
      </w:r>
    </w:p>
    <w:p>
      <w:pPr>
        <w:spacing w:after="100"/>
      </w:pPr>
      <w:r>
        <w:rPr>
          <w:b/>
          <w:bCs/>
          <w:color w:val="1E293B"/>
        </w:rPr>
        <w:t xml:space="preserve">During Phase 1:</w:t>
      </w:r>
    </w:p>
    <w:p>
      <w:pPr>
        <w:pStyle w:val="ListParagraph"/>
        <w:numPr>
          <w:ilvl w:val="0"/>
          <w:numId w:val="3"/>
        </w:numPr>
      </w:pPr>
      <w:r>
        <w:t xml:space="preserve">All standard abilities are available and function normally.</w:t>
      </w:r>
    </w:p>
    <w:p>
      <w:pPr>
        <w:pStyle w:val="ListParagraph"/>
        <w:numPr>
          <w:ilvl w:val="0"/>
          <w:numId w:val="3"/>
        </w:numPr>
      </w:pPr>
      <w:r>
        <w:t xml:space="preserve">Magic Resistance and Armor Class apply at their base values.</w:t>
      </w:r>
    </w:p>
    <w:p>
      <w:pPr>
        <w:pStyle w:val="ListParagraph"/>
        <w:numPr>
          <w:ilvl w:val="0"/>
          <w:numId w:val="3"/>
        </w:numPr>
      </w:pPr>
      <w:r>
        <w:t xml:space="preserve">Characters can attempt negotiation, intimidation, or retreat.</w:t>
      </w:r>
    </w:p>
    <w:p>
      <w:pPr>
        <w:pStyle w:val="ListParagraph"/>
        <w:numPr>
          <w:ilvl w:val="0"/>
          <w:numId w:val="3"/>
        </w:numPr>
        <w:spacing w:after="200"/>
      </w:pPr>
      <w:r>
        <w:t xml:space="preserve">Environmental effects and mortal witnesses may influence the conflict.</w:t>
      </w:r>
    </w:p>
    <w:p>
      <w:pPr>
        <w:pStyle w:val="Heading3"/>
      </w:pPr>
      <w:r>
        <w:t xml:space="preserve">Phase 2: The Escalation</w:t>
      </w:r>
    </w:p>
    <w:p>
      <w:pPr>
        <w:spacing w:after="150"/>
      </w:pPr>
      <w:r>
        <w:rPr>
          <w:color w:val="1E293B"/>
        </w:rPr>
        <w:t xml:space="preserve">Phase 2 triggers when combat has continued past the initial exchange or when one combatant chooses to escalate. This phase represents the serious commitment to battle—powers that were held in reserve are unleashed, and the conflict's true stakes become apparent.</w:t>
      </w:r>
    </w:p>
    <w:p>
      <w:pPr>
        <w:spacing w:after="100"/>
      </w:pPr>
      <w:r>
        <w:rPr>
          <w:b/>
          <w:bCs/>
          <w:color w:val="1E293B"/>
        </w:rPr>
        <w:t xml:space="preserve">During Phase 2:</w:t>
      </w:r>
    </w:p>
    <w:p>
      <w:pPr>
        <w:pStyle w:val="ListParagraph"/>
        <w:numPr>
          <w:ilvl w:val="0"/>
          <w:numId w:val="3"/>
        </w:numPr>
      </w:pPr>
      <w:r>
        <w:t xml:space="preserve">Phase 2 abilities unlock, often including summons, area effects, or enhanced attacks.</w:t>
      </w:r>
    </w:p>
    <w:p>
      <w:pPr>
        <w:pStyle w:val="ListParagraph"/>
        <w:numPr>
          <w:ilvl w:val="0"/>
          <w:numId w:val="3"/>
        </w:numPr>
      </w:pPr>
      <w:r>
        <w:t xml:space="preserve">Divine domains exert passive influence on the battlefield.</w:t>
      </w:r>
    </w:p>
    <w:p>
      <w:pPr>
        <w:pStyle w:val="ListParagraph"/>
        <w:numPr>
          <w:ilvl w:val="0"/>
          <w:numId w:val="3"/>
        </w:numPr>
      </w:pPr>
      <w:r>
        <w:t xml:space="preserve">Allies may be called upon, and pantheon relationships become relevant.</w:t>
      </w:r>
    </w:p>
    <w:p>
      <w:pPr>
        <w:pStyle w:val="ListParagraph"/>
        <w:numPr>
          <w:ilvl w:val="0"/>
          <w:numId w:val="3"/>
        </w:numPr>
        <w:spacing w:after="200"/>
      </w:pPr>
      <w:r>
        <w:t xml:space="preserve">Mortals in the area may become collateral damage or secondary objectives.</w:t>
      </w:r>
    </w:p>
    <w:p>
      <w:pPr>
        <w:pStyle w:val="Heading3"/>
      </w:pPr>
      <w:r>
        <w:t xml:space="preserve">Phase 3: The Climax</w:t>
      </w:r>
    </w:p>
    <w:p>
      <w:pPr>
        <w:spacing w:after="150"/>
      </w:pPr>
      <w:r>
        <w:rPr>
          <w:color w:val="1E293B"/>
        </w:rPr>
        <w:t xml:space="preserve">Phase 3 is the ultimate expression of divine power—reserved for Greater Gods and the most powerful beings. This phase represents the mythic climax: the moment when a god reveals their true form, when the sky tears open, when reality itself bends to divine will. Phase 3 abilities are narrative-scale effects that can end battles or reshape landscapes.</w:t>
      </w:r>
    </w:p>
    <w:p>
      <w:pPr>
        <w:spacing w:after="100"/>
      </w:pPr>
      <w:r>
        <w:rPr>
          <w:b/>
          <w:bCs/>
          <w:color w:val="1E293B"/>
        </w:rPr>
        <w:t xml:space="preserve">During Phase 3:</w:t>
      </w:r>
    </w:p>
    <w:p>
      <w:pPr>
        <w:pStyle w:val="ListParagraph"/>
        <w:numPr>
          <w:ilvl w:val="0"/>
          <w:numId w:val="3"/>
        </w:numPr>
      </w:pPr>
      <w:r>
        <w:t xml:space="preserve">Greater Gods reveal their TRUE FORM with all associated powers.</w:t>
      </w:r>
    </w:p>
    <w:p>
      <w:pPr>
        <w:pStyle w:val="ListParagraph"/>
        <w:numPr>
          <w:ilvl w:val="0"/>
          <w:numId w:val="3"/>
        </w:numPr>
      </w:pPr>
      <w:r>
        <w:t xml:space="preserve">The battlefield itself transforms to reflect the deity's nature.</w:t>
      </w:r>
    </w:p>
    <w:p>
      <w:pPr>
        <w:pStyle w:val="ListParagraph"/>
        <w:numPr>
          <w:ilvl w:val="0"/>
          <w:numId w:val="3"/>
        </w:numPr>
      </w:pPr>
      <w:r>
        <w:t xml:space="preserve">Divine interventions, pantheon-wide summons, or apocalyptic events may occur.</w:t>
      </w:r>
    </w:p>
    <w:p>
      <w:pPr>
        <w:pStyle w:val="ListParagraph"/>
        <w:numPr>
          <w:ilvl w:val="0"/>
          <w:numId w:val="3"/>
        </w:numPr>
        <w:spacing w:after="200"/>
      </w:pPr>
      <w:r>
        <w:t xml:space="preserve">The consequences of Phase 3 actions echo across the Mythworld and mortal realm.</w:t>
      </w:r>
    </w:p>
    <w:p>
      <w:pPr>
        <w:pStyle w:val="Heading2"/>
      </w:pPr>
      <w:r>
        <w:t xml:space="preserve">Statistics Reference</w:t>
      </w:r>
    </w:p>
    <w:p>
      <w:pPr>
        <w:spacing w:after="100"/>
      </w:pPr>
      <w:r>
        <w:rPr>
          <w:color w:val="1E293B"/>
        </w:rPr>
        <w:t xml:space="preserve">Each character has a standard set of statistics that determine their combat effectiveness: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900"/>
      </w:tblGrid>
      <w:tr>
        <w:trPr>
          <w:tblHeader/>
        </w:trPr>
        <w:tc>
          <w:tcPr>
            <w:tcW w:type="dxa" w:w="234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Statistic</w:t>
            </w:r>
          </w:p>
        </w:tc>
        <w:tc>
          <w:tcPr>
            <w:tcW w:type="dxa" w:w="690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Description</w:t>
            </w:r>
          </w:p>
        </w:tc>
      </w:tr>
      <w:tr>
        <w:tc>
          <w:tcPr>
            <w:tcW w:type="dxa" w:w="2340"/>
            <w:tcBorders>
              <w:top w:val="single" w:color="94A3B8" w:sz="1"/>
              <w:left w:val="single" w:color="94A3B8" w:sz="1"/>
              <w:bottom w:val="single" w:color="94A3B8" w:sz="1"/>
              <w:right w:val="single" w:color="94A3B8" w:sz="1"/>
            </w:tcBorders>
          </w:tcPr>
          <w:p>
            <w:r>
              <w:rPr>
                <w:b/>
                <w:bCs/>
              </w:rPr>
              <w:t xml:space="preserve">HP (Hit Points)</w:t>
            </w:r>
          </w:p>
        </w:tc>
        <w:tc>
          <w:tcPr>
            <w:tcW w:type="dxa" w:w="6900"/>
            <w:tcBorders>
              <w:top w:val="single" w:color="94A3B8" w:sz="1"/>
              <w:left w:val="single" w:color="94A3B8" w:sz="1"/>
              <w:bottom w:val="single" w:color="94A3B8" w:sz="1"/>
              <w:right w:val="single" w:color="94A3B8" w:sz="1"/>
            </w:tcBorders>
          </w:tcPr>
          <w:p>
            <w:r>
              <w:t xml:space="preserve">The character's vitality. At 0 HP, the character is defeated, though gods may reform later.</w:t>
            </w:r>
          </w:p>
        </w:tc>
      </w:tr>
      <w:tr>
        <w:tc>
          <w:tcPr>
            <w:tcW w:type="dxa" w:w="2340"/>
            <w:tcBorders>
              <w:top w:val="single" w:color="94A3B8" w:sz="1"/>
              <w:left w:val="single" w:color="94A3B8" w:sz="1"/>
              <w:bottom w:val="single" w:color="94A3B8" w:sz="1"/>
              <w:right w:val="single" w:color="94A3B8" w:sz="1"/>
            </w:tcBorders>
          </w:tcPr>
          <w:p>
            <w:r>
              <w:rPr>
                <w:b/>
                <w:bCs/>
              </w:rPr>
              <w:t xml:space="preserve">AC (Armor Class)</w:t>
            </w:r>
          </w:p>
        </w:tc>
        <w:tc>
          <w:tcPr>
            <w:tcW w:type="dxa" w:w="6900"/>
            <w:tcBorders>
              <w:top w:val="single" w:color="94A3B8" w:sz="1"/>
              <w:left w:val="single" w:color="94A3B8" w:sz="1"/>
              <w:bottom w:val="single" w:color="94A3B8" w:sz="1"/>
              <w:right w:val="single" w:color="94A3B8" w:sz="1"/>
            </w:tcBorders>
          </w:tcPr>
          <w:p>
            <w:r>
              <w:t xml:space="preserve">Difficulty to hit the character. Lower is better; negative AC indicates divine protection.</w:t>
            </w:r>
          </w:p>
        </w:tc>
      </w:tr>
      <w:tr>
        <w:tc>
          <w:tcPr>
            <w:tcW w:type="dxa" w:w="2340"/>
            <w:tcBorders>
              <w:top w:val="single" w:color="94A3B8" w:sz="1"/>
              <w:left w:val="single" w:color="94A3B8" w:sz="1"/>
              <w:bottom w:val="single" w:color="94A3B8" w:sz="1"/>
              <w:right w:val="single" w:color="94A3B8" w:sz="1"/>
            </w:tcBorders>
          </w:tcPr>
          <w:p>
            <w:r>
              <w:rPr>
                <w:b/>
                <w:bCs/>
              </w:rPr>
              <w:t xml:space="preserve">MR (Magic Resistance)</w:t>
            </w:r>
          </w:p>
        </w:tc>
        <w:tc>
          <w:tcPr>
            <w:tcW w:type="dxa" w:w="6900"/>
            <w:tcBorders>
              <w:top w:val="single" w:color="94A3B8" w:sz="1"/>
              <w:left w:val="single" w:color="94A3B8" w:sz="1"/>
              <w:bottom w:val="single" w:color="94A3B8" w:sz="1"/>
              <w:right w:val="single" w:color="94A3B8" w:sz="1"/>
            </w:tcBorders>
          </w:tcPr>
          <w:p>
            <w:r>
              <w:t xml:space="preserve">Percentage chance to negate magical effects. 100% MR means immunity to magic.</w:t>
            </w:r>
          </w:p>
        </w:tc>
      </w:tr>
      <w:tr>
        <w:tc>
          <w:tcPr>
            <w:tcW w:type="dxa" w:w="2340"/>
            <w:tcBorders>
              <w:top w:val="single" w:color="94A3B8" w:sz="1"/>
              <w:left w:val="single" w:color="94A3B8" w:sz="1"/>
              <w:bottom w:val="single" w:color="94A3B8" w:sz="1"/>
              <w:right w:val="single" w:color="94A3B8" w:sz="1"/>
            </w:tcBorders>
          </w:tcPr>
          <w:p>
            <w:r>
              <w:rPr>
                <w:b/>
                <w:bCs/>
              </w:rPr>
              <w:t xml:space="preserve">Move</w:t>
            </w:r>
          </w:p>
        </w:tc>
        <w:tc>
          <w:tcPr>
            <w:tcW w:type="dxa" w:w="6900"/>
            <w:tcBorders>
              <w:top w:val="single" w:color="94A3B8" w:sz="1"/>
              <w:left w:val="single" w:color="94A3B8" w:sz="1"/>
              <w:bottom w:val="single" w:color="94A3B8" w:sz="1"/>
              <w:right w:val="single" w:color="94A3B8" w:sz="1"/>
            </w:tcBorders>
          </w:tcPr>
          <w:p>
            <w:r>
              <w:t xml:space="preserve">Movement rate in feet per round. Special movement (fly, teleport) noted separately.</w:t>
            </w:r>
          </w:p>
        </w:tc>
      </w:tr>
      <w:tr>
        <w:tc>
          <w:tcPr>
            <w:tcW w:type="dxa" w:w="2340"/>
            <w:tcBorders>
              <w:top w:val="single" w:color="94A3B8" w:sz="1"/>
              <w:left w:val="single" w:color="94A3B8" w:sz="1"/>
              <w:bottom w:val="single" w:color="94A3B8" w:sz="1"/>
              <w:right w:val="single" w:color="94A3B8" w:sz="1"/>
            </w:tcBorders>
          </w:tcPr>
          <w:p>
            <w:r>
              <w:rPr>
                <w:b/>
                <w:bCs/>
              </w:rPr>
              <w:t xml:space="preserve">Ability Scores</w:t>
            </w:r>
          </w:p>
        </w:tc>
        <w:tc>
          <w:tcPr>
            <w:tcW w:type="dxa" w:w="6900"/>
            <w:tcBorders>
              <w:top w:val="single" w:color="94A3B8" w:sz="1"/>
              <w:left w:val="single" w:color="94A3B8" w:sz="1"/>
              <w:bottom w:val="single" w:color="94A3B8" w:sz="1"/>
              <w:right w:val="single" w:color="94A3B8" w:sz="1"/>
            </w:tcBorders>
          </w:tcPr>
          <w:p>
            <w:r>
              <w:t xml:space="preserve">STR, DEX, CON, INT, WIS, CHA. Divine scores often exceed 18, up to 25 for Greater Gods.</w:t>
            </w:r>
          </w:p>
        </w:tc>
      </w:tr>
    </w:tbl>
    <w:p>
      <w:pPr>
        <w:spacing w:after="200" w:before="100"/>
        <w:jc w:val="center"/>
      </w:pPr>
      <w:r>
        <w:rPr>
          <w:i/>
          <w:iCs/>
          <w:color w:val="64748B"/>
          <w:sz w:val="18"/>
          <w:szCs w:val="18"/>
        </w:rPr>
        <w:t xml:space="preserve">Table 3.1: Core Statistics</w:t>
      </w:r>
    </w:p>
    <w:p>
      <w:pPr>
        <w:pStyle w:val="Heading1"/>
      </w:pPr>
      <w:r>
        <w:t xml:space="preserve">Chapter 4: Divine Abilities</w:t>
      </w:r>
    </w:p>
    <w:p>
      <w:pPr>
        <w:pStyle w:val="Heading2"/>
      </w:pPr>
      <w:r>
        <w:t xml:space="preserve">Ability Categories</w:t>
      </w:r>
    </w:p>
    <w:p>
      <w:pPr>
        <w:spacing w:after="150"/>
      </w:pPr>
      <w:r>
        <w:rPr>
          <w:color w:val="1E293B"/>
        </w:rPr>
        <w:t xml:space="preserve">Every character possesses a unique set of abilities drawn from their mythological source material. These abilities define how the character fights, influences the narrative, and interacts with other divine beings. Abilities are organized into several categories:</w:t>
      </w:r>
    </w:p>
    <w:p>
      <w:pPr>
        <w:pStyle w:val="Heading3"/>
      </w:pPr>
      <w:r>
        <w:t xml:space="preserve">Signature Powers</w:t>
      </w:r>
    </w:p>
    <w:p>
      <w:pPr>
        <w:spacing w:after="150"/>
      </w:pPr>
      <w:r>
        <w:rPr>
          <w:color w:val="1E293B"/>
        </w:rPr>
        <w:t xml:space="preserve">Signature Powers are the defining abilities that make each character unique. These are the miracles, curses, and legendary feats associated with the character in their original myths. Zeus commands lightning; Hades rules the dead; Thor's hammer never misses. These powers are always available and represent the character's baseline divine authority.</w:t>
      </w:r>
    </w:p>
    <w:p>
      <w:pPr>
        <w:pStyle w:val="Heading3"/>
      </w:pPr>
      <w:r>
        <w:t xml:space="preserve">Domain Influence</w:t>
      </w:r>
    </w:p>
    <w:p>
      <w:pPr>
        <w:spacing w:after="150"/>
      </w:pPr>
      <w:r>
        <w:rPr>
          <w:color w:val="1E293B"/>
        </w:rPr>
        <w:t xml:space="preserve">Each character governs one or more domains—conceptual areas of reality that respond to their will. A god of war can sense conflicts across vast distances and influence their outcomes; a goddess of love can perceive emotional bonds and manipulate passions. Domain influence extends beyond combat into the narrative fabric of the game.</w:t>
      </w:r>
    </w:p>
    <w:p>
      <w:pPr>
        <w:pStyle w:val="Heading3"/>
      </w:pPr>
      <w:r>
        <w:t xml:space="preserve">Summoning &amp; Allies</w:t>
      </w:r>
    </w:p>
    <w:p>
      <w:pPr>
        <w:spacing w:after="150"/>
      </w:pPr>
      <w:r>
        <w:rPr>
          <w:color w:val="1E293B"/>
        </w:rPr>
        <w:t xml:space="preserve">Many characters can summon allies, servants, or aspects of themselves to battle. Zeus summons Titans; Odin calls Valkyries; Takhisis commands dragon armies. Summoned entities act independently but remain loyal to their summoner. The scope of summoning often depends on the phase—greater summons require Phase 2 or 3 commitment.</w:t>
      </w:r>
    </w:p>
    <w:p>
      <w:pPr>
        <w:pStyle w:val="Heading3"/>
      </w:pPr>
      <w:r>
        <w:t xml:space="preserve">Divine Weaknesses</w:t>
      </w:r>
    </w:p>
    <w:p>
      <w:pPr>
        <w:spacing w:after="200"/>
      </w:pPr>
      <w:r>
        <w:rPr>
          <w:color w:val="1E293B"/>
        </w:rPr>
        <w:t xml:space="preserve">No character is without weakness. These vulnerabilities define the myth as much as the powers do: Balder can be harmed only by mistletoe; Achilles' heel remains vulnerable; Ra must traverse the underworld each night. Weaknesses create narrative tension and tactical opportunities for opponents who know the old stories.</w:t>
      </w:r>
    </w:p>
    <w:p>
      <w:pPr>
        <w:pStyle w:val="Heading2"/>
      </w:pPr>
      <w:r>
        <w:t xml:space="preserve">Using Abilities</w:t>
      </w:r>
    </w:p>
    <w:p>
      <w:pPr>
        <w:spacing w:after="150"/>
      </w:pPr>
      <w:r>
        <w:rPr>
          <w:color w:val="1E293B"/>
        </w:rPr>
        <w:t xml:space="preserve">Abilities are used by declaring the intent and paying any associated costs. Most abilities are always active or can be activated at will. Some have limited uses per day, per combat, or per phase. The GM adjudicates results based on the ability description and the narrative context.</w:t>
      </w:r>
    </w:p>
    <w:p>
      <w:pPr>
        <w:spacing w:after="200"/>
      </w:pPr>
      <w:r>
        <w:rPr>
          <w:color w:val="1E293B"/>
        </w:rPr>
        <w:t xml:space="preserve">When abilities conflict, the hierarchy is: Divine Rank &gt; Domain Authority &gt; Narrative Weight &gt; Dice. A Greater God's ability trumps a Lesser God's; within the same rank, the god whose domain is more relevant wins; if domains are equally relevant, the more famous myth prevails; only if all else fails are dice rolled.</w:t>
      </w:r>
    </w:p>
    <w:p>
      <w:pPr>
        <w:pStyle w:val="Heading1"/>
      </w:pPr>
      <w:r>
        <w:t xml:space="preserve">Chapter 5: The Codex</w:t>
      </w:r>
    </w:p>
    <w:p>
      <w:pPr>
        <w:pStyle w:val="Heading2"/>
      </w:pPr>
      <w:r>
        <w:t xml:space="preserve">Using the Codex</w:t>
      </w:r>
    </w:p>
    <w:p>
      <w:pPr>
        <w:spacing w:after="150"/>
      </w:pPr>
      <w:r>
        <w:rPr>
          <w:color w:val="1E293B"/>
        </w:rPr>
        <w:t xml:space="preserve">The Codex is the comprehensive reference for all 195 characters in the Mythworld Engine. Accessible at /codex, it provides detailed profiles including statistics, abilities, personality descriptions, and combat phases for each character. The Codex serves three primary functions: character selection before play, reference during play, and inspiration for the GM when building encounters.</w:t>
      </w:r>
    </w:p>
    <w:p>
      <w:pPr>
        <w:pStyle w:val="Heading2"/>
      </w:pPr>
      <w:r>
        <w:t xml:space="preserve">Navigating the Codex</w:t>
      </w:r>
    </w:p>
    <w:p>
      <w:pPr>
        <w:spacing w:after="100"/>
      </w:pPr>
      <w:r>
        <w:rPr>
          <w:color w:val="1E293B"/>
        </w:rPr>
        <w:t xml:space="preserve">The Codex can be filtered and searched in several ways:</w:t>
      </w:r>
    </w:p>
    <w:p>
      <w:pPr>
        <w:pStyle w:val="ListParagraph"/>
        <w:numPr>
          <w:ilvl w:val="0"/>
          <w:numId w:val="2"/>
        </w:numPr>
      </w:pPr>
      <w:r>
        <w:rPr>
          <w:b/>
          <w:bCs/>
        </w:rPr>
        <w:t xml:space="preserve">By Category: </w:t>
      </w:r>
      <w:r>
        <w:t xml:space="preserve">Filter by Greater Gods, Lesser Gods, Demigods, Heroes, Monsters, or Krynn.</w:t>
      </w:r>
    </w:p>
    <w:p>
      <w:pPr>
        <w:pStyle w:val="ListParagraph"/>
        <w:numPr>
          <w:ilvl w:val="0"/>
          <w:numId w:val="2"/>
        </w:numPr>
      </w:pPr>
      <w:r>
        <w:rPr>
          <w:b/>
          <w:bCs/>
        </w:rPr>
        <w:t xml:space="preserve">By Pantheon: </w:t>
      </w:r>
      <w:r>
        <w:t xml:space="preserve">View all characters from a specific mythology.</w:t>
      </w:r>
    </w:p>
    <w:p>
      <w:pPr>
        <w:pStyle w:val="ListParagraph"/>
        <w:numPr>
          <w:ilvl w:val="0"/>
          <w:numId w:val="2"/>
        </w:numPr>
      </w:pPr>
      <w:r>
        <w:rPr>
          <w:b/>
          <w:bCs/>
        </w:rPr>
        <w:t xml:space="preserve">By Search: </w:t>
      </w:r>
      <w:r>
        <w:t xml:space="preserve">Search by name, title, domain, or ability keywords.</w:t>
      </w:r>
    </w:p>
    <w:p>
      <w:pPr>
        <w:pStyle w:val="ListParagraph"/>
        <w:numPr>
          <w:ilvl w:val="0"/>
          <w:numId w:val="2"/>
        </w:numPr>
        <w:spacing w:after="200"/>
      </w:pPr>
      <w:r>
        <w:rPr>
          <w:b/>
          <w:bCs/>
        </w:rPr>
        <w:t xml:space="preserve">By Portrait: </w:t>
      </w:r>
      <w:r>
        <w:t xml:space="preserve">Visual identification through the portrait gallery.</w:t>
      </w:r>
    </w:p>
    <w:p>
      <w:pPr>
        <w:pStyle w:val="Heading2"/>
      </w:pPr>
      <w:r>
        <w:t xml:space="preserve">Character Profiles</w:t>
      </w:r>
    </w:p>
    <w:p>
      <w:pPr>
        <w:spacing w:after="150"/>
      </w:pPr>
      <w:r>
        <w:rPr>
          <w:color w:val="1E293B"/>
        </w:rPr>
        <w:t xml:space="preserve">Each character profile includes the following elements:</w:t>
      </w:r>
    </w:p>
    <w:p>
      <w:pPr>
        <w:pStyle w:val="ListParagraph"/>
        <w:numPr>
          <w:ilvl w:val="0"/>
          <w:numId w:val="4"/>
        </w:numPr>
      </w:pPr>
      <w:r>
        <w:rPr>
          <w:b/>
          <w:bCs/>
        </w:rPr>
        <w:t xml:space="preserve">Portrait: </w:t>
      </w:r>
      <w:r>
        <w:t xml:space="preserve">AI-generated artwork depicting the character in their mythic aspect.</w:t>
      </w:r>
    </w:p>
    <w:p>
      <w:pPr>
        <w:pStyle w:val="ListParagraph"/>
        <w:numPr>
          <w:ilvl w:val="0"/>
          <w:numId w:val="4"/>
        </w:numPr>
      </w:pPr>
      <w:r>
        <w:rPr>
          <w:b/>
          <w:bCs/>
        </w:rPr>
        <w:t xml:space="preserve">Name &amp; Title: </w:t>
      </w:r>
      <w:r>
        <w:t xml:space="preserve">The character's name and their primary epithet or role.</w:t>
      </w:r>
    </w:p>
    <w:p>
      <w:pPr>
        <w:pStyle w:val="ListParagraph"/>
        <w:numPr>
          <w:ilvl w:val="0"/>
          <w:numId w:val="4"/>
        </w:numPr>
      </w:pPr>
      <w:r>
        <w:rPr>
          <w:b/>
          <w:bCs/>
        </w:rPr>
        <w:t xml:space="preserve">Pantheon &amp; Alignment: </w:t>
      </w:r>
      <w:r>
        <w:t xml:space="preserve">Their mythological origin and moral/ethical orientation.</w:t>
      </w:r>
    </w:p>
    <w:p>
      <w:pPr>
        <w:pStyle w:val="ListParagraph"/>
        <w:numPr>
          <w:ilvl w:val="0"/>
          <w:numId w:val="4"/>
        </w:numPr>
      </w:pPr>
      <w:r>
        <w:rPr>
          <w:b/>
          <w:bCs/>
        </w:rPr>
        <w:t xml:space="preserve">Core Statistics: </w:t>
      </w:r>
      <w:r>
        <w:t xml:space="preserve">HP, AC, MR, Movement, and Ability Scores.</w:t>
      </w:r>
    </w:p>
    <w:p>
      <w:pPr>
        <w:pStyle w:val="ListParagraph"/>
        <w:numPr>
          <w:ilvl w:val="0"/>
          <w:numId w:val="4"/>
        </w:numPr>
      </w:pPr>
      <w:r>
        <w:rPr>
          <w:b/>
          <w:bCs/>
        </w:rPr>
        <w:t xml:space="preserve">Domain &amp; Symbol: </w:t>
      </w:r>
      <w:r>
        <w:t xml:space="preserve">Areas of divine authority and holy symbols.</w:t>
      </w:r>
    </w:p>
    <w:p>
      <w:pPr>
        <w:pStyle w:val="ListParagraph"/>
        <w:numPr>
          <w:ilvl w:val="0"/>
          <w:numId w:val="4"/>
        </w:numPr>
      </w:pPr>
      <w:r>
        <w:rPr>
          <w:b/>
          <w:bCs/>
        </w:rPr>
        <w:t xml:space="preserve">Abilities: </w:t>
      </w:r>
      <w:r>
        <w:t xml:space="preserve">The character's signature powers and how they function.</w:t>
      </w:r>
    </w:p>
    <w:p>
      <w:pPr>
        <w:pStyle w:val="ListParagraph"/>
        <w:numPr>
          <w:ilvl w:val="0"/>
          <w:numId w:val="4"/>
        </w:numPr>
      </w:pPr>
      <w:r>
        <w:rPr>
          <w:b/>
          <w:bCs/>
        </w:rPr>
        <w:t xml:space="preserve">Combat Phases: </w:t>
      </w:r>
      <w:r>
        <w:t xml:space="preserve">Escalating abilities for Phases 1, 2, and 3.</w:t>
      </w:r>
    </w:p>
    <w:p>
      <w:pPr>
        <w:pStyle w:val="ListParagraph"/>
        <w:numPr>
          <w:ilvl w:val="0"/>
          <w:numId w:val="4"/>
        </w:numPr>
        <w:spacing w:after="200"/>
      </w:pPr>
      <w:r>
        <w:rPr>
          <w:b/>
          <w:bCs/>
        </w:rPr>
        <w:t xml:space="preserve">Personality: </w:t>
      </w:r>
      <w:r>
        <w:t xml:space="preserve">A narrative description of the character's nature and motivations.</w:t>
      </w:r>
    </w:p>
    <w:p>
      <w:pPr>
        <w:pStyle w:val="Heading1"/>
      </w:pPr>
      <w:r>
        <w:t xml:space="preserve">Chapter 6: Running the Game</w:t>
      </w:r>
    </w:p>
    <w:p>
      <w:pPr>
        <w:pStyle w:val="Heading2"/>
      </w:pPr>
      <w:r>
        <w:t xml:space="preserve">The Game Master's Role</w:t>
      </w:r>
    </w:p>
    <w:p>
      <w:pPr>
        <w:spacing w:after="150"/>
      </w:pPr>
      <w:r>
        <w:rPr>
          <w:color w:val="1E293B"/>
        </w:rPr>
        <w:t xml:space="preserve">In Mythworld Engine, the Game Master (GM) serves as the cosmic narrator—weaving together the disparate mythologies into a coherent story, portraying the non-player characters, and adjudicating the rules. Unlike traditional RPGs where the GM primarily creates challenges for players to overcome, here the GM collaborates with players to tell mythic stories.</w:t>
      </w:r>
    </w:p>
    <w:p>
      <w:pPr>
        <w:pStyle w:val="Heading2"/>
      </w:pPr>
      <w:r>
        <w:t xml:space="preserve">Session Types</w:t>
      </w:r>
    </w:p>
    <w:p>
      <w:pPr>
        <w:spacing w:after="100"/>
      </w:pPr>
      <w:r>
        <w:rPr>
          <w:color w:val="1E293B"/>
        </w:rPr>
        <w:t xml:space="preserve">Mythworld Engine supports several types of play sessions:</w:t>
      </w:r>
    </w:p>
    <w:p>
      <w:pPr>
        <w:pStyle w:val="Heading3"/>
      </w:pPr>
      <w:r>
        <w:t xml:space="preserve">Divine Council</w:t>
      </w:r>
    </w:p>
    <w:p>
      <w:pPr>
        <w:spacing w:after="150"/>
      </w:pPr>
      <w:r>
        <w:rPr>
          <w:color w:val="1E293B"/>
        </w:rPr>
        <w:t xml:space="preserve">A political session where gods debate, scheme, and form alliances. This might involve the Olympian council deciding the fate of a mortal hero, or a cross-pantheon summit addressing a threat to all mythology. Combat is minimal; social maneuvering and divine politics dominate.</w:t>
      </w:r>
    </w:p>
    <w:p>
      <w:pPr>
        <w:pStyle w:val="Heading3"/>
      </w:pPr>
      <w:r>
        <w:t xml:space="preserve">Champion Quest</w:t>
      </w:r>
    </w:p>
    <w:p>
      <w:pPr>
        <w:spacing w:after="150"/>
      </w:pPr>
      <w:r>
        <w:rPr>
          <w:color w:val="1E293B"/>
        </w:rPr>
        <w:t xml:space="preserve">The gods work through mortal champions to achieve goals they cannot directly address. Players portray both the divine patrons and their mortal agents, switching between mythic and mortal perspectives. This format allows players to experience both divine grandeur and heroic adventure.</w:t>
      </w:r>
    </w:p>
    <w:p>
      <w:pPr>
        <w:pStyle w:val="Heading3"/>
      </w:pPr>
      <w:r>
        <w:t xml:space="preserve">Divine War</w:t>
      </w:r>
    </w:p>
    <w:p>
      <w:pPr>
        <w:spacing w:after="150"/>
      </w:pPr>
      <w:r>
        <w:rPr>
          <w:color w:val="1E293B"/>
        </w:rPr>
        <w:t xml:space="preserve">Total war between pantheons or divine factions. This is the most combat-heavy format, with mass battles, strategic decisions, and the potential for permanent consequences. Entire pantheons may rise or fall based on the outcomes.</w:t>
      </w:r>
    </w:p>
    <w:p>
      <w:pPr>
        <w:pStyle w:val="Heading3"/>
      </w:pPr>
      <w:r>
        <w:t xml:space="preserve">Ragnarok Scenario</w:t>
      </w:r>
    </w:p>
    <w:p>
      <w:pPr>
        <w:spacing w:after="200"/>
      </w:pPr>
      <w:r>
        <w:rPr>
          <w:color w:val="1E293B"/>
        </w:rPr>
        <w:t xml:space="preserve">An apocalyptic session where the established order crumbles. This might be the actual Norse Ragnarok, the fall of Olympus, or the waking of Cthulhu. These sessions have permanent, campaign-altering consequences and should be used sparingly.</w:t>
      </w:r>
    </w:p>
    <w:p>
      <w:pPr>
        <w:pStyle w:val="Heading2"/>
      </w:pPr>
      <w:r>
        <w:t xml:space="preserve">Campaign Frames</w:t>
      </w:r>
    </w:p>
    <w:p>
      <w:pPr>
        <w:spacing w:after="100"/>
      </w:pPr>
      <w:r>
        <w:rPr>
          <w:color w:val="1E293B"/>
        </w:rPr>
        <w:t xml:space="preserve">For extended play, consider these campaign structures:</w:t>
      </w:r>
    </w:p>
    <w:p>
      <w:pPr>
        <w:pStyle w:val="ListParagraph"/>
        <w:numPr>
          <w:ilvl w:val="0"/>
          <w:numId w:val="5"/>
        </w:numPr>
      </w:pPr>
      <w:r>
        <w:rPr>
          <w:b/>
          <w:bCs/>
        </w:rPr>
        <w:t xml:space="preserve">The Forgotten God: </w:t>
      </w:r>
      <w:r>
        <w:t xml:space="preserve">A once-powerful deity seeks to regain their worshipers and position.</w:t>
      </w:r>
    </w:p>
    <w:p>
      <w:pPr>
        <w:pStyle w:val="ListParagraph"/>
        <w:numPr>
          <w:ilvl w:val="0"/>
          <w:numId w:val="5"/>
        </w:numPr>
      </w:pPr>
      <w:r>
        <w:rPr>
          <w:b/>
          <w:bCs/>
        </w:rPr>
        <w:t xml:space="preserve">Cross-Pantheon Romance: </w:t>
      </w:r>
      <w:r>
        <w:t xml:space="preserve">Love across mythological boundaries causes diplomatic crises.</w:t>
      </w:r>
    </w:p>
    <w:p>
      <w:pPr>
        <w:pStyle w:val="ListParagraph"/>
        <w:numPr>
          <w:ilvl w:val="0"/>
          <w:numId w:val="5"/>
        </w:numPr>
      </w:pPr>
      <w:r>
        <w:rPr>
          <w:b/>
          <w:bCs/>
        </w:rPr>
        <w:t xml:space="preserve">The Mortal World Dies: </w:t>
      </w:r>
      <w:r>
        <w:t xml:space="preserve">Modern disbelief is killing the gods—how do they adapt?</w:t>
      </w:r>
    </w:p>
    <w:p>
      <w:pPr>
        <w:pStyle w:val="ListParagraph"/>
        <w:numPr>
          <w:ilvl w:val="0"/>
          <w:numId w:val="5"/>
        </w:numPr>
      </w:pPr>
      <w:r>
        <w:rPr>
          <w:b/>
          <w:bCs/>
        </w:rPr>
        <w:t xml:space="preserve">The New Pantheon: </w:t>
      </w:r>
      <w:r>
        <w:t xml:space="preserve">Mortals are ascending to godhood—established gods react.</w:t>
      </w:r>
    </w:p>
    <w:p>
      <w:pPr>
        <w:pStyle w:val="ListParagraph"/>
        <w:numPr>
          <w:ilvl w:val="0"/>
          <w:numId w:val="5"/>
        </w:numPr>
        <w:spacing w:after="200"/>
      </w:pPr>
      <w:r>
        <w:rPr>
          <w:b/>
          <w:bCs/>
        </w:rPr>
        <w:t xml:space="preserve">The Great Tournament: </w:t>
      </w:r>
      <w:r>
        <w:t xml:space="preserve">All pantheons compete for a cosmic prize.</w:t>
      </w:r>
    </w:p>
    <w:p>
      <w:pPr>
        <w:pStyle w:val="Heading1"/>
      </w:pPr>
      <w:r>
        <w:t xml:space="preserve">Chapter 7: Quick Reference</w:t>
      </w:r>
    </w:p>
    <w:p>
      <w:pPr>
        <w:pStyle w:val="Heading2"/>
      </w:pPr>
      <w:r>
        <w:t xml:space="preserve">Character Count by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Category</w:t>
            </w:r>
          </w:p>
        </w:tc>
        <w:tc>
          <w:tcPr>
            <w:tcW w:type="dxa" w:w="468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Number of Characters</w:t>
            </w:r>
          </w:p>
        </w:tc>
      </w:tr>
      <w:tr>
        <w:tc>
          <w:tcPr>
            <w:tcW w:type="dxa" w:w="4680"/>
            <w:tcBorders>
              <w:top w:val="single" w:color="94A3B8" w:sz="1"/>
              <w:left w:val="single" w:color="94A3B8" w:sz="1"/>
              <w:bottom w:val="single" w:color="94A3B8" w:sz="1"/>
              <w:right w:val="single" w:color="94A3B8" w:sz="1"/>
            </w:tcBorders>
          </w:tcPr>
          <w:p>
            <w:r>
              <w:t xml:space="preserve">Greater Gods</w:t>
            </w:r>
          </w:p>
        </w:tc>
        <w:tc>
          <w:tcPr>
            <w:tcW w:type="dxa" w:w="4680"/>
            <w:tcBorders>
              <w:top w:val="single" w:color="94A3B8" w:sz="1"/>
              <w:left w:val="single" w:color="94A3B8" w:sz="1"/>
              <w:bottom w:val="single" w:color="94A3B8" w:sz="1"/>
              <w:right w:val="single" w:color="94A3B8" w:sz="1"/>
            </w:tcBorders>
          </w:tcPr>
          <w:p>
            <w:pPr>
              <w:jc w:val="center"/>
            </w:pPr>
            <w:r>
              <w:t xml:space="preserve">45</w:t>
            </w:r>
          </w:p>
        </w:tc>
      </w:tr>
      <w:tr>
        <w:tc>
          <w:tcPr>
            <w:tcW w:type="dxa" w:w="4680"/>
            <w:tcBorders>
              <w:top w:val="single" w:color="94A3B8" w:sz="1"/>
              <w:left w:val="single" w:color="94A3B8" w:sz="1"/>
              <w:bottom w:val="single" w:color="94A3B8" w:sz="1"/>
              <w:right w:val="single" w:color="94A3B8" w:sz="1"/>
            </w:tcBorders>
          </w:tcPr>
          <w:p>
            <w:r>
              <w:t xml:space="preserve">Lesser Gods</w:t>
            </w:r>
          </w:p>
        </w:tc>
        <w:tc>
          <w:tcPr>
            <w:tcW w:type="dxa" w:w="4680"/>
            <w:tcBorders>
              <w:top w:val="single" w:color="94A3B8" w:sz="1"/>
              <w:left w:val="single" w:color="94A3B8" w:sz="1"/>
              <w:bottom w:val="single" w:color="94A3B8" w:sz="1"/>
              <w:right w:val="single" w:color="94A3B8" w:sz="1"/>
            </w:tcBorders>
          </w:tcPr>
          <w:p>
            <w:pPr>
              <w:jc w:val="center"/>
            </w:pPr>
            <w:r>
              <w:t xml:space="preserve">32</w:t>
            </w:r>
          </w:p>
        </w:tc>
      </w:tr>
      <w:tr>
        <w:tc>
          <w:tcPr>
            <w:tcW w:type="dxa" w:w="4680"/>
            <w:tcBorders>
              <w:top w:val="single" w:color="94A3B8" w:sz="1"/>
              <w:left w:val="single" w:color="94A3B8" w:sz="1"/>
              <w:bottom w:val="single" w:color="94A3B8" w:sz="1"/>
              <w:right w:val="single" w:color="94A3B8" w:sz="1"/>
            </w:tcBorders>
          </w:tcPr>
          <w:p>
            <w:r>
              <w:t xml:space="preserve">Demigods</w:t>
            </w:r>
          </w:p>
        </w:tc>
        <w:tc>
          <w:tcPr>
            <w:tcW w:type="dxa" w:w="4680"/>
            <w:tcBorders>
              <w:top w:val="single" w:color="94A3B8" w:sz="1"/>
              <w:left w:val="single" w:color="94A3B8" w:sz="1"/>
              <w:bottom w:val="single" w:color="94A3B8" w:sz="1"/>
              <w:right w:val="single" w:color="94A3B8" w:sz="1"/>
            </w:tcBorders>
          </w:tcPr>
          <w:p>
            <w:pPr>
              <w:jc w:val="center"/>
            </w:pPr>
            <w:r>
              <w:t xml:space="preserve">24</w:t>
            </w:r>
          </w:p>
        </w:tc>
      </w:tr>
      <w:tr>
        <w:tc>
          <w:tcPr>
            <w:tcW w:type="dxa" w:w="4680"/>
            <w:tcBorders>
              <w:top w:val="single" w:color="94A3B8" w:sz="1"/>
              <w:left w:val="single" w:color="94A3B8" w:sz="1"/>
              <w:bottom w:val="single" w:color="94A3B8" w:sz="1"/>
              <w:right w:val="single" w:color="94A3B8" w:sz="1"/>
            </w:tcBorders>
          </w:tcPr>
          <w:p>
            <w:r>
              <w:t xml:space="preserve">Heroes</w:t>
            </w:r>
          </w:p>
        </w:tc>
        <w:tc>
          <w:tcPr>
            <w:tcW w:type="dxa" w:w="4680"/>
            <w:tcBorders>
              <w:top w:val="single" w:color="94A3B8" w:sz="1"/>
              <w:left w:val="single" w:color="94A3B8" w:sz="1"/>
              <w:bottom w:val="single" w:color="94A3B8" w:sz="1"/>
              <w:right w:val="single" w:color="94A3B8" w:sz="1"/>
            </w:tcBorders>
          </w:tcPr>
          <w:p>
            <w:pPr>
              <w:jc w:val="center"/>
            </w:pPr>
            <w:r>
              <w:t xml:space="preserve">37</w:t>
            </w:r>
          </w:p>
        </w:tc>
      </w:tr>
      <w:tr>
        <w:tc>
          <w:tcPr>
            <w:tcW w:type="dxa" w:w="4680"/>
            <w:tcBorders>
              <w:top w:val="single" w:color="94A3B8" w:sz="1"/>
              <w:left w:val="single" w:color="94A3B8" w:sz="1"/>
              <w:bottom w:val="single" w:color="94A3B8" w:sz="1"/>
              <w:right w:val="single" w:color="94A3B8" w:sz="1"/>
            </w:tcBorders>
          </w:tcPr>
          <w:p>
            <w:r>
              <w:t xml:space="preserve">Monsters</w:t>
            </w:r>
          </w:p>
        </w:tc>
        <w:tc>
          <w:tcPr>
            <w:tcW w:type="dxa" w:w="4680"/>
            <w:tcBorders>
              <w:top w:val="single" w:color="94A3B8" w:sz="1"/>
              <w:left w:val="single" w:color="94A3B8" w:sz="1"/>
              <w:bottom w:val="single" w:color="94A3B8" w:sz="1"/>
              <w:right w:val="single" w:color="94A3B8" w:sz="1"/>
            </w:tcBorders>
          </w:tcPr>
          <w:p>
            <w:pPr>
              <w:jc w:val="center"/>
            </w:pPr>
            <w:r>
              <w:t xml:space="preserve">17</w:t>
            </w:r>
          </w:p>
        </w:tc>
      </w:tr>
      <w:tr>
        <w:tc>
          <w:tcPr>
            <w:tcW w:type="dxa" w:w="4680"/>
            <w:tcBorders>
              <w:top w:val="single" w:color="94A3B8" w:sz="1"/>
              <w:left w:val="single" w:color="94A3B8" w:sz="1"/>
              <w:bottom w:val="single" w:color="94A3B8" w:sz="1"/>
              <w:right w:val="single" w:color="94A3B8" w:sz="1"/>
            </w:tcBorders>
          </w:tcPr>
          <w:p>
            <w:r>
              <w:t xml:space="preserve">Krynn (Dragonlance)</w:t>
            </w:r>
          </w:p>
        </w:tc>
        <w:tc>
          <w:tcPr>
            <w:tcW w:type="dxa" w:w="4680"/>
            <w:tcBorders>
              <w:top w:val="single" w:color="94A3B8" w:sz="1"/>
              <w:left w:val="single" w:color="94A3B8" w:sz="1"/>
              <w:bottom w:val="single" w:color="94A3B8" w:sz="1"/>
              <w:right w:val="single" w:color="94A3B8" w:sz="1"/>
            </w:tcBorders>
          </w:tcPr>
          <w:p>
            <w:pPr>
              <w:jc w:val="center"/>
            </w:pPr>
            <w:r>
              <w:t xml:space="preserve">40</w:t>
            </w:r>
          </w:p>
        </w:tc>
      </w:tr>
      <w:tr>
        <w:tc>
          <w:tcPr>
            <w:tcW w:type="dxa" w:w="4680"/>
            <w:tcBorders>
              <w:top w:val="single" w:color="94A3B8" w:sz="1"/>
              <w:left w:val="single" w:color="94A3B8" w:sz="1"/>
              <w:bottom w:val="single" w:color="94A3B8" w:sz="1"/>
              <w:right w:val="single" w:color="94A3B8" w:sz="1"/>
            </w:tcBorders>
            <w:shd w:fill="F8FAFC" w:val="clear"/>
          </w:tcPr>
          <w:p>
            <w:r>
              <w:rPr>
                <w:b/>
                <w:bCs/>
              </w:rPr>
              <w:t xml:space="preserve">TOTAL</w:t>
            </w:r>
          </w:p>
        </w:tc>
        <w:tc>
          <w:tcPr>
            <w:tcW w:type="dxa" w:w="4680"/>
            <w:tcBorders>
              <w:top w:val="single" w:color="94A3B8" w:sz="1"/>
              <w:left w:val="single" w:color="94A3B8" w:sz="1"/>
              <w:bottom w:val="single" w:color="94A3B8" w:sz="1"/>
              <w:right w:val="single" w:color="94A3B8" w:sz="1"/>
            </w:tcBorders>
            <w:shd w:fill="F8FAFC" w:val="clear"/>
          </w:tcPr>
          <w:p>
            <w:pPr>
              <w:jc w:val="center"/>
            </w:pPr>
            <w:r>
              <w:rPr>
                <w:b/>
                <w:bCs/>
              </w:rPr>
              <w:t xml:space="preserve">195</w:t>
            </w:r>
          </w:p>
        </w:tc>
      </w:tr>
    </w:tbl>
    <w:p>
      <w:pPr>
        <w:spacing w:after="200" w:before="100"/>
        <w:jc w:val="center"/>
      </w:pPr>
      <w:r>
        <w:rPr>
          <w:i/>
          <w:iCs/>
          <w:color w:val="64748B"/>
          <w:sz w:val="18"/>
          <w:szCs w:val="18"/>
        </w:rPr>
        <w:t xml:space="preserve">Table 7.1: Characters by Category</w:t>
      </w:r>
    </w:p>
    <w:p>
      <w:pPr>
        <w:pStyle w:val="Heading2"/>
      </w:pPr>
      <w:r>
        <w:t xml:space="preserve">Alignment Quick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4680"/>
      </w:tblGrid>
      <w:tr>
        <w:trPr>
          <w:tblHeader/>
        </w:trPr>
        <w:tc>
          <w:tcPr>
            <w:tcW w:type="dxa" w:w="234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Code</w:t>
            </w:r>
          </w:p>
        </w:tc>
        <w:tc>
          <w:tcPr>
            <w:tcW w:type="dxa" w:w="234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Alignment</w:t>
            </w:r>
          </w:p>
        </w:tc>
        <w:tc>
          <w:tcPr>
            <w:tcW w:type="dxa" w:w="468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Description</w:t>
            </w:r>
          </w:p>
        </w:tc>
      </w:tr>
      <w:tr>
        <w:tc>
          <w:tcPr>
            <w:tcW w:type="dxa" w:w="2340"/>
            <w:tcBorders>
              <w:top w:val="single" w:color="94A3B8" w:sz="1"/>
              <w:left w:val="single" w:color="94A3B8" w:sz="1"/>
              <w:bottom w:val="single" w:color="94A3B8" w:sz="1"/>
              <w:right w:val="single" w:color="94A3B8" w:sz="1"/>
            </w:tcBorders>
          </w:tcPr>
          <w:p>
            <w:pPr>
              <w:jc w:val="center"/>
            </w:pPr>
            <w:r>
              <w:t xml:space="preserve">LG</w:t>
            </w:r>
          </w:p>
        </w:tc>
        <w:tc>
          <w:tcPr>
            <w:tcW w:type="dxa" w:w="2340"/>
            <w:tcBorders>
              <w:top w:val="single" w:color="94A3B8" w:sz="1"/>
              <w:left w:val="single" w:color="94A3B8" w:sz="1"/>
              <w:bottom w:val="single" w:color="94A3B8" w:sz="1"/>
              <w:right w:val="single" w:color="94A3B8" w:sz="1"/>
            </w:tcBorders>
          </w:tcPr>
          <w:p>
            <w:r>
              <w:t xml:space="preserve">Lawful Good</w:t>
            </w:r>
          </w:p>
        </w:tc>
        <w:tc>
          <w:tcPr>
            <w:tcW w:type="dxa" w:w="4680"/>
            <w:tcBorders>
              <w:top w:val="single" w:color="94A3B8" w:sz="1"/>
              <w:left w:val="single" w:color="94A3B8" w:sz="1"/>
              <w:bottom w:val="single" w:color="94A3B8" w:sz="1"/>
              <w:right w:val="single" w:color="94A3B8" w:sz="1"/>
            </w:tcBorders>
          </w:tcPr>
          <w:p>
            <w:r>
              <w:t xml:space="preserve">Honorable protectors of order and virtue</w:t>
            </w:r>
          </w:p>
        </w:tc>
      </w:tr>
      <w:tr>
        <w:tc>
          <w:tcPr>
            <w:tcW w:type="dxa" w:w="2340"/>
            <w:tcBorders>
              <w:top w:val="single" w:color="94A3B8" w:sz="1"/>
              <w:left w:val="single" w:color="94A3B8" w:sz="1"/>
              <w:bottom w:val="single" w:color="94A3B8" w:sz="1"/>
              <w:right w:val="single" w:color="94A3B8" w:sz="1"/>
            </w:tcBorders>
          </w:tcPr>
          <w:p>
            <w:pPr>
              <w:jc w:val="center"/>
            </w:pPr>
            <w:r>
              <w:t xml:space="preserve">NG</w:t>
            </w:r>
          </w:p>
        </w:tc>
        <w:tc>
          <w:tcPr>
            <w:tcW w:type="dxa" w:w="2340"/>
            <w:tcBorders>
              <w:top w:val="single" w:color="94A3B8" w:sz="1"/>
              <w:left w:val="single" w:color="94A3B8" w:sz="1"/>
              <w:bottom w:val="single" w:color="94A3B8" w:sz="1"/>
              <w:right w:val="single" w:color="94A3B8" w:sz="1"/>
            </w:tcBorders>
          </w:tcPr>
          <w:p>
            <w:r>
              <w:t xml:space="preserve">Neutral Good</w:t>
            </w:r>
          </w:p>
        </w:tc>
        <w:tc>
          <w:tcPr>
            <w:tcW w:type="dxa" w:w="4680"/>
            <w:tcBorders>
              <w:top w:val="single" w:color="94A3B8" w:sz="1"/>
              <w:left w:val="single" w:color="94A3B8" w:sz="1"/>
              <w:bottom w:val="single" w:color="94A3B8" w:sz="1"/>
              <w:right w:val="single" w:color="94A3B8" w:sz="1"/>
            </w:tcBorders>
          </w:tcPr>
          <w:p>
            <w:r>
              <w:t xml:space="preserve">Benevolent without strict codes</w:t>
            </w:r>
          </w:p>
        </w:tc>
      </w:tr>
      <w:tr>
        <w:tc>
          <w:tcPr>
            <w:tcW w:type="dxa" w:w="2340"/>
            <w:tcBorders>
              <w:top w:val="single" w:color="94A3B8" w:sz="1"/>
              <w:left w:val="single" w:color="94A3B8" w:sz="1"/>
              <w:bottom w:val="single" w:color="94A3B8" w:sz="1"/>
              <w:right w:val="single" w:color="94A3B8" w:sz="1"/>
            </w:tcBorders>
          </w:tcPr>
          <w:p>
            <w:pPr>
              <w:jc w:val="center"/>
            </w:pPr>
            <w:r>
              <w:t xml:space="preserve">CG</w:t>
            </w:r>
          </w:p>
        </w:tc>
        <w:tc>
          <w:tcPr>
            <w:tcW w:type="dxa" w:w="2340"/>
            <w:tcBorders>
              <w:top w:val="single" w:color="94A3B8" w:sz="1"/>
              <w:left w:val="single" w:color="94A3B8" w:sz="1"/>
              <w:bottom w:val="single" w:color="94A3B8" w:sz="1"/>
              <w:right w:val="single" w:color="94A3B8" w:sz="1"/>
            </w:tcBorders>
          </w:tcPr>
          <w:p>
            <w:r>
              <w:t xml:space="preserve">Chaotic Good</w:t>
            </w:r>
          </w:p>
        </w:tc>
        <w:tc>
          <w:tcPr>
            <w:tcW w:type="dxa" w:w="4680"/>
            <w:tcBorders>
              <w:top w:val="single" w:color="94A3B8" w:sz="1"/>
              <w:left w:val="single" w:color="94A3B8" w:sz="1"/>
              <w:bottom w:val="single" w:color="94A3B8" w:sz="1"/>
              <w:right w:val="single" w:color="94A3B8" w:sz="1"/>
            </w:tcBorders>
          </w:tcPr>
          <w:p>
            <w:r>
              <w:t xml:space="preserve">Free-spirited champions of good</w:t>
            </w:r>
          </w:p>
        </w:tc>
      </w:tr>
      <w:tr>
        <w:tc>
          <w:tcPr>
            <w:tcW w:type="dxa" w:w="2340"/>
            <w:tcBorders>
              <w:top w:val="single" w:color="94A3B8" w:sz="1"/>
              <w:left w:val="single" w:color="94A3B8" w:sz="1"/>
              <w:bottom w:val="single" w:color="94A3B8" w:sz="1"/>
              <w:right w:val="single" w:color="94A3B8" w:sz="1"/>
            </w:tcBorders>
          </w:tcPr>
          <w:p>
            <w:pPr>
              <w:jc w:val="center"/>
            </w:pPr>
            <w:r>
              <w:t xml:space="preserve">LN</w:t>
            </w:r>
          </w:p>
        </w:tc>
        <w:tc>
          <w:tcPr>
            <w:tcW w:type="dxa" w:w="2340"/>
            <w:tcBorders>
              <w:top w:val="single" w:color="94A3B8" w:sz="1"/>
              <w:left w:val="single" w:color="94A3B8" w:sz="1"/>
              <w:bottom w:val="single" w:color="94A3B8" w:sz="1"/>
              <w:right w:val="single" w:color="94A3B8" w:sz="1"/>
            </w:tcBorders>
          </w:tcPr>
          <w:p>
            <w:r>
              <w:t xml:space="preserve">Lawful Neutral</w:t>
            </w:r>
          </w:p>
        </w:tc>
        <w:tc>
          <w:tcPr>
            <w:tcW w:type="dxa" w:w="4680"/>
            <w:tcBorders>
              <w:top w:val="single" w:color="94A3B8" w:sz="1"/>
              <w:left w:val="single" w:color="94A3B8" w:sz="1"/>
              <w:bottom w:val="single" w:color="94A3B8" w:sz="1"/>
              <w:right w:val="single" w:color="94A3B8" w:sz="1"/>
            </w:tcBorders>
          </w:tcPr>
          <w:p>
            <w:r>
              <w:t xml:space="preserve">Order above all else</w:t>
            </w:r>
          </w:p>
        </w:tc>
      </w:tr>
      <w:tr>
        <w:tc>
          <w:tcPr>
            <w:tcW w:type="dxa" w:w="2340"/>
            <w:tcBorders>
              <w:top w:val="single" w:color="94A3B8" w:sz="1"/>
              <w:left w:val="single" w:color="94A3B8" w:sz="1"/>
              <w:bottom w:val="single" w:color="94A3B8" w:sz="1"/>
              <w:right w:val="single" w:color="94A3B8" w:sz="1"/>
            </w:tcBorders>
          </w:tcPr>
          <w:p>
            <w:pPr>
              <w:jc w:val="center"/>
            </w:pPr>
            <w:r>
              <w:t xml:space="preserve">N</w:t>
            </w:r>
          </w:p>
        </w:tc>
        <w:tc>
          <w:tcPr>
            <w:tcW w:type="dxa" w:w="2340"/>
            <w:tcBorders>
              <w:top w:val="single" w:color="94A3B8" w:sz="1"/>
              <w:left w:val="single" w:color="94A3B8" w:sz="1"/>
              <w:bottom w:val="single" w:color="94A3B8" w:sz="1"/>
              <w:right w:val="single" w:color="94A3B8" w:sz="1"/>
            </w:tcBorders>
          </w:tcPr>
          <w:p>
            <w:r>
              <w:t xml:space="preserve">Neutral</w:t>
            </w:r>
          </w:p>
        </w:tc>
        <w:tc>
          <w:tcPr>
            <w:tcW w:type="dxa" w:w="4680"/>
            <w:tcBorders>
              <w:top w:val="single" w:color="94A3B8" w:sz="1"/>
              <w:left w:val="single" w:color="94A3B8" w:sz="1"/>
              <w:bottom w:val="single" w:color="94A3B8" w:sz="1"/>
              <w:right w:val="single" w:color="94A3B8" w:sz="1"/>
            </w:tcBorders>
          </w:tcPr>
          <w:p>
            <w:r>
              <w:t xml:space="preserve">Balanced, uncommitted, or cosmic neutrality</w:t>
            </w:r>
          </w:p>
        </w:tc>
      </w:tr>
      <w:tr>
        <w:tc>
          <w:tcPr>
            <w:tcW w:type="dxa" w:w="2340"/>
            <w:tcBorders>
              <w:top w:val="single" w:color="94A3B8" w:sz="1"/>
              <w:left w:val="single" w:color="94A3B8" w:sz="1"/>
              <w:bottom w:val="single" w:color="94A3B8" w:sz="1"/>
              <w:right w:val="single" w:color="94A3B8" w:sz="1"/>
            </w:tcBorders>
          </w:tcPr>
          <w:p>
            <w:pPr>
              <w:jc w:val="center"/>
            </w:pPr>
            <w:r>
              <w:t xml:space="preserve">CN</w:t>
            </w:r>
          </w:p>
        </w:tc>
        <w:tc>
          <w:tcPr>
            <w:tcW w:type="dxa" w:w="2340"/>
            <w:tcBorders>
              <w:top w:val="single" w:color="94A3B8" w:sz="1"/>
              <w:left w:val="single" w:color="94A3B8" w:sz="1"/>
              <w:bottom w:val="single" w:color="94A3B8" w:sz="1"/>
              <w:right w:val="single" w:color="94A3B8" w:sz="1"/>
            </w:tcBorders>
          </w:tcPr>
          <w:p>
            <w:r>
              <w:t xml:space="preserve">Chaotic Neutral</w:t>
            </w:r>
          </w:p>
        </w:tc>
        <w:tc>
          <w:tcPr>
            <w:tcW w:type="dxa" w:w="4680"/>
            <w:tcBorders>
              <w:top w:val="single" w:color="94A3B8" w:sz="1"/>
              <w:left w:val="single" w:color="94A3B8" w:sz="1"/>
              <w:bottom w:val="single" w:color="94A3B8" w:sz="1"/>
              <w:right w:val="single" w:color="94A3B8" w:sz="1"/>
            </w:tcBorders>
          </w:tcPr>
          <w:p>
            <w:r>
              <w:t xml:space="preserve">Unpredictable, following personal whims</w:t>
            </w:r>
          </w:p>
        </w:tc>
      </w:tr>
      <w:tr>
        <w:tc>
          <w:tcPr>
            <w:tcW w:type="dxa" w:w="2340"/>
            <w:tcBorders>
              <w:top w:val="single" w:color="94A3B8" w:sz="1"/>
              <w:left w:val="single" w:color="94A3B8" w:sz="1"/>
              <w:bottom w:val="single" w:color="94A3B8" w:sz="1"/>
              <w:right w:val="single" w:color="94A3B8" w:sz="1"/>
            </w:tcBorders>
          </w:tcPr>
          <w:p>
            <w:pPr>
              <w:jc w:val="center"/>
            </w:pPr>
            <w:r>
              <w:t xml:space="preserve">LE</w:t>
            </w:r>
          </w:p>
        </w:tc>
        <w:tc>
          <w:tcPr>
            <w:tcW w:type="dxa" w:w="2340"/>
            <w:tcBorders>
              <w:top w:val="single" w:color="94A3B8" w:sz="1"/>
              <w:left w:val="single" w:color="94A3B8" w:sz="1"/>
              <w:bottom w:val="single" w:color="94A3B8" w:sz="1"/>
              <w:right w:val="single" w:color="94A3B8" w:sz="1"/>
            </w:tcBorders>
          </w:tcPr>
          <w:p>
            <w:r>
              <w:t xml:space="preserve">Lawful Evil</w:t>
            </w:r>
          </w:p>
        </w:tc>
        <w:tc>
          <w:tcPr>
            <w:tcW w:type="dxa" w:w="4680"/>
            <w:tcBorders>
              <w:top w:val="single" w:color="94A3B8" w:sz="1"/>
              <w:left w:val="single" w:color="94A3B8" w:sz="1"/>
              <w:bottom w:val="single" w:color="94A3B8" w:sz="1"/>
              <w:right w:val="single" w:color="94A3B8" w:sz="1"/>
            </w:tcBorders>
          </w:tcPr>
          <w:p>
            <w:r>
              <w:t xml:space="preserve">Tyrannical, methodically cruel</w:t>
            </w:r>
          </w:p>
        </w:tc>
      </w:tr>
      <w:tr>
        <w:tc>
          <w:tcPr>
            <w:tcW w:type="dxa" w:w="2340"/>
            <w:tcBorders>
              <w:top w:val="single" w:color="94A3B8" w:sz="1"/>
              <w:left w:val="single" w:color="94A3B8" w:sz="1"/>
              <w:bottom w:val="single" w:color="94A3B8" w:sz="1"/>
              <w:right w:val="single" w:color="94A3B8" w:sz="1"/>
            </w:tcBorders>
          </w:tcPr>
          <w:p>
            <w:pPr>
              <w:jc w:val="center"/>
            </w:pPr>
            <w:r>
              <w:t xml:space="preserve">NE</w:t>
            </w:r>
          </w:p>
        </w:tc>
        <w:tc>
          <w:tcPr>
            <w:tcW w:type="dxa" w:w="2340"/>
            <w:tcBorders>
              <w:top w:val="single" w:color="94A3B8" w:sz="1"/>
              <w:left w:val="single" w:color="94A3B8" w:sz="1"/>
              <w:bottom w:val="single" w:color="94A3B8" w:sz="1"/>
              <w:right w:val="single" w:color="94A3B8" w:sz="1"/>
            </w:tcBorders>
          </w:tcPr>
          <w:p>
            <w:r>
              <w:t xml:space="preserve">Neutral Evil</w:t>
            </w:r>
          </w:p>
        </w:tc>
        <w:tc>
          <w:tcPr>
            <w:tcW w:type="dxa" w:w="4680"/>
            <w:tcBorders>
              <w:top w:val="single" w:color="94A3B8" w:sz="1"/>
              <w:left w:val="single" w:color="94A3B8" w:sz="1"/>
              <w:bottom w:val="single" w:color="94A3B8" w:sz="1"/>
              <w:right w:val="single" w:color="94A3B8" w:sz="1"/>
            </w:tcBorders>
          </w:tcPr>
          <w:p>
            <w:r>
              <w:t xml:space="preserve">Selfish evil without allegiance</w:t>
            </w:r>
          </w:p>
        </w:tc>
      </w:tr>
      <w:tr>
        <w:tc>
          <w:tcPr>
            <w:tcW w:type="dxa" w:w="2340"/>
            <w:tcBorders>
              <w:top w:val="single" w:color="94A3B8" w:sz="1"/>
              <w:left w:val="single" w:color="94A3B8" w:sz="1"/>
              <w:bottom w:val="single" w:color="94A3B8" w:sz="1"/>
              <w:right w:val="single" w:color="94A3B8" w:sz="1"/>
            </w:tcBorders>
          </w:tcPr>
          <w:p>
            <w:pPr>
              <w:jc w:val="center"/>
            </w:pPr>
            <w:r>
              <w:t xml:space="preserve">CE</w:t>
            </w:r>
          </w:p>
        </w:tc>
        <w:tc>
          <w:tcPr>
            <w:tcW w:type="dxa" w:w="2340"/>
            <w:tcBorders>
              <w:top w:val="single" w:color="94A3B8" w:sz="1"/>
              <w:left w:val="single" w:color="94A3B8" w:sz="1"/>
              <w:bottom w:val="single" w:color="94A3B8" w:sz="1"/>
              <w:right w:val="single" w:color="94A3B8" w:sz="1"/>
            </w:tcBorders>
          </w:tcPr>
          <w:p>
            <w:r>
              <w:t xml:space="preserve">Chaotic Evil</w:t>
            </w:r>
          </w:p>
        </w:tc>
        <w:tc>
          <w:tcPr>
            <w:tcW w:type="dxa" w:w="4680"/>
            <w:tcBorders>
              <w:top w:val="single" w:color="94A3B8" w:sz="1"/>
              <w:left w:val="single" w:color="94A3B8" w:sz="1"/>
              <w:bottom w:val="single" w:color="94A3B8" w:sz="1"/>
              <w:right w:val="single" w:color="94A3B8" w:sz="1"/>
            </w:tcBorders>
          </w:tcPr>
          <w:p>
            <w:r>
              <w:t xml:space="preserve">Destructive, malevolent chaos</w:t>
            </w:r>
          </w:p>
        </w:tc>
      </w:tr>
    </w:tbl>
    <w:p>
      <w:pPr>
        <w:spacing w:after="200" w:before="100"/>
        <w:jc w:val="center"/>
      </w:pPr>
      <w:r>
        <w:rPr>
          <w:i/>
          <w:iCs/>
          <w:color w:val="64748B"/>
          <w:sz w:val="18"/>
          <w:szCs w:val="18"/>
        </w:rPr>
        <w:t xml:space="preserve">Table 7.2: Alignment Reference</w:t>
      </w:r>
    </w:p>
    <w:p>
      <w:pPr>
        <w:pStyle w:val="Heading2"/>
      </w:pPr>
      <w:r>
        <w:t xml:space="preserve">Ability Score Modifiers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120"/>
        <w:gridCol w:w="3900"/>
      </w:tblGrid>
      <w:tr>
        <w:trPr>
          <w:tblHeader/>
        </w:trPr>
        <w:tc>
          <w:tcPr>
            <w:tcW w:type="dxa" w:w="234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Score</w:t>
            </w:r>
          </w:p>
        </w:tc>
        <w:tc>
          <w:tcPr>
            <w:tcW w:type="dxa" w:w="312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Modifier</w:t>
            </w:r>
          </w:p>
        </w:tc>
        <w:tc>
          <w:tcPr>
            <w:tcW w:type="dxa" w:w="3900"/>
            <w:tcBorders>
              <w:top w:val="single" w:color="94A3B8" w:sz="1"/>
              <w:left w:val="single" w:color="94A3B8" w:sz="1"/>
              <w:bottom w:val="single" w:color="94A3B8" w:sz="1"/>
              <w:right w:val="single" w:color="94A3B8" w:sz="1"/>
            </w:tcBorders>
            <w:shd w:fill="F8FAFC" w:val="clear"/>
          </w:tcPr>
          <w:p>
            <w:pPr>
              <w:jc w:val="center"/>
            </w:pPr>
            <w:r>
              <w:rPr>
                <w:b/>
                <w:bCs/>
                <w:sz w:val="22"/>
                <w:szCs w:val="22"/>
              </w:rPr>
              <w:t xml:space="preserve">Description</w:t>
            </w:r>
          </w:p>
        </w:tc>
      </w:tr>
      <w:tr>
        <w:tc>
          <w:tcPr>
            <w:tcW w:type="dxa" w:w="2340"/>
            <w:tcBorders>
              <w:top w:val="single" w:color="94A3B8" w:sz="1"/>
              <w:left w:val="single" w:color="94A3B8" w:sz="1"/>
              <w:bottom w:val="single" w:color="94A3B8" w:sz="1"/>
              <w:right w:val="single" w:color="94A3B8" w:sz="1"/>
            </w:tcBorders>
          </w:tcPr>
          <w:p>
            <w:pPr>
              <w:jc w:val="center"/>
            </w:pPr>
            <w:r>
              <w:t xml:space="preserve">1-3</w:t>
            </w:r>
          </w:p>
        </w:tc>
        <w:tc>
          <w:tcPr>
            <w:tcW w:type="dxa" w:w="3120"/>
            <w:tcBorders>
              <w:top w:val="single" w:color="94A3B8" w:sz="1"/>
              <w:left w:val="single" w:color="94A3B8" w:sz="1"/>
              <w:bottom w:val="single" w:color="94A3B8" w:sz="1"/>
              <w:right w:val="single" w:color="94A3B8" w:sz="1"/>
            </w:tcBorders>
          </w:tcPr>
          <w:p>
            <w:pPr>
              <w:jc w:val="center"/>
            </w:pPr>
            <w:r>
              <w:t xml:space="preserve">-3</w:t>
            </w:r>
          </w:p>
        </w:tc>
        <w:tc>
          <w:tcPr>
            <w:tcW w:type="dxa" w:w="3900"/>
            <w:tcBorders>
              <w:top w:val="single" w:color="94A3B8" w:sz="1"/>
              <w:left w:val="single" w:color="94A3B8" w:sz="1"/>
              <w:bottom w:val="single" w:color="94A3B8" w:sz="1"/>
              <w:right w:val="single" w:color="94A3B8" w:sz="1"/>
            </w:tcBorders>
          </w:tcPr>
          <w:p>
            <w:r>
              <w:t xml:space="preserve">Crippled/Average mortal low</w:t>
            </w:r>
          </w:p>
        </w:tc>
      </w:tr>
      <w:tr>
        <w:tc>
          <w:tcPr>
            <w:tcW w:type="dxa" w:w="2340"/>
            <w:tcBorders>
              <w:top w:val="single" w:color="94A3B8" w:sz="1"/>
              <w:left w:val="single" w:color="94A3B8" w:sz="1"/>
              <w:bottom w:val="single" w:color="94A3B8" w:sz="1"/>
              <w:right w:val="single" w:color="94A3B8" w:sz="1"/>
            </w:tcBorders>
          </w:tcPr>
          <w:p>
            <w:pPr>
              <w:jc w:val="center"/>
            </w:pPr>
            <w:r>
              <w:t xml:space="preserve">4-5</w:t>
            </w:r>
          </w:p>
        </w:tc>
        <w:tc>
          <w:tcPr>
            <w:tcW w:type="dxa" w:w="3120"/>
            <w:tcBorders>
              <w:top w:val="single" w:color="94A3B8" w:sz="1"/>
              <w:left w:val="single" w:color="94A3B8" w:sz="1"/>
              <w:bottom w:val="single" w:color="94A3B8" w:sz="1"/>
              <w:right w:val="single" w:color="94A3B8" w:sz="1"/>
            </w:tcBorders>
          </w:tcPr>
          <w:p>
            <w:pPr>
              <w:jc w:val="center"/>
            </w:pPr>
            <w:r>
              <w:t xml:space="preserve">-2</w:t>
            </w:r>
          </w:p>
        </w:tc>
        <w:tc>
          <w:tcPr>
            <w:tcW w:type="dxa" w:w="3900"/>
            <w:tcBorders>
              <w:top w:val="single" w:color="94A3B8" w:sz="1"/>
              <w:left w:val="single" w:color="94A3B8" w:sz="1"/>
              <w:bottom w:val="single" w:color="94A3B8" w:sz="1"/>
              <w:right w:val="single" w:color="94A3B8" w:sz="1"/>
            </w:tcBorders>
          </w:tcPr>
          <w:p>
            <w:r>
              <w:t xml:space="preserve">Below average</w:t>
            </w:r>
          </w:p>
        </w:tc>
      </w:tr>
      <w:tr>
        <w:tc>
          <w:tcPr>
            <w:tcW w:type="dxa" w:w="2340"/>
            <w:tcBorders>
              <w:top w:val="single" w:color="94A3B8" w:sz="1"/>
              <w:left w:val="single" w:color="94A3B8" w:sz="1"/>
              <w:bottom w:val="single" w:color="94A3B8" w:sz="1"/>
              <w:right w:val="single" w:color="94A3B8" w:sz="1"/>
            </w:tcBorders>
          </w:tcPr>
          <w:p>
            <w:pPr>
              <w:jc w:val="center"/>
            </w:pPr>
            <w:r>
              <w:t xml:space="preserve">6-8</w:t>
            </w:r>
          </w:p>
        </w:tc>
        <w:tc>
          <w:tcPr>
            <w:tcW w:type="dxa" w:w="3120"/>
            <w:tcBorders>
              <w:top w:val="single" w:color="94A3B8" w:sz="1"/>
              <w:left w:val="single" w:color="94A3B8" w:sz="1"/>
              <w:bottom w:val="single" w:color="94A3B8" w:sz="1"/>
              <w:right w:val="single" w:color="94A3B8" w:sz="1"/>
            </w:tcBorders>
          </w:tcPr>
          <w:p>
            <w:pPr>
              <w:jc w:val="center"/>
            </w:pPr>
            <w:r>
              <w:t xml:space="preserve">-1</w:t>
            </w:r>
          </w:p>
        </w:tc>
        <w:tc>
          <w:tcPr>
            <w:tcW w:type="dxa" w:w="3900"/>
            <w:tcBorders>
              <w:top w:val="single" w:color="94A3B8" w:sz="1"/>
              <w:left w:val="single" w:color="94A3B8" w:sz="1"/>
              <w:bottom w:val="single" w:color="94A3B8" w:sz="1"/>
              <w:right w:val="single" w:color="94A3B8" w:sz="1"/>
            </w:tcBorders>
          </w:tcPr>
          <w:p>
            <w:r>
              <w:t xml:space="preserve">Slightly below average</w:t>
            </w:r>
          </w:p>
        </w:tc>
      </w:tr>
      <w:tr>
        <w:tc>
          <w:tcPr>
            <w:tcW w:type="dxa" w:w="2340"/>
            <w:tcBorders>
              <w:top w:val="single" w:color="94A3B8" w:sz="1"/>
              <w:left w:val="single" w:color="94A3B8" w:sz="1"/>
              <w:bottom w:val="single" w:color="94A3B8" w:sz="1"/>
              <w:right w:val="single" w:color="94A3B8" w:sz="1"/>
            </w:tcBorders>
          </w:tcPr>
          <w:p>
            <w:pPr>
              <w:jc w:val="center"/>
            </w:pPr>
            <w:r>
              <w:t xml:space="preserve">9-12</w:t>
            </w:r>
          </w:p>
        </w:tc>
        <w:tc>
          <w:tcPr>
            <w:tcW w:type="dxa" w:w="3120"/>
            <w:tcBorders>
              <w:top w:val="single" w:color="94A3B8" w:sz="1"/>
              <w:left w:val="single" w:color="94A3B8" w:sz="1"/>
              <w:bottom w:val="single" w:color="94A3B8" w:sz="1"/>
              <w:right w:val="single" w:color="94A3B8" w:sz="1"/>
            </w:tcBorders>
          </w:tcPr>
          <w:p>
            <w:pPr>
              <w:jc w:val="center"/>
            </w:pPr>
            <w:r>
              <w:t xml:space="preserve">0</w:t>
            </w:r>
          </w:p>
        </w:tc>
        <w:tc>
          <w:tcPr>
            <w:tcW w:type="dxa" w:w="3900"/>
            <w:tcBorders>
              <w:top w:val="single" w:color="94A3B8" w:sz="1"/>
              <w:left w:val="single" w:color="94A3B8" w:sz="1"/>
              <w:bottom w:val="single" w:color="94A3B8" w:sz="1"/>
              <w:right w:val="single" w:color="94A3B8" w:sz="1"/>
            </w:tcBorders>
          </w:tcPr>
          <w:p>
            <w:r>
              <w:t xml:space="preserve">Average human</w:t>
            </w:r>
          </w:p>
        </w:tc>
      </w:tr>
      <w:tr>
        <w:tc>
          <w:tcPr>
            <w:tcW w:type="dxa" w:w="2340"/>
            <w:tcBorders>
              <w:top w:val="single" w:color="94A3B8" w:sz="1"/>
              <w:left w:val="single" w:color="94A3B8" w:sz="1"/>
              <w:bottom w:val="single" w:color="94A3B8" w:sz="1"/>
              <w:right w:val="single" w:color="94A3B8" w:sz="1"/>
            </w:tcBorders>
          </w:tcPr>
          <w:p>
            <w:pPr>
              <w:jc w:val="center"/>
            </w:pPr>
            <w:r>
              <w:t xml:space="preserve">13-15</w:t>
            </w:r>
          </w:p>
        </w:tc>
        <w:tc>
          <w:tcPr>
            <w:tcW w:type="dxa" w:w="3120"/>
            <w:tcBorders>
              <w:top w:val="single" w:color="94A3B8" w:sz="1"/>
              <w:left w:val="single" w:color="94A3B8" w:sz="1"/>
              <w:bottom w:val="single" w:color="94A3B8" w:sz="1"/>
              <w:right w:val="single" w:color="94A3B8" w:sz="1"/>
            </w:tcBorders>
          </w:tcPr>
          <w:p>
            <w:pPr>
              <w:jc w:val="center"/>
            </w:pPr>
            <w:r>
              <w:t xml:space="preserve">+1</w:t>
            </w:r>
          </w:p>
        </w:tc>
        <w:tc>
          <w:tcPr>
            <w:tcW w:type="dxa" w:w="3900"/>
            <w:tcBorders>
              <w:top w:val="single" w:color="94A3B8" w:sz="1"/>
              <w:left w:val="single" w:color="94A3B8" w:sz="1"/>
              <w:bottom w:val="single" w:color="94A3B8" w:sz="1"/>
              <w:right w:val="single" w:color="94A3B8" w:sz="1"/>
            </w:tcBorders>
          </w:tcPr>
          <w:p>
            <w:r>
              <w:t xml:space="preserve">Above average</w:t>
            </w:r>
          </w:p>
        </w:tc>
      </w:tr>
      <w:tr>
        <w:tc>
          <w:tcPr>
            <w:tcW w:type="dxa" w:w="2340"/>
            <w:tcBorders>
              <w:top w:val="single" w:color="94A3B8" w:sz="1"/>
              <w:left w:val="single" w:color="94A3B8" w:sz="1"/>
              <w:bottom w:val="single" w:color="94A3B8" w:sz="1"/>
              <w:right w:val="single" w:color="94A3B8" w:sz="1"/>
            </w:tcBorders>
          </w:tcPr>
          <w:p>
            <w:pPr>
              <w:jc w:val="center"/>
            </w:pPr>
            <w:r>
              <w:t xml:space="preserve">16-17</w:t>
            </w:r>
          </w:p>
        </w:tc>
        <w:tc>
          <w:tcPr>
            <w:tcW w:type="dxa" w:w="3120"/>
            <w:tcBorders>
              <w:top w:val="single" w:color="94A3B8" w:sz="1"/>
              <w:left w:val="single" w:color="94A3B8" w:sz="1"/>
              <w:bottom w:val="single" w:color="94A3B8" w:sz="1"/>
              <w:right w:val="single" w:color="94A3B8" w:sz="1"/>
            </w:tcBorders>
          </w:tcPr>
          <w:p>
            <w:pPr>
              <w:jc w:val="center"/>
            </w:pPr>
            <w:r>
              <w:t xml:space="preserve">+2</w:t>
            </w:r>
          </w:p>
        </w:tc>
        <w:tc>
          <w:tcPr>
            <w:tcW w:type="dxa" w:w="3900"/>
            <w:tcBorders>
              <w:top w:val="single" w:color="94A3B8" w:sz="1"/>
              <w:left w:val="single" w:color="94A3B8" w:sz="1"/>
              <w:bottom w:val="single" w:color="94A3B8" w:sz="1"/>
              <w:right w:val="single" w:color="94A3B8" w:sz="1"/>
            </w:tcBorders>
          </w:tcPr>
          <w:p>
            <w:r>
              <w:t xml:space="preserve">Exceptional mortal</w:t>
            </w:r>
          </w:p>
        </w:tc>
      </w:tr>
      <w:tr>
        <w:tc>
          <w:tcPr>
            <w:tcW w:type="dxa" w:w="2340"/>
            <w:tcBorders>
              <w:top w:val="single" w:color="94A3B8" w:sz="1"/>
              <w:left w:val="single" w:color="94A3B8" w:sz="1"/>
              <w:bottom w:val="single" w:color="94A3B8" w:sz="1"/>
              <w:right w:val="single" w:color="94A3B8" w:sz="1"/>
            </w:tcBorders>
          </w:tcPr>
          <w:p>
            <w:pPr>
              <w:jc w:val="center"/>
            </w:pPr>
            <w:r>
              <w:t xml:space="preserve">18</w:t>
            </w:r>
          </w:p>
        </w:tc>
        <w:tc>
          <w:tcPr>
            <w:tcW w:type="dxa" w:w="3120"/>
            <w:tcBorders>
              <w:top w:val="single" w:color="94A3B8" w:sz="1"/>
              <w:left w:val="single" w:color="94A3B8" w:sz="1"/>
              <w:bottom w:val="single" w:color="94A3B8" w:sz="1"/>
              <w:right w:val="single" w:color="94A3B8" w:sz="1"/>
            </w:tcBorders>
          </w:tcPr>
          <w:p>
            <w:pPr>
              <w:jc w:val="center"/>
            </w:pPr>
            <w:r>
              <w:t xml:space="preserve">+3</w:t>
            </w:r>
          </w:p>
        </w:tc>
        <w:tc>
          <w:tcPr>
            <w:tcW w:type="dxa" w:w="3900"/>
            <w:tcBorders>
              <w:top w:val="single" w:color="94A3B8" w:sz="1"/>
              <w:left w:val="single" w:color="94A3B8" w:sz="1"/>
              <w:bottom w:val="single" w:color="94A3B8" w:sz="1"/>
              <w:right w:val="single" w:color="94A3B8" w:sz="1"/>
            </w:tcBorders>
          </w:tcPr>
          <w:p>
            <w:r>
              <w:t xml:space="preserve">Peak mortal capability</w:t>
            </w:r>
          </w:p>
        </w:tc>
      </w:tr>
      <w:tr>
        <w:tc>
          <w:tcPr>
            <w:tcW w:type="dxa" w:w="2340"/>
            <w:tcBorders>
              <w:top w:val="single" w:color="94A3B8" w:sz="1"/>
              <w:left w:val="single" w:color="94A3B8" w:sz="1"/>
              <w:bottom w:val="single" w:color="94A3B8" w:sz="1"/>
              <w:right w:val="single" w:color="94A3B8" w:sz="1"/>
            </w:tcBorders>
          </w:tcPr>
          <w:p>
            <w:pPr>
              <w:jc w:val="center"/>
            </w:pPr>
            <w:r>
              <w:t xml:space="preserve">19-20</w:t>
            </w:r>
          </w:p>
        </w:tc>
        <w:tc>
          <w:tcPr>
            <w:tcW w:type="dxa" w:w="3120"/>
            <w:tcBorders>
              <w:top w:val="single" w:color="94A3B8" w:sz="1"/>
              <w:left w:val="single" w:color="94A3B8" w:sz="1"/>
              <w:bottom w:val="single" w:color="94A3B8" w:sz="1"/>
              <w:right w:val="single" w:color="94A3B8" w:sz="1"/>
            </w:tcBorders>
          </w:tcPr>
          <w:p>
            <w:pPr>
              <w:jc w:val="center"/>
            </w:pPr>
            <w:r>
              <w:t xml:space="preserve">+4</w:t>
            </w:r>
          </w:p>
        </w:tc>
        <w:tc>
          <w:tcPr>
            <w:tcW w:type="dxa" w:w="3900"/>
            <w:tcBorders>
              <w:top w:val="single" w:color="94A3B8" w:sz="1"/>
              <w:left w:val="single" w:color="94A3B8" w:sz="1"/>
              <w:bottom w:val="single" w:color="94A3B8" w:sz="1"/>
              <w:right w:val="single" w:color="94A3B8" w:sz="1"/>
            </w:tcBorders>
          </w:tcPr>
          <w:p>
            <w:r>
              <w:t xml:space="preserve">Superhuman/heroic</w:t>
            </w:r>
          </w:p>
        </w:tc>
      </w:tr>
      <w:tr>
        <w:tc>
          <w:tcPr>
            <w:tcW w:type="dxa" w:w="2340"/>
            <w:tcBorders>
              <w:top w:val="single" w:color="94A3B8" w:sz="1"/>
              <w:left w:val="single" w:color="94A3B8" w:sz="1"/>
              <w:bottom w:val="single" w:color="94A3B8" w:sz="1"/>
              <w:right w:val="single" w:color="94A3B8" w:sz="1"/>
            </w:tcBorders>
          </w:tcPr>
          <w:p>
            <w:pPr>
              <w:jc w:val="center"/>
            </w:pPr>
            <w:r>
              <w:t xml:space="preserve">21-23</w:t>
            </w:r>
          </w:p>
        </w:tc>
        <w:tc>
          <w:tcPr>
            <w:tcW w:type="dxa" w:w="3120"/>
            <w:tcBorders>
              <w:top w:val="single" w:color="94A3B8" w:sz="1"/>
              <w:left w:val="single" w:color="94A3B8" w:sz="1"/>
              <w:bottom w:val="single" w:color="94A3B8" w:sz="1"/>
              <w:right w:val="single" w:color="94A3B8" w:sz="1"/>
            </w:tcBorders>
          </w:tcPr>
          <w:p>
            <w:pPr>
              <w:jc w:val="center"/>
            </w:pPr>
            <w:r>
              <w:t xml:space="preserve">+5</w:t>
            </w:r>
          </w:p>
        </w:tc>
        <w:tc>
          <w:tcPr>
            <w:tcW w:type="dxa" w:w="3900"/>
            <w:tcBorders>
              <w:top w:val="single" w:color="94A3B8" w:sz="1"/>
              <w:left w:val="single" w:color="94A3B8" w:sz="1"/>
              <w:bottom w:val="single" w:color="94A3B8" w:sz="1"/>
              <w:right w:val="single" w:color="94A3B8" w:sz="1"/>
            </w:tcBorders>
          </w:tcPr>
          <w:p>
            <w:r>
              <w:t xml:space="preserve">Demigod tier</w:t>
            </w:r>
          </w:p>
        </w:tc>
      </w:tr>
      <w:tr>
        <w:tc>
          <w:tcPr>
            <w:tcW w:type="dxa" w:w="2340"/>
            <w:tcBorders>
              <w:top w:val="single" w:color="94A3B8" w:sz="1"/>
              <w:left w:val="single" w:color="94A3B8" w:sz="1"/>
              <w:bottom w:val="single" w:color="94A3B8" w:sz="1"/>
              <w:right w:val="single" w:color="94A3B8" w:sz="1"/>
            </w:tcBorders>
          </w:tcPr>
          <w:p>
            <w:pPr>
              <w:jc w:val="center"/>
            </w:pPr>
            <w:r>
              <w:t xml:space="preserve">24-25</w:t>
            </w:r>
          </w:p>
        </w:tc>
        <w:tc>
          <w:tcPr>
            <w:tcW w:type="dxa" w:w="3120"/>
            <w:tcBorders>
              <w:top w:val="single" w:color="94A3B8" w:sz="1"/>
              <w:left w:val="single" w:color="94A3B8" w:sz="1"/>
              <w:bottom w:val="single" w:color="94A3B8" w:sz="1"/>
              <w:right w:val="single" w:color="94A3B8" w:sz="1"/>
            </w:tcBorders>
          </w:tcPr>
          <w:p>
            <w:pPr>
              <w:jc w:val="center"/>
            </w:pPr>
            <w:r>
              <w:t xml:space="preserve">+6 to +7</w:t>
            </w:r>
          </w:p>
        </w:tc>
        <w:tc>
          <w:tcPr>
            <w:tcW w:type="dxa" w:w="3900"/>
            <w:tcBorders>
              <w:top w:val="single" w:color="94A3B8" w:sz="1"/>
              <w:left w:val="single" w:color="94A3B8" w:sz="1"/>
              <w:bottom w:val="single" w:color="94A3B8" w:sz="1"/>
              <w:right w:val="single" w:color="94A3B8" w:sz="1"/>
            </w:tcBorders>
          </w:tcPr>
          <w:p>
            <w:r>
              <w:t xml:space="preserve">Divine tier</w:t>
            </w:r>
          </w:p>
        </w:tc>
      </w:tr>
    </w:tbl>
    <w:p>
      <w:pPr>
        <w:spacing w:after="200" w:before="100"/>
        <w:jc w:val="center"/>
      </w:pPr>
      <w:r>
        <w:rPr>
          <w:i/>
          <w:iCs/>
          <w:color w:val="64748B"/>
          <w:sz w:val="18"/>
          <w:szCs w:val="18"/>
        </w:rPr>
        <w:t xml:space="preserve">Table 7.3: Ability Score Modifiers</w:t>
      </w:r>
    </w:p>
    <w:p>
      <w:pPr>
        <w:pStyle w:val="Heading1"/>
      </w:pPr>
      <w:r>
        <w:t xml:space="preserve">Appendix: The Digital Codex</w:t>
      </w:r>
    </w:p>
    <w:p>
      <w:pPr>
        <w:spacing w:after="150"/>
      </w:pPr>
      <w:r>
        <w:rPr>
          <w:color w:val="1E293B"/>
        </w:rPr>
        <w:t xml:space="preserve">The Mythworld Engine is supported by a digital Codex accessible at the game's website. The Codex provides full character profiles, portraits, and search functionality for all 195 characters. It is designed to be used during play as a quick reference and character selection tool.</w:t>
      </w:r>
    </w:p>
    <w:p>
      <w:pPr>
        <w:pStyle w:val="Heading2"/>
      </w:pPr>
      <w:r>
        <w:t xml:space="preserve">Accessing the Codex</w:t>
      </w:r>
    </w:p>
    <w:p>
      <w:pPr>
        <w:spacing w:after="200"/>
      </w:pPr>
      <w:r>
        <w:rPr>
          <w:color w:val="1E293B"/>
        </w:rPr>
        <w:t xml:space="preserve">The Codex can be accessed at: </w:t>
      </w:r>
      <w:r>
        <w:rPr>
          <w:b/>
          <w:bCs/>
          <w:color w:val="C19A6B"/>
        </w:rPr>
        <w:t xml:space="preserve">https://deities-and-demigods.vercel.app/codex</w:t>
      </w:r>
    </w:p>
    <w:p>
      <w:pPr>
        <w:spacing w:before="400"/>
        <w:jc w:val="center"/>
      </w:pPr>
      <w:r>
        <w:rPr>
          <w:color w:val="C19A6B"/>
          <w:sz w:val="20"/>
          <w:szCs w:val="20"/>
        </w:rPr>
        <w:t xml:space="preserve">━━━━━━━━━━━━━━━━━━━━━━━━━━━━━━━</w:t>
      </w:r>
    </w:p>
    <w:p>
      <w:pPr>
        <w:spacing w:before="200"/>
        <w:jc w:val="center"/>
      </w:pPr>
      <w:r>
        <w:rPr>
          <w:i/>
          <w:iCs/>
          <w:color w:val="64748B"/>
          <w:sz w:val="24"/>
          <w:szCs w:val="24"/>
        </w:rPr>
        <w:t xml:space="preserve">May your legends echo through eternity.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rPr>
      <w:t xml:space="preserve">— </w:t>
    </w:r>
    <w:r>
      <w:rPr>
        <w:color w:val="64748B"/>
      </w:rPr>
      <w:fldChar w:fldCharType="begin"/>
      <w:instrText xml:space="preserve">PAGE</w:instrText>
      <w:fldChar w:fldCharType="separate"/>
      <w:fldChar w:fldCharType="end"/>
    </w:r>
    <w:r>
      <w:rPr>
        <w:color w:val="64748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Deities &amp; Demigods — Mythworld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64748B"/>
      <w:sz w:val="24"/>
      <w:szCs w:val="24"/>
    </w:rPr>
  </w:style>
  <w:style w:type="paragraph" w:styleId="Subtitle">
    <w:name w:val="Subtitle"/>
    <w:basedOn w:val="Normal"/>
    <w:pPr>
      <w:spacing w:after="400" w:before="100"/>
      <w:jc w:val="center"/>
    </w:pPr>
    <w:rPr>
      <w:rFonts w:ascii="Times New Roman" w:cs="Times New Roman" w:eastAsia="Times New Roman" w:hAnsi="Times New Roman"/>
      <w:i/>
      <w:iCs/>
      <w:color w:val="64748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2026-03-28T17:24:25.430Z</dcterms:created>
  <dcterms:modified xsi:type="dcterms:W3CDTF">2026-03-28T17:24:25.430Z</dcterms:modified>
</cp:coreProperties>
</file>

<file path=docProps/custom.xml><?xml version="1.0" encoding="utf-8"?>
<Properties xmlns="http://schemas.openxmlformats.org/officeDocument/2006/custom-properties" xmlns:vt="http://schemas.openxmlformats.org/officeDocument/2006/docPropsVTypes"/>
</file>