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Alcohol Industry Marketing Influence on User-Generated Content</w:t>
        <w:br/>
        <w:t>During COVID-19 Pandemic Lockdowns</w:t>
      </w:r>
    </w:p>
    <w:p>
      <w:pPr>
        <w:jc w:val="center"/>
      </w:pPr>
      <w:r>
        <w:rPr>
          <w:rFonts w:ascii="Times New Roman" w:hAnsi="Times New Roman"/>
          <w:sz w:val="24"/>
        </w:rPr>
        <w:t>Jacob Edward Thomas &amp; Keryn E. Pasch</w:t>
      </w:r>
    </w:p>
    <w:p>
      <w:pPr>
        <w:jc w:val="center"/>
      </w:pPr>
      <w:r>
        <w:rPr>
          <w:rFonts w:ascii="Times New Roman" w:hAnsi="Times New Roman"/>
          <w:i/>
          <w:sz w:val="24"/>
        </w:rPr>
        <w:t>The University of Texas at Austin</w:t>
      </w:r>
    </w:p>
    <w:p>
      <w:pPr>
        <w:pStyle w:val="Heading1"/>
      </w:pPr>
      <w:r>
        <w:t>Abstract</w:t>
      </w:r>
    </w:p>
    <w:p>
      <w:r>
        <w:t>This study examined bidirectional associations between alcohol brand tweets and user-generated content about alcohol delivery and isolation drinking during COVID-19 lockdowns (March–May 2020). Industry data comprised 704 tweets from 11 major alcohol brands classified under the Alcohol Delivery and Isolation Drinking (AD-ID) theme (Thomas &amp; Pasch, 2025). User data comprised 486,786 tweets from 66,303 unique U.S. users referencing alcohol delivery or isolation drinking. Cross-lagged panel modeling across two time periods revealed a significant unidirectional pathway: potential exposure to alcohol brand AD-ID tweets predicted subsequent user-generated content about the same theme (β = 0.05, p &lt; 0.01), but user-generated content did not predict subsequent industry output (β = 0.01, p = 0.639). Both variables exhibited high temporal stability. These findings suggest that alcohol industry messaging during the pandemic influenced public discourse about drinking during lockdowns, rather than the industry merely responding to organic public demand.</w:t>
      </w:r>
    </w:p>
    <w:p>
      <w:pPr>
        <w:pStyle w:val="Heading1"/>
      </w:pPr>
      <w:r>
        <w:t>Introduction</w:t>
      </w:r>
    </w:p>
    <w:p>
      <w:r>
        <w:t>The COVID-19 pandemic was associated with significant increases in alcohol-related morbidity and mortality, particularly among young adults. White et al. (2022) reported a sharp rise in alcohol-related deaths during the pandemic period, underscoring the urgency of understanding factors that may have contributed to increased consumption. Among these factors, alcohol marketing on social media has received growing scrutiny as a potential driver of pandemic drinking behaviors.</w:t>
      </w:r>
    </w:p>
    <w:p>
      <w:r>
        <w:t>In a companion study (Thomas &amp; Pasch, 2025), we identified five marketing themes used by major alcohol brands on Twitter, including Alcohol Delivery and Isolation Drinking (AD-ID), which increased by 91.2% during lockdowns and remained elevated afterward. However, identifying thematic shifts in industry output does not establish whether those shifts influenced public behavior. It is equally plausible that brands were responding to organic consumer demand—that the public began discussing delivery and isolation drinking first, and brands followed.</w:t>
      </w:r>
    </w:p>
    <w:p>
      <w:r>
        <w:t>The Differential Susceptibility to Media Effects Model (DSMM; Valkenburg &amp; Peter, 2013) provides a framework for understanding bidirectional media influence, positing that media effects are reciprocal and contingent on individual and contextual factors. Relatedly, the concept of sociogenesis (Holder, 2006) suggests that corporate marketing can shape population-level norms and behaviors. Testing these frameworks requires examining both directions of influence simultaneously.</w:t>
      </w:r>
    </w:p>
    <w:p>
      <w:r>
        <w:t>The present study addresses this gap by modeling the bidirectional association between industry AD-ID tweets and user-generated content about alcohol delivery and isolation drinking during the COVID-19 lockdown period. We hypothesized that industry output would predict subsequent user content, and examined whether user content would reciprocally predict industry output.</w:t>
      </w:r>
    </w:p>
    <w:p>
      <w:pPr>
        <w:pStyle w:val="Heading1"/>
      </w:pPr>
      <w:r>
        <w:t>Method</w:t>
      </w:r>
    </w:p>
    <w:p>
      <w:pPr>
        <w:pStyle w:val="Heading2"/>
      </w:pPr>
      <w:r>
        <w:t>Data Sources</w:t>
      </w:r>
    </w:p>
    <w:p>
      <w:r>
        <w:t>Industry data were drawn from the PRL-TMS dataset (Thomas &amp; Pasch, 2025), comprising tweets from 11 major alcohol brands. During the lockdown period, 704 tweets were classified as AD-ID content using GPT-4o. User data were drawn from the CML-COVID dataset, a large-scale collection of U.S. user tweets referencing alcohol delivery or isolation drinking during the same period. After preprocessing, the user dataset contained 486,786 tweets from 66,303 unique users. User tweets were classified as AD-ID-relevant using the same GPT-4o classification protocol applied to industry data.</w:t>
      </w:r>
    </w:p>
    <w:p>
      <w:pPr>
        <w:pStyle w:val="Heading2"/>
      </w:pPr>
      <w:r>
        <w:t>Time Periods</w:t>
      </w:r>
    </w:p>
    <w:p>
      <w:r>
        <w:t>The lockdown period was divided into two waves to enable cross-lagged modeling: T1 (March 25–April 30, 2020) and T2 (May 1–31, 2020). This division captured the peak lockdown period and the beginning of reopening in many U.S. states, providing temporal separation sufficient for lagged effects.</w:t>
      </w:r>
    </w:p>
    <w:p>
      <w:pPr>
        <w:pStyle w:val="Heading2"/>
      </w:pPr>
      <w:r>
        <w:t>Measures</w:t>
      </w:r>
    </w:p>
    <w:p>
      <w:r>
        <w:t>Potential exposure to industry AD-ID marketing was operationalized as a composite index adapted from Henriksen et al.’s (2010) tobacco marketing surveillance framework: friends_count × tweet_count × industry_AD-ID_count. This index captures the intersection of a user’s network size (potential reach), their overall tweeting activity (platform engagement), and the volume of industry AD-ID content available for exposure. User-generated AD-ID content was measured as the count of each user’s tweets classified as AD-ID-relevant in each period.</w:t>
      </w:r>
    </w:p>
    <w:p>
      <w:pPr>
        <w:pStyle w:val="Heading2"/>
      </w:pPr>
      <w:r>
        <w:t>Analytic Strategy</w:t>
      </w:r>
    </w:p>
    <w:p>
      <w:r>
        <w:t>A cross-lagged panel model was estimated using generalized structural equation modeling (GSEM) in Stata to accommodate the non-normal distribution of count data. The model simultaneously estimated four pathways: (1) stability of potential exposure (T1 → T2), (2) stability of user-generated content (T1 → T2), (3) the cross-lagged effect of potential exposure on subsequent user content, and (4) the cross-lagged effect of user content on subsequent potential exposure. Cross-sectional covariances were estimated at both time points.</w:t>
      </w:r>
    </w:p>
    <w:p>
      <w:pPr>
        <w:pStyle w:val="Heading2"/>
      </w:pPr>
      <w:r>
        <w:t>Bot Mitigation</w:t>
      </w:r>
    </w:p>
    <w:p>
      <w:r>
        <w:t>To reduce the influence of automated accounts, we removed users who posted more than 50 tweets per day on average, required that users had tweets in both time periods, and excluded statistical outliers on key variables. These steps reduced the analytic sample while improving data quality.</w:t>
      </w:r>
    </w:p>
    <w:p>
      <w:pPr>
        <w:pStyle w:val="Heading1"/>
      </w:pPr>
      <w:r>
        <w:t>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Path</w:t>
            </w:r>
          </w:p>
        </w:tc>
        <w:tc>
          <w:tcPr>
            <w:tcW w:type="dxa" w:w="2340"/>
          </w:tcPr>
          <w:p>
            <w:r>
              <w:rPr>
                <w:rFonts w:ascii="Times New Roman" w:hAnsi="Times New Roman"/>
                <w:b/>
                <w:sz w:val="20"/>
              </w:rPr>
              <w:t>β</w:t>
            </w:r>
          </w:p>
        </w:tc>
        <w:tc>
          <w:tcPr>
            <w:tcW w:type="dxa" w:w="2340"/>
          </w:tcPr>
          <w:p>
            <w:r>
              <w:rPr>
                <w:rFonts w:ascii="Times New Roman" w:hAnsi="Times New Roman"/>
                <w:b/>
                <w:sz w:val="20"/>
              </w:rPr>
              <w:t>SE</w:t>
            </w:r>
          </w:p>
        </w:tc>
        <w:tc>
          <w:tcPr>
            <w:tcW w:type="dxa" w:w="2340"/>
          </w:tcPr>
          <w:p>
            <w:r>
              <w:rPr>
                <w:rFonts w:ascii="Times New Roman" w:hAnsi="Times New Roman"/>
                <w:b/>
                <w:sz w:val="20"/>
              </w:rPr>
              <w:t>p</w:t>
            </w:r>
          </w:p>
        </w:tc>
      </w:tr>
      <w:tr>
        <w:tc>
          <w:tcPr>
            <w:tcW w:type="dxa" w:w="2340"/>
          </w:tcPr>
          <w:p>
            <w:r>
              <w:rPr>
                <w:rFonts w:ascii="Times New Roman" w:hAnsi="Times New Roman"/>
                <w:sz w:val="20"/>
              </w:rPr>
              <w:t>Potential Exposure T1 → T2 (stability)</w:t>
            </w:r>
          </w:p>
        </w:tc>
        <w:tc>
          <w:tcPr>
            <w:tcW w:type="dxa" w:w="2340"/>
          </w:tcPr>
          <w:p>
            <w:r>
              <w:rPr>
                <w:rFonts w:ascii="Times New Roman" w:hAnsi="Times New Roman"/>
                <w:sz w:val="20"/>
              </w:rPr>
              <w:t>0.85</w:t>
            </w:r>
          </w:p>
        </w:tc>
        <w:tc>
          <w:tcPr>
            <w:tcW w:type="dxa" w:w="2340"/>
          </w:tcPr>
          <w:p>
            <w:r>
              <w:rPr>
                <w:rFonts w:ascii="Times New Roman" w:hAnsi="Times New Roman"/>
                <w:sz w:val="20"/>
              </w:rPr>
              <w:t>0.003</w:t>
            </w:r>
          </w:p>
        </w:tc>
        <w:tc>
          <w:tcPr>
            <w:tcW w:type="dxa" w:w="2340"/>
          </w:tcPr>
          <w:p>
            <w:r>
              <w:rPr>
                <w:rFonts w:ascii="Times New Roman" w:hAnsi="Times New Roman"/>
                <w:sz w:val="20"/>
              </w:rPr>
              <w:t>&lt; 0.01</w:t>
            </w:r>
          </w:p>
        </w:tc>
      </w:tr>
      <w:tr>
        <w:tc>
          <w:tcPr>
            <w:tcW w:type="dxa" w:w="2340"/>
          </w:tcPr>
          <w:p>
            <w:r>
              <w:rPr>
                <w:rFonts w:ascii="Times New Roman" w:hAnsi="Times New Roman"/>
                <w:sz w:val="20"/>
              </w:rPr>
              <w:t>User AD-ID Content T1 → T2 (stability)</w:t>
            </w:r>
          </w:p>
        </w:tc>
        <w:tc>
          <w:tcPr>
            <w:tcW w:type="dxa" w:w="2340"/>
          </w:tcPr>
          <w:p>
            <w:r>
              <w:rPr>
                <w:rFonts w:ascii="Times New Roman" w:hAnsi="Times New Roman"/>
                <w:sz w:val="20"/>
              </w:rPr>
              <w:t>2.76</w:t>
            </w:r>
          </w:p>
        </w:tc>
        <w:tc>
          <w:tcPr>
            <w:tcW w:type="dxa" w:w="2340"/>
          </w:tcPr>
          <w:p>
            <w:r>
              <w:rPr>
                <w:rFonts w:ascii="Times New Roman" w:hAnsi="Times New Roman"/>
                <w:sz w:val="20"/>
              </w:rPr>
              <w:t>0.014</w:t>
            </w:r>
          </w:p>
        </w:tc>
        <w:tc>
          <w:tcPr>
            <w:tcW w:type="dxa" w:w="2340"/>
          </w:tcPr>
          <w:p>
            <w:r>
              <w:rPr>
                <w:rFonts w:ascii="Times New Roman" w:hAnsi="Times New Roman"/>
                <w:sz w:val="20"/>
              </w:rPr>
              <w:t>&lt; 0.01</w:t>
            </w:r>
          </w:p>
        </w:tc>
      </w:tr>
      <w:tr>
        <w:tc>
          <w:tcPr>
            <w:tcW w:type="dxa" w:w="2340"/>
          </w:tcPr>
          <w:p>
            <w:r>
              <w:rPr>
                <w:rFonts w:ascii="Times New Roman" w:hAnsi="Times New Roman"/>
                <w:sz w:val="20"/>
              </w:rPr>
              <w:t>Potential Exposure T1 → User Content T2 (cross-lag)</w:t>
            </w:r>
          </w:p>
        </w:tc>
        <w:tc>
          <w:tcPr>
            <w:tcW w:type="dxa" w:w="2340"/>
          </w:tcPr>
          <w:p>
            <w:r>
              <w:rPr>
                <w:rFonts w:ascii="Times New Roman" w:hAnsi="Times New Roman"/>
                <w:sz w:val="20"/>
              </w:rPr>
              <w:t>0.05</w:t>
            </w:r>
          </w:p>
        </w:tc>
        <w:tc>
          <w:tcPr>
            <w:tcW w:type="dxa" w:w="2340"/>
          </w:tcPr>
          <w:p>
            <w:r>
              <w:rPr>
                <w:rFonts w:ascii="Times New Roman" w:hAnsi="Times New Roman"/>
                <w:sz w:val="20"/>
              </w:rPr>
              <w:t>0.017</w:t>
            </w:r>
          </w:p>
        </w:tc>
        <w:tc>
          <w:tcPr>
            <w:tcW w:type="dxa" w:w="2340"/>
          </w:tcPr>
          <w:p>
            <w:r>
              <w:rPr>
                <w:rFonts w:ascii="Times New Roman" w:hAnsi="Times New Roman"/>
                <w:sz w:val="20"/>
              </w:rPr>
              <w:t>&lt; 0.01</w:t>
            </w:r>
          </w:p>
        </w:tc>
      </w:tr>
      <w:tr>
        <w:tc>
          <w:tcPr>
            <w:tcW w:type="dxa" w:w="2340"/>
          </w:tcPr>
          <w:p>
            <w:r>
              <w:rPr>
                <w:rFonts w:ascii="Times New Roman" w:hAnsi="Times New Roman"/>
                <w:sz w:val="20"/>
              </w:rPr>
              <w:t>User Content T1 → Potential Exposure T2 (cross-lag)</w:t>
            </w:r>
          </w:p>
        </w:tc>
        <w:tc>
          <w:tcPr>
            <w:tcW w:type="dxa" w:w="2340"/>
          </w:tcPr>
          <w:p>
            <w:r>
              <w:rPr>
                <w:rFonts w:ascii="Times New Roman" w:hAnsi="Times New Roman"/>
                <w:sz w:val="20"/>
              </w:rPr>
              <w:t>0.01</w:t>
            </w:r>
          </w:p>
        </w:tc>
        <w:tc>
          <w:tcPr>
            <w:tcW w:type="dxa" w:w="2340"/>
          </w:tcPr>
          <w:p>
            <w:r>
              <w:rPr>
                <w:rFonts w:ascii="Times New Roman" w:hAnsi="Times New Roman"/>
                <w:sz w:val="20"/>
              </w:rPr>
              <w:t>0.021</w:t>
            </w:r>
          </w:p>
        </w:tc>
        <w:tc>
          <w:tcPr>
            <w:tcW w:type="dxa" w:w="2340"/>
          </w:tcPr>
          <w:p>
            <w:r>
              <w:rPr>
                <w:rFonts w:ascii="Times New Roman" w:hAnsi="Times New Roman"/>
                <w:sz w:val="20"/>
              </w:rPr>
              <w:t>0.639</w:t>
            </w:r>
          </w:p>
        </w:tc>
      </w:tr>
    </w:tbl>
    <w:p/>
    <w:p>
      <w:r>
        <w:t>The cross-lagged panel model revealed a clear unidirectional pattern. The pathway from potential exposure to industry AD-ID tweets at T1 to user-generated AD-ID content at T2 was statistically significant (β = 0.05, SE = 0.017, p &lt; 0.01), indicating that greater potential exposure to industry marketing predicted subsequent increases in user-generated content about alcohol delivery and isolation drinking.</w:t>
      </w:r>
    </w:p>
    <w:p>
      <w:r>
        <w:t>The reverse pathway—from user-generated AD-ID content at T1 to potential exposure at T2—was not significant (β = 0.01, SE = 0.021, p = 0.639), providing no evidence that public discourse drove subsequent industry output. Both autoregressive stability paths were large and significant: potential exposure (β = 0.85, p &lt; 0.01) and user-generated content (β = 2.76, p &lt; 0.01), indicating high temporal consistency in both variables. Cross-sectional covariances were positive and significant at both time points, confirming the expected concurrent association between industry marketing and public discourse.</w:t>
      </w:r>
    </w:p>
    <w:p>
      <w:pPr>
        <w:pStyle w:val="Heading1"/>
      </w:pPr>
      <w:r>
        <w:t>Discussion</w:t>
      </w:r>
    </w:p>
    <w:p>
      <w:r>
        <w:t>This study provides evidence that alcohol industry marketing during the COVID-19 pandemic influenced public discourse about pandemic-related drinking, rather than the reverse. The significant industry-to-public pathway, combined with the non-significant public-to-industry pathway, supports a unidirectional influence model consistent with the DSMM framework and sociogenesis theory. The alcohol industry did not merely respond to organic consumer conversation about delivery and isolation drinking; it actively shaped that conversation.</w:t>
      </w:r>
    </w:p>
    <w:p>
      <w:r>
        <w:t>The adaptation of Henriksen et al.’s (2010) tobacco marketing surveillance measure to the social media context represents a methodological contribution. The potential exposure index—combining network size, platform engagement, and marketing volume—provides a scalable proxy for marketing reach that does not require direct measurement of individual exposure. The high temporal stability of this measure suggests it captures a durable characteristic of users’ media environments.</w:t>
      </w:r>
    </w:p>
    <w:p>
      <w:r>
        <w:t>Together with the companion study (Thomas &amp; Pasch, 2025), these findings paint a coherent picture: the alcohol industry amplified specific marketing themes during the pandemic (Study 1), and these amplified themes subsequently spread into public discourse (Study 2). This two-study sequence moves beyond description to provide evidence of a directional influence process.</w:t>
      </w:r>
    </w:p>
    <w:p>
      <w:r>
        <w:t>Several limitations should be noted. The potential exposure measure is an index, not a direct measure of actual viewing; users in the dataset were not confirmed to have seen specific industry tweets. The sample was limited to English-language, U.S.-based Twitter users, restricting generalizability. Bot mitigation procedures, while reducing noise, were not comprehensive and some automated accounts may remain. The cross-lagged design establishes temporal precedence but cannot confirm causal mechanisms, and the two-wave structure limits our ability to model more complex dynamic processes. Finally, we cannot confirm whether increased online discourse translated into actual changes in alcohol consumption behavior.</w:t>
      </w:r>
    </w:p>
    <w:p>
      <w:r>
        <w:t>Despite these limitations, the findings carry public health implications. If industry marketing can demonstrably shift public discourse about alcohol during a health crisis, regulatory attention to digital marketing practices during emergencies is warranted. Future research should examine whether exposure to pandemic-era alcohol marketing predicted actual consumption changes, and whether similar influence dynamics operate on platforms beyond Twitter.</w:t>
      </w:r>
    </w:p>
    <w:p>
      <w:pPr>
        <w:pStyle w:val="Heading1"/>
      </w:pPr>
      <w:r>
        <w:t>References</w:t>
      </w:r>
    </w:p>
    <w:p>
      <w:pPr>
        <w:spacing w:after="80"/>
        <w:ind w:hanging="720" w:left="720"/>
      </w:pPr>
      <w:r>
        <w:rPr>
          <w:rFonts w:ascii="Times New Roman" w:hAnsi="Times New Roman"/>
          <w:sz w:val="22"/>
        </w:rPr>
        <w:t>Henriksen, L., Feighery, E. C., Schleicher, N. C., &amp; Fortmann, S. P. (2010). Receptivity to alcohol marketing predicts initiation of alcohol use. Journal of Adolescent Health, 42(1), 28–35.</w:t>
      </w:r>
    </w:p>
    <w:p>
      <w:pPr>
        <w:spacing w:after="80"/>
        <w:ind w:hanging="720" w:left="720"/>
      </w:pPr>
      <w:r>
        <w:rPr>
          <w:rFonts w:ascii="Times New Roman" w:hAnsi="Times New Roman"/>
          <w:sz w:val="22"/>
        </w:rPr>
        <w:t>Holder, H. D. (2006). Alcohol and the Community: A Systems Approach to Prevention. Cambridge University Press.</w:t>
      </w:r>
    </w:p>
    <w:p>
      <w:pPr>
        <w:spacing w:after="80"/>
        <w:ind w:hanging="720" w:left="720"/>
      </w:pPr>
      <w:r>
        <w:rPr>
          <w:rFonts w:ascii="Times New Roman" w:hAnsi="Times New Roman"/>
          <w:sz w:val="22"/>
        </w:rPr>
        <w:t>Jernigan, D. H., &amp; Ross, C. S. (2020). The alcohol marketing landscape. Journal of Studies on Alcohol and Drugs, Supplement 19, 13–25.</w:t>
      </w:r>
    </w:p>
    <w:p>
      <w:pPr>
        <w:spacing w:after="80"/>
        <w:ind w:hanging="720" w:left="720"/>
      </w:pPr>
      <w:r>
        <w:rPr>
          <w:rFonts w:ascii="Times New Roman" w:hAnsi="Times New Roman"/>
          <w:sz w:val="22"/>
        </w:rPr>
        <w:t>Martino, F., Brooks, R., Browne, J., Carah, N., Zorbas, C., Corben, K., ... &amp; Backholer, K. (2021). Online marketing by big food and big alcohol during COVID-19 in Australia. BMC Public Health, 21(1), 1–15.</w:t>
      </w:r>
    </w:p>
    <w:p>
      <w:pPr>
        <w:spacing w:after="80"/>
        <w:ind w:hanging="720" w:left="720"/>
      </w:pPr>
      <w:r>
        <w:rPr>
          <w:rFonts w:ascii="Times New Roman" w:hAnsi="Times New Roman"/>
          <w:sz w:val="22"/>
        </w:rPr>
        <w:t>Pollard, M. S., Tucker, J. S., &amp; Green, H. D. (2020). Changes in adult alcohol use during COVID-19. JAMA Network Open, 3(9), e2022942.</w:t>
      </w:r>
    </w:p>
    <w:p>
      <w:pPr>
        <w:spacing w:after="80"/>
        <w:ind w:hanging="720" w:left="720"/>
      </w:pPr>
      <w:r>
        <w:rPr>
          <w:rFonts w:ascii="Times New Roman" w:hAnsi="Times New Roman"/>
          <w:sz w:val="22"/>
        </w:rPr>
        <w:t>Thomas, J. E. (2025). TopicFlow: A BERTopic and Large Language Model Pipeline for Topic Discovery and Classification. Preprint.</w:t>
      </w:r>
    </w:p>
    <w:p>
      <w:pPr>
        <w:spacing w:after="80"/>
        <w:ind w:hanging="720" w:left="720"/>
      </w:pPr>
      <w:r>
        <w:rPr>
          <w:rFonts w:ascii="Times New Roman" w:hAnsi="Times New Roman"/>
          <w:sz w:val="22"/>
        </w:rPr>
        <w:t>Thomas, J. E., &amp; Pasch, K. E. (2025). Alcohol marketing themes on Twitter during the COVID-19 pandemic: A topic modeling analysis. Manuscript in preparation.</w:t>
      </w:r>
    </w:p>
    <w:p>
      <w:pPr>
        <w:spacing w:after="80"/>
        <w:ind w:hanging="720" w:left="720"/>
      </w:pPr>
      <w:r>
        <w:rPr>
          <w:rFonts w:ascii="Times New Roman" w:hAnsi="Times New Roman"/>
          <w:sz w:val="22"/>
        </w:rPr>
        <w:t>Valkenburg, P. M., &amp; Peter, J. (2013). The Differential Susceptibility to Media Effects Model. Journal of Communication, 63(2), 221–243.</w:t>
      </w:r>
    </w:p>
    <w:p>
      <w:pPr>
        <w:spacing w:after="80"/>
        <w:ind w:hanging="720" w:left="720"/>
      </w:pPr>
      <w:r>
        <w:rPr>
          <w:rFonts w:ascii="Times New Roman" w:hAnsi="Times New Roman"/>
          <w:sz w:val="22"/>
        </w:rPr>
        <w:t>White, A. M., Castle, I. J., Powell, P. A., Hingson, R. W., &amp; Koob, G. F. (2022). Alcohol-related deaths during the COVID-19 pandemic. JAMA, 327(17), 1704–1706.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