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Alcohol Marketing Themes on Twitter During the COVID-19 Pandemic:</w:t>
        <w:br/>
        <w:t>A Topic Modeling Analysis</w:t>
      </w:r>
    </w:p>
    <w:p>
      <w:pPr>
        <w:jc w:val="center"/>
      </w:pPr>
      <w:r>
        <w:rPr>
          <w:rFonts w:ascii="Times New Roman" w:hAnsi="Times New Roman"/>
          <w:sz w:val="24"/>
        </w:rPr>
        <w:t>Jacob Edward Thomas &amp; Keryn E. Pasch</w:t>
      </w:r>
    </w:p>
    <w:p>
      <w:pPr>
        <w:jc w:val="center"/>
      </w:pPr>
      <w:r>
        <w:rPr>
          <w:rFonts w:ascii="Times New Roman" w:hAnsi="Times New Roman"/>
          <w:i/>
          <w:sz w:val="24"/>
        </w:rPr>
        <w:t>The University of Texas at Austin</w:t>
      </w:r>
    </w:p>
    <w:p>
      <w:pPr>
        <w:pStyle w:val="Heading1"/>
      </w:pPr>
      <w:r>
        <w:t>Abstract</w:t>
      </w:r>
    </w:p>
    <w:p>
      <w:r>
        <w:t>Alcohol brands rapidly adapted their social media marketing strategies during the COVID-19 pandemic, yet few studies have systematically tracked thematic shifts across pandemic phases. This study analyzed 5,872 tweets posted by 11 major alcohol brands between January 2019 and July 2021 using a novel computational pipeline combining BERTopic modeling with hyperparameter optimization and GPT-4o classification (Thomas, 2025). Five marketing themes were identified: Alcohol Delivery and Isolation Drinking (AD-ID), Restaurant Support, Social Media Promotions, Sports, and Gaming. Proportional z-tests with Bonferroni correction revealed that three themes showed statistically significant increases during COVID-19 lockdowns (March–May 2020): AD-ID (+91.2%), Restaurant Support (+189.5%), and Social Media Promotions (+150.0%). Critically, AD-ID and Social Media Promotions remained significantly elevated in the post-lockdown period (June 2020–July 2021), suggesting durable shifts in alcohol marketing strategy rather than temporary responses to crisis conditions. Sentiment analysis using LIWC (Boyd et al., 2022) revealed that the three pandemic-responsive themes employed stronger emotional appeals, with high positive tone (80.16%–98.49%) and minimal negative affect, raising concerns about potential exploitation of pandemic-related psychological vulnerability. These findings extend prior qualitative work by providing longitudinal, quantitative evidence of how the alcohol industry leveraged a public health crisis to normalize home delivery and isolation drinking.</w:t>
      </w:r>
    </w:p>
    <w:p>
      <w:pPr>
        <w:pStyle w:val="Heading1"/>
      </w:pPr>
      <w:r>
        <w:t>Introduction</w:t>
      </w:r>
    </w:p>
    <w:p>
      <w:r>
        <w:t>The COVID-19 pandemic fundamentally altered patterns of daily life beginning in March 2020, when governments worldwide implemented lockdowns, business closures, and social distancing mandates. These disruptions created conditions associated with increased alcohol consumption: social isolation, economic stress, disrupted routines, and heightened anxiety (Pollard et al., 2020). Concurrently, alcohol-related deaths increased substantially, with deaths among Americans aged 16–20 rising by 29.8%, those aged 21–24 by 25.6%, and those aged 25–34 by 37% (White et al., 2022). Social media usage surged as people turned to digital platforms for connection, entertainment, and information (Wiederhold, 2020). This confluence of increased alcohol risk factors and heightened digital engagement created a unique opportunity for alcohol marketers.</w:t>
      </w:r>
    </w:p>
    <w:p>
      <w:r>
        <w:t>The alcohol industry has a well-documented history of adapting its marketing strategies to capitalize on cultural moments and public health events (Jernigan &amp; Ross, 2020). Research consistently demonstrates that exposure to alcohol marketing influences drinking behaviors, with young adults being particularly susceptible (Anderson et al., 2009; Smith et al., 2009; Jernigan et al., 2017). Social media platforms are particularly amenable to such adaptation because they allow brands to shift messaging rapidly and at low cost (Barry et al., 2016). Early research during the pandemic identified several marketing themes adopted by alcohol brands, including home delivery promotions, isolation drinking normalization, and corporate social responsibility messaging (Martino et al., 2021; Gerritsen et al., 2021; Colbert et al., 2020). However, these studies were largely qualitative, focused on narrow time windows, and did not provide systematic comparisons of theme prevalence across pre-pandemic, lockdown, and post-lockdown periods.</w:t>
      </w:r>
    </w:p>
    <w:p>
      <w:r>
        <w:t>Moreover, existing computational approaches to analyzing large-scale social media marketing data have been limited by methodological constraints. Traditional topic models such as Latent Dirichlet Allocation (LDA) struggle with short texts (Qiang et al., 2020), and manual content analysis is impractical at scale. Recent advances in transformer-based topic modeling—particularly BERTopic (Grootendorst, 2022)—offer promising alternatives but require careful hyperparameter optimization and human validation to produce interpretable results.</w:t>
      </w:r>
    </w:p>
    <w:p>
      <w:r>
        <w:t>The present study addresses these gaps by applying a novel computational pipeline, Embedding-to-Explanation (Thomas, 2025), to a longitudinal dataset of alcohol brand tweets spanning pre-pandemic, lockdown, and post-lockdown periods. The pipeline combines BERTopic modeling with systematic hyperparameter optimization, large language model (LLM) topic naming, and GPT-4o classification, informed by the Themes and Topics framework (Gillies et al., 2022). We pursued two aims: (1) identify the principal marketing themes used by major alcohol brands on Twitter, and (2) compare the prevalence of these themes across pandemic phases to determine whether observed shifts were temporary or durable. Additionally, we explored the cognitive, emotional, and excitative composition of theme content during the peri-pandemic period through the lens of the Differential Susceptibility to Media Effects Model (DSMM; Valkenburg &amp; Peter, 2013).</w:t>
      </w:r>
    </w:p>
    <w:p>
      <w:pPr>
        <w:pStyle w:val="Heading1"/>
      </w:pPr>
      <w:r>
        <w:t>Method</w:t>
      </w:r>
    </w:p>
    <w:p>
      <w:pPr>
        <w:pStyle w:val="Heading2"/>
      </w:pPr>
      <w:r>
        <w:t>Sample</w:t>
      </w:r>
    </w:p>
    <w:p>
      <w:r>
        <w:t>The dataset comprised 5,872 original tweets posted by 11 major alcohol companies between January 2019 and July 2021. These companies were drawn from the PRL-TMS (Publicly Retrievable Longitudinal Twitter Marketing Sample), a purpose-built dataset capturing the complete tweet histories of prominent alcohol brands with active U.S. marketing presences. Retweets and replies were excluded to focus on original marketing content. The sample spanned three analytically defined periods: pre-pandemic (January 2019–January 2020), peri-lockdown (March–May 2020), and post-lockdown (June 2020–July 2021). Table 1 summarizes the tweet distribution across the 11 companies.</w:t>
      </w:r>
    </w:p>
    <w:p/>
    <w:p>
      <w:r>
        <w:rPr>
          <w:rFonts w:ascii="Times New Roman" w:hAnsi="Times New Roman"/>
          <w:b/>
          <w:i/>
          <w:sz w:val="20"/>
        </w:rPr>
        <w:t>Table 1. Summary of Tweets Included in Study 1</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Pr>
                <w:rFonts w:ascii="Times New Roman" w:hAnsi="Times New Roman"/>
                <w:b/>
                <w:sz w:val="18"/>
              </w:rPr>
              <w:t>Company (n = 11)</w:t>
            </w:r>
          </w:p>
        </w:tc>
        <w:tc>
          <w:tcPr>
            <w:tcW w:type="dxa" w:w="3120"/>
          </w:tcPr>
          <w:p>
            <w:r>
              <w:rPr>
                <w:rFonts w:ascii="Times New Roman" w:hAnsi="Times New Roman"/>
                <w:b/>
                <w:sz w:val="18"/>
              </w:rPr>
              <w:t>Number of Tweets (n = 5,872)</w:t>
            </w:r>
          </w:p>
        </w:tc>
        <w:tc>
          <w:tcPr>
            <w:tcW w:type="dxa" w:w="3120"/>
          </w:tcPr>
          <w:p>
            <w:r>
              <w:rPr>
                <w:rFonts w:ascii="Times New Roman" w:hAnsi="Times New Roman"/>
                <w:b/>
                <w:sz w:val="18"/>
              </w:rPr>
              <w:t>Number of Followers (n = 1,199,052)</w:t>
            </w:r>
          </w:p>
        </w:tc>
      </w:tr>
      <w:tr>
        <w:tc>
          <w:tcPr>
            <w:tcW w:type="dxa" w:w="3120"/>
          </w:tcPr>
          <w:p>
            <w:r>
              <w:rPr>
                <w:rFonts w:ascii="Times New Roman" w:hAnsi="Times New Roman"/>
                <w:b w:val="0"/>
                <w:sz w:val="18"/>
              </w:rPr>
              <w:t>Bud Light</w:t>
            </w:r>
          </w:p>
        </w:tc>
        <w:tc>
          <w:tcPr>
            <w:tcW w:type="dxa" w:w="3120"/>
          </w:tcPr>
          <w:p>
            <w:r>
              <w:rPr>
                <w:rFonts w:ascii="Times New Roman" w:hAnsi="Times New Roman"/>
                <w:b w:val="0"/>
                <w:sz w:val="18"/>
              </w:rPr>
              <w:t>1,142</w:t>
            </w:r>
          </w:p>
        </w:tc>
        <w:tc>
          <w:tcPr>
            <w:tcW w:type="dxa" w:w="3120"/>
          </w:tcPr>
          <w:p>
            <w:r>
              <w:rPr>
                <w:rFonts w:ascii="Times New Roman" w:hAnsi="Times New Roman"/>
                <w:b w:val="0"/>
                <w:sz w:val="18"/>
              </w:rPr>
              <w:t>248,718</w:t>
            </w:r>
          </w:p>
        </w:tc>
      </w:tr>
      <w:tr>
        <w:tc>
          <w:tcPr>
            <w:tcW w:type="dxa" w:w="3120"/>
          </w:tcPr>
          <w:p>
            <w:r>
              <w:rPr>
                <w:rFonts w:ascii="Times New Roman" w:hAnsi="Times New Roman"/>
                <w:b w:val="0"/>
                <w:sz w:val="18"/>
              </w:rPr>
              <w:t>Truly Hard Seltzer</w:t>
            </w:r>
          </w:p>
        </w:tc>
        <w:tc>
          <w:tcPr>
            <w:tcW w:type="dxa" w:w="3120"/>
          </w:tcPr>
          <w:p>
            <w:r>
              <w:rPr>
                <w:rFonts w:ascii="Times New Roman" w:hAnsi="Times New Roman"/>
                <w:b w:val="0"/>
                <w:sz w:val="18"/>
              </w:rPr>
              <w:t>755</w:t>
            </w:r>
          </w:p>
        </w:tc>
        <w:tc>
          <w:tcPr>
            <w:tcW w:type="dxa" w:w="3120"/>
          </w:tcPr>
          <w:p>
            <w:r>
              <w:rPr>
                <w:rFonts w:ascii="Times New Roman" w:hAnsi="Times New Roman"/>
                <w:b w:val="0"/>
                <w:sz w:val="18"/>
              </w:rPr>
              <w:t>17,762</w:t>
            </w:r>
          </w:p>
        </w:tc>
      </w:tr>
      <w:tr>
        <w:tc>
          <w:tcPr>
            <w:tcW w:type="dxa" w:w="3120"/>
          </w:tcPr>
          <w:p>
            <w:r>
              <w:rPr>
                <w:rFonts w:ascii="Times New Roman" w:hAnsi="Times New Roman"/>
                <w:b w:val="0"/>
                <w:sz w:val="18"/>
              </w:rPr>
              <w:t>Malibu</w:t>
            </w:r>
          </w:p>
        </w:tc>
        <w:tc>
          <w:tcPr>
            <w:tcW w:type="dxa" w:w="3120"/>
          </w:tcPr>
          <w:p>
            <w:r>
              <w:rPr>
                <w:rFonts w:ascii="Times New Roman" w:hAnsi="Times New Roman"/>
                <w:b w:val="0"/>
                <w:sz w:val="18"/>
              </w:rPr>
              <w:t>695</w:t>
            </w:r>
          </w:p>
        </w:tc>
        <w:tc>
          <w:tcPr>
            <w:tcW w:type="dxa" w:w="3120"/>
          </w:tcPr>
          <w:p>
            <w:r>
              <w:rPr>
                <w:rFonts w:ascii="Times New Roman" w:hAnsi="Times New Roman"/>
                <w:b w:val="0"/>
                <w:sz w:val="18"/>
              </w:rPr>
              <w:t>46,824</w:t>
            </w:r>
          </w:p>
        </w:tc>
      </w:tr>
      <w:tr>
        <w:tc>
          <w:tcPr>
            <w:tcW w:type="dxa" w:w="3120"/>
          </w:tcPr>
          <w:p>
            <w:r>
              <w:rPr>
                <w:rFonts w:ascii="Times New Roman" w:hAnsi="Times New Roman"/>
                <w:b w:val="0"/>
                <w:sz w:val="18"/>
              </w:rPr>
              <w:t>Jägermeister</w:t>
            </w:r>
          </w:p>
        </w:tc>
        <w:tc>
          <w:tcPr>
            <w:tcW w:type="dxa" w:w="3120"/>
          </w:tcPr>
          <w:p>
            <w:r>
              <w:rPr>
                <w:rFonts w:ascii="Times New Roman" w:hAnsi="Times New Roman"/>
                <w:b w:val="0"/>
                <w:sz w:val="18"/>
              </w:rPr>
              <w:t>653</w:t>
            </w:r>
          </w:p>
        </w:tc>
        <w:tc>
          <w:tcPr>
            <w:tcW w:type="dxa" w:w="3120"/>
          </w:tcPr>
          <w:p>
            <w:r>
              <w:rPr>
                <w:rFonts w:ascii="Times New Roman" w:hAnsi="Times New Roman"/>
                <w:b w:val="0"/>
                <w:sz w:val="18"/>
              </w:rPr>
              <w:t>88,688</w:t>
            </w:r>
          </w:p>
        </w:tc>
      </w:tr>
      <w:tr>
        <w:tc>
          <w:tcPr>
            <w:tcW w:type="dxa" w:w="3120"/>
          </w:tcPr>
          <w:p>
            <w:r>
              <w:rPr>
                <w:rFonts w:ascii="Times New Roman" w:hAnsi="Times New Roman"/>
                <w:b w:val="0"/>
                <w:sz w:val="18"/>
              </w:rPr>
              <w:t>Samuel Adams Beer</w:t>
            </w:r>
          </w:p>
        </w:tc>
        <w:tc>
          <w:tcPr>
            <w:tcW w:type="dxa" w:w="3120"/>
          </w:tcPr>
          <w:p>
            <w:r>
              <w:rPr>
                <w:rFonts w:ascii="Times New Roman" w:hAnsi="Times New Roman"/>
                <w:b w:val="0"/>
                <w:sz w:val="18"/>
              </w:rPr>
              <w:t>594</w:t>
            </w:r>
          </w:p>
        </w:tc>
        <w:tc>
          <w:tcPr>
            <w:tcW w:type="dxa" w:w="3120"/>
          </w:tcPr>
          <w:p>
            <w:r>
              <w:rPr>
                <w:rFonts w:ascii="Times New Roman" w:hAnsi="Times New Roman"/>
                <w:b w:val="0"/>
                <w:sz w:val="18"/>
              </w:rPr>
              <w:t>81,707</w:t>
            </w:r>
          </w:p>
        </w:tc>
      </w:tr>
      <w:tr>
        <w:tc>
          <w:tcPr>
            <w:tcW w:type="dxa" w:w="3120"/>
          </w:tcPr>
          <w:p>
            <w:r>
              <w:rPr>
                <w:rFonts w:ascii="Times New Roman" w:hAnsi="Times New Roman"/>
                <w:b w:val="0"/>
                <w:sz w:val="18"/>
              </w:rPr>
              <w:t>Brooklyn Brewery</w:t>
            </w:r>
          </w:p>
        </w:tc>
        <w:tc>
          <w:tcPr>
            <w:tcW w:type="dxa" w:w="3120"/>
          </w:tcPr>
          <w:p>
            <w:r>
              <w:rPr>
                <w:rFonts w:ascii="Times New Roman" w:hAnsi="Times New Roman"/>
                <w:b w:val="0"/>
                <w:sz w:val="18"/>
              </w:rPr>
              <w:t>592</w:t>
            </w:r>
          </w:p>
        </w:tc>
        <w:tc>
          <w:tcPr>
            <w:tcW w:type="dxa" w:w="3120"/>
          </w:tcPr>
          <w:p>
            <w:r>
              <w:rPr>
                <w:rFonts w:ascii="Times New Roman" w:hAnsi="Times New Roman"/>
                <w:b w:val="0"/>
                <w:sz w:val="18"/>
              </w:rPr>
              <w:t>125,605</w:t>
            </w:r>
          </w:p>
        </w:tc>
      </w:tr>
      <w:tr>
        <w:tc>
          <w:tcPr>
            <w:tcW w:type="dxa" w:w="3120"/>
          </w:tcPr>
          <w:p>
            <w:r>
              <w:rPr>
                <w:rFonts w:ascii="Times New Roman" w:hAnsi="Times New Roman"/>
                <w:b w:val="0"/>
                <w:sz w:val="18"/>
              </w:rPr>
              <w:t>Jack Daniel’s</w:t>
            </w:r>
          </w:p>
        </w:tc>
        <w:tc>
          <w:tcPr>
            <w:tcW w:type="dxa" w:w="3120"/>
          </w:tcPr>
          <w:p>
            <w:r>
              <w:rPr>
                <w:rFonts w:ascii="Times New Roman" w:hAnsi="Times New Roman"/>
                <w:b w:val="0"/>
                <w:sz w:val="18"/>
              </w:rPr>
              <w:t>535</w:t>
            </w:r>
          </w:p>
        </w:tc>
        <w:tc>
          <w:tcPr>
            <w:tcW w:type="dxa" w:w="3120"/>
          </w:tcPr>
          <w:p>
            <w:r>
              <w:rPr>
                <w:rFonts w:ascii="Times New Roman" w:hAnsi="Times New Roman"/>
                <w:b w:val="0"/>
                <w:sz w:val="18"/>
              </w:rPr>
              <w:t>198,896</w:t>
            </w:r>
          </w:p>
        </w:tc>
      </w:tr>
      <w:tr>
        <w:tc>
          <w:tcPr>
            <w:tcW w:type="dxa" w:w="3120"/>
          </w:tcPr>
          <w:p>
            <w:r>
              <w:rPr>
                <w:rFonts w:ascii="Times New Roman" w:hAnsi="Times New Roman"/>
                <w:b w:val="0"/>
                <w:sz w:val="18"/>
              </w:rPr>
              <w:t>Budweiser</w:t>
            </w:r>
          </w:p>
        </w:tc>
        <w:tc>
          <w:tcPr>
            <w:tcW w:type="dxa" w:w="3120"/>
          </w:tcPr>
          <w:p>
            <w:r>
              <w:rPr>
                <w:rFonts w:ascii="Times New Roman" w:hAnsi="Times New Roman"/>
                <w:b w:val="0"/>
                <w:sz w:val="18"/>
              </w:rPr>
              <w:t>409</w:t>
            </w:r>
          </w:p>
        </w:tc>
        <w:tc>
          <w:tcPr>
            <w:tcW w:type="dxa" w:w="3120"/>
          </w:tcPr>
          <w:p>
            <w:r>
              <w:rPr>
                <w:rFonts w:ascii="Times New Roman" w:hAnsi="Times New Roman"/>
                <w:b w:val="0"/>
                <w:sz w:val="18"/>
              </w:rPr>
              <w:t>220,140</w:t>
            </w:r>
          </w:p>
        </w:tc>
      </w:tr>
      <w:tr>
        <w:tc>
          <w:tcPr>
            <w:tcW w:type="dxa" w:w="3120"/>
          </w:tcPr>
          <w:p>
            <w:r>
              <w:rPr>
                <w:rFonts w:ascii="Times New Roman" w:hAnsi="Times New Roman"/>
                <w:b w:val="0"/>
                <w:sz w:val="18"/>
              </w:rPr>
              <w:t>Bacardi</w:t>
            </w:r>
          </w:p>
        </w:tc>
        <w:tc>
          <w:tcPr>
            <w:tcW w:type="dxa" w:w="3120"/>
          </w:tcPr>
          <w:p>
            <w:r>
              <w:rPr>
                <w:rFonts w:ascii="Times New Roman" w:hAnsi="Times New Roman"/>
                <w:b w:val="0"/>
                <w:sz w:val="18"/>
              </w:rPr>
              <w:t>233</w:t>
            </w:r>
          </w:p>
        </w:tc>
        <w:tc>
          <w:tcPr>
            <w:tcW w:type="dxa" w:w="3120"/>
          </w:tcPr>
          <w:p>
            <w:r>
              <w:rPr>
                <w:rFonts w:ascii="Times New Roman" w:hAnsi="Times New Roman"/>
                <w:b w:val="0"/>
                <w:sz w:val="18"/>
              </w:rPr>
              <w:t>99,687</w:t>
            </w:r>
          </w:p>
        </w:tc>
      </w:tr>
      <w:tr>
        <w:tc>
          <w:tcPr>
            <w:tcW w:type="dxa" w:w="3120"/>
          </w:tcPr>
          <w:p>
            <w:r>
              <w:rPr>
                <w:rFonts w:ascii="Times New Roman" w:hAnsi="Times New Roman"/>
                <w:b w:val="0"/>
                <w:sz w:val="18"/>
              </w:rPr>
              <w:t>Absolut Vodka</w:t>
            </w:r>
          </w:p>
        </w:tc>
        <w:tc>
          <w:tcPr>
            <w:tcW w:type="dxa" w:w="3120"/>
          </w:tcPr>
          <w:p>
            <w:r>
              <w:rPr>
                <w:rFonts w:ascii="Times New Roman" w:hAnsi="Times New Roman"/>
                <w:b w:val="0"/>
                <w:sz w:val="18"/>
              </w:rPr>
              <w:t>147</w:t>
            </w:r>
          </w:p>
        </w:tc>
        <w:tc>
          <w:tcPr>
            <w:tcW w:type="dxa" w:w="3120"/>
          </w:tcPr>
          <w:p>
            <w:r>
              <w:rPr>
                <w:rFonts w:ascii="Times New Roman" w:hAnsi="Times New Roman"/>
                <w:b w:val="0"/>
                <w:sz w:val="18"/>
              </w:rPr>
              <w:t>30,526</w:t>
            </w:r>
          </w:p>
        </w:tc>
      </w:tr>
      <w:tr>
        <w:tc>
          <w:tcPr>
            <w:tcW w:type="dxa" w:w="3120"/>
          </w:tcPr>
          <w:p>
            <w:r>
              <w:rPr>
                <w:rFonts w:ascii="Times New Roman" w:hAnsi="Times New Roman"/>
                <w:b w:val="0"/>
                <w:sz w:val="18"/>
              </w:rPr>
              <w:t>White Claw Hard Seltzer</w:t>
            </w:r>
          </w:p>
        </w:tc>
        <w:tc>
          <w:tcPr>
            <w:tcW w:type="dxa" w:w="3120"/>
          </w:tcPr>
          <w:p>
            <w:r>
              <w:rPr>
                <w:rFonts w:ascii="Times New Roman" w:hAnsi="Times New Roman"/>
                <w:b w:val="0"/>
                <w:sz w:val="18"/>
              </w:rPr>
              <w:t>117</w:t>
            </w:r>
          </w:p>
        </w:tc>
        <w:tc>
          <w:tcPr>
            <w:tcW w:type="dxa" w:w="3120"/>
          </w:tcPr>
          <w:p>
            <w:r>
              <w:rPr>
                <w:rFonts w:ascii="Times New Roman" w:hAnsi="Times New Roman"/>
                <w:b w:val="0"/>
                <w:sz w:val="18"/>
              </w:rPr>
              <w:t>40,499</w:t>
            </w:r>
          </w:p>
        </w:tc>
      </w:tr>
      <w:tr>
        <w:tc>
          <w:tcPr>
            <w:tcW w:type="dxa" w:w="3120"/>
          </w:tcPr>
          <w:p>
            <w:r>
              <w:rPr>
                <w:rFonts w:ascii="Times New Roman" w:hAnsi="Times New Roman"/>
                <w:b/>
                <w:sz w:val="18"/>
              </w:rPr>
              <w:t>Total</w:t>
            </w:r>
          </w:p>
        </w:tc>
        <w:tc>
          <w:tcPr>
            <w:tcW w:type="dxa" w:w="3120"/>
          </w:tcPr>
          <w:p>
            <w:r>
              <w:rPr>
                <w:rFonts w:ascii="Times New Roman" w:hAnsi="Times New Roman"/>
                <w:b/>
                <w:sz w:val="18"/>
              </w:rPr>
              <w:t>5,872</w:t>
            </w:r>
          </w:p>
        </w:tc>
        <w:tc>
          <w:tcPr>
            <w:tcW w:type="dxa" w:w="3120"/>
          </w:tcPr>
          <w:p>
            <w:r>
              <w:rPr>
                <w:rFonts w:ascii="Times New Roman" w:hAnsi="Times New Roman"/>
                <w:b/>
                <w:sz w:val="18"/>
              </w:rPr>
              <w:t>1,199,052</w:t>
            </w:r>
          </w:p>
        </w:tc>
      </w:tr>
    </w:tbl>
    <w:p/>
    <w:p>
      <w:pPr>
        <w:jc w:val="center"/>
      </w:pPr>
      <w:r>
        <w:rPr>
          <w:rFonts w:ascii="Times New Roman" w:hAnsi="Times New Roman"/>
          <w:i/>
          <w:sz w:val="20"/>
        </w:rPr>
        <w:t>[Figure 1. Month-over-month volume of tweets included in Study 1, COVID-19 lockdown period highlighted (n = 5,872)]</w:t>
      </w:r>
    </w:p>
    <w:p/>
    <w:p>
      <w:pPr>
        <w:pStyle w:val="Heading2"/>
      </w:pPr>
      <w:r>
        <w:t>Theme Identification</w:t>
      </w:r>
    </w:p>
    <w:p>
      <w:r>
        <w:t>Marketing themes were identified using the Embedding-to-Explanation pipeline described in Thomas (2025) and available as open-source software. The procedure involved three stages, informed by the Themes and Topics framework (Gillies et al., 2022). First, BERTopic (Grootendorst, 2022) was applied with systematic hyperparameter optimization: 50 random iterations were conducted for each of 24 candidate topic solutions (ranging from 2 to 25 topics), yielding 1,200 fitted models. The best-performing model was selected based on c_v coherence, a validated measure of topic interpretability (Röder et al., 2015). Second, LLM-based democratic topic naming was performed by submitting representative documents from each topic to GPT-4o across 5,000 iterations, with final labels determined by majority vote. Third, human thematic synthesis was conducted by two researchers who reviewed BERTopic output, sample tweets, and LLM interpretations through the lens of current alcohol marketing literature (Martino et al., 2021; Gerritsen et al., 2021). The optimal model contained 7 granular topics (coherence = 0.768), which were synthesized into 5 interpretable themes: Alcohol Delivery and Isolation Drinking (AD-ID), Restaurant Support, Social Media Promotions, Sports, and Gaming.</w:t>
      </w:r>
    </w:p>
    <w:p>
      <w:pPr>
        <w:jc w:val="center"/>
      </w:pPr>
      <w:r>
        <w:rPr>
          <w:rFonts w:ascii="Times New Roman" w:hAnsi="Times New Roman"/>
          <w:i/>
          <w:sz w:val="20"/>
        </w:rPr>
        <w:t>[Figure 2. Topic model performance: coherence scores across 1,200 candidate models]</w:t>
      </w:r>
    </w:p>
    <w:p/>
    <w:p>
      <w:r>
        <w:rPr>
          <w:rFonts w:ascii="Times New Roman" w:hAnsi="Times New Roman"/>
          <w:b/>
          <w:i/>
          <w:sz w:val="20"/>
        </w:rPr>
        <w:t>Table 2. Theme Structure and Representative Content</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rFonts w:ascii="Times New Roman" w:hAnsi="Times New Roman"/>
                <w:b/>
                <w:sz w:val="16"/>
              </w:rPr>
              <w:t>Theme</w:t>
            </w:r>
          </w:p>
        </w:tc>
        <w:tc>
          <w:tcPr>
            <w:tcW w:type="dxa" w:w="2340"/>
          </w:tcPr>
          <w:p>
            <w:r>
              <w:rPr>
                <w:rFonts w:ascii="Times New Roman" w:hAnsi="Times New Roman"/>
                <w:b/>
                <w:sz w:val="16"/>
              </w:rPr>
              <w:t>Constituent Topics</w:t>
              <w:br/>
              <w:t>(LLM Interpretation)</w:t>
            </w:r>
          </w:p>
        </w:tc>
        <w:tc>
          <w:tcPr>
            <w:tcW w:type="dxa" w:w="2340"/>
          </w:tcPr>
          <w:p>
            <w:r>
              <w:rPr>
                <w:rFonts w:ascii="Times New Roman" w:hAnsi="Times New Roman"/>
                <w:b/>
                <w:sz w:val="16"/>
              </w:rPr>
              <w:t>Representative Words</w:t>
            </w:r>
          </w:p>
        </w:tc>
        <w:tc>
          <w:tcPr>
            <w:tcW w:type="dxa" w:w="2340"/>
          </w:tcPr>
          <w:p>
            <w:r>
              <w:rPr>
                <w:rFonts w:ascii="Times New Roman" w:hAnsi="Times New Roman"/>
                <w:b/>
                <w:sz w:val="16"/>
              </w:rPr>
              <w:t>Example Tweets</w:t>
            </w:r>
          </w:p>
        </w:tc>
      </w:tr>
      <w:tr>
        <w:tc>
          <w:tcPr>
            <w:tcW w:type="dxa" w:w="2340"/>
          </w:tcPr>
          <w:p>
            <w:r>
              <w:rPr>
                <w:rFonts w:ascii="Times New Roman" w:hAnsi="Times New Roman"/>
                <w:b w:val="0"/>
                <w:sz w:val="16"/>
              </w:rPr>
              <w:t>Alcohol Delivery</w:t>
              <w:br/>
              <w:t>and Isolation</w:t>
              <w:br/>
              <w:t>Drinking</w:t>
              <w:br/>
              <w:t>(AD-ID)</w:t>
            </w:r>
          </w:p>
        </w:tc>
        <w:tc>
          <w:tcPr>
            <w:tcW w:type="dxa" w:w="2340"/>
          </w:tcPr>
          <w:p>
            <w:r>
              <w:rPr>
                <w:rFonts w:ascii="Times New Roman" w:hAnsi="Times New Roman"/>
                <w:b w:val="0"/>
                <w:sz w:val="16"/>
              </w:rPr>
              <w:t>Pandemic Alcohol</w:t>
              <w:br/>
              <w:t>Delivery and</w:t>
              <w:br/>
              <w:t>Enjoyment</w:t>
            </w:r>
          </w:p>
        </w:tc>
        <w:tc>
          <w:tcPr>
            <w:tcW w:type="dxa" w:w="2340"/>
          </w:tcPr>
          <w:p>
            <w:r>
              <w:rPr>
                <w:rFonts w:ascii="Times New Roman" w:hAnsi="Times New Roman"/>
                <w:b w:val="0"/>
                <w:sz w:val="16"/>
              </w:rPr>
              <w:t>sunshine, drizly, bit, day,</w:t>
              <w:br/>
              <w:t>order, happy, part,</w:t>
              <w:br/>
              <w:t>original, drink, get</w:t>
            </w:r>
          </w:p>
        </w:tc>
        <w:tc>
          <w:tcPr>
            <w:tcW w:type="dxa" w:w="2340"/>
          </w:tcPr>
          <w:p>
            <w:r>
              <w:rPr>
                <w:rFonts w:ascii="Times New Roman" w:hAnsi="Times New Roman"/>
                <w:b w:val="0"/>
                <w:sz w:val="16"/>
              </w:rPr>
              <w:t>Pro tip: Put your beer in a</w:t>
              <w:br/>
              <w:t>coffee mug and no one knows</w:t>
              <w:br/>
              <w:t>you’re drinking on the video</w:t>
              <w:br/>
              <w:t>conference.</w:t>
              <w:br/>
              <w:br/>
              <w:t>Bring the beachside vibe</w:t>
              <w:br/>
              <w:t>*inside* with Malibu delivered</w:t>
              <w:br/>
              <w:t>to your door in 60 minutes or</w:t>
              <w:br/>
              <w:t>less. Get $5 off your first</w:t>
              <w:br/>
              <w:t>order, courtesy of Drizly,</w:t>
              <w:br/>
              <w:t>with code ‘Sunshine20’!</w:t>
            </w:r>
          </w:p>
        </w:tc>
      </w:tr>
      <w:tr>
        <w:tc>
          <w:tcPr>
            <w:tcW w:type="dxa" w:w="2340"/>
          </w:tcPr>
          <w:p>
            <w:r>
              <w:rPr>
                <w:rFonts w:ascii="Times New Roman" w:hAnsi="Times New Roman"/>
                <w:b w:val="0"/>
                <w:sz w:val="16"/>
              </w:rPr>
              <w:t>Restaurant</w:t>
              <w:br/>
              <w:t>Support</w:t>
            </w:r>
          </w:p>
        </w:tc>
        <w:tc>
          <w:tcPr>
            <w:tcW w:type="dxa" w:w="2340"/>
          </w:tcPr>
          <w:p>
            <w:r>
              <w:rPr>
                <w:rFonts w:ascii="Times New Roman" w:hAnsi="Times New Roman"/>
                <w:b w:val="0"/>
                <w:sz w:val="16"/>
              </w:rPr>
              <w:t>COVID-19 Restaurant</w:t>
              <w:br/>
              <w:t>Support and Donation</w:t>
              <w:br/>
              <w:t>Initiatives</w:t>
            </w:r>
          </w:p>
        </w:tc>
        <w:tc>
          <w:tcPr>
            <w:tcW w:type="dxa" w:w="2340"/>
          </w:tcPr>
          <w:p>
            <w:r>
              <w:rPr>
                <w:rFonts w:ascii="Times New Roman" w:hAnsi="Times New Roman"/>
                <w:b w:val="0"/>
                <w:sz w:val="16"/>
              </w:rPr>
              <w:t>restaurant, donate, support,</w:t>
              <w:br/>
              <w:t>worker, help, fund,</w:t>
              <w:br/>
              <w:t>restaurantstrong, strong,</w:t>
              <w:br/>
              <w:t>covid, donation</w:t>
            </w:r>
          </w:p>
        </w:tc>
        <w:tc>
          <w:tcPr>
            <w:tcW w:type="dxa" w:w="2340"/>
          </w:tcPr>
          <w:p>
            <w:r>
              <w:rPr>
                <w:rFonts w:ascii="Times New Roman" w:hAnsi="Times New Roman"/>
                <w:b w:val="0"/>
                <w:sz w:val="16"/>
              </w:rPr>
              <w:t>ATTENTION TWITTER: The</w:t>
              <w:br/>
              <w:t>people who serve us every day</w:t>
              <w:br/>
              <w:t>are depending on our support.</w:t>
              <w:br/>
              <w:t>Restaurants and bars, let us</w:t>
              <w:br/>
              <w:t>know that you’re</w:t>
              <w:br/>
              <w:t>#OpenForTakeout, so we can</w:t>
              <w:br/>
              <w:t>spread the word.</w:t>
              <w:br/>
              <w:br/>
              <w:t>Yeah, we miss bars too. But</w:t>
              <w:br/>
              <w:t>we can still support restaurant</w:t>
              <w:br/>
              <w:t>and bar workers today. Order</w:t>
              <w:br/>
              <w:t>takeout and we’ll buy your</w:t>
              <w:br/>
              <w:t>first round when they reopen.</w:t>
            </w:r>
          </w:p>
        </w:tc>
      </w:tr>
      <w:tr>
        <w:tc>
          <w:tcPr>
            <w:tcW w:type="dxa" w:w="2340"/>
          </w:tcPr>
          <w:p>
            <w:r>
              <w:rPr>
                <w:rFonts w:ascii="Times New Roman" w:hAnsi="Times New Roman"/>
                <w:b w:val="0"/>
                <w:sz w:val="16"/>
              </w:rPr>
              <w:t>Social Media</w:t>
              <w:br/>
              <w:t>Promotions</w:t>
            </w:r>
          </w:p>
        </w:tc>
        <w:tc>
          <w:tcPr>
            <w:tcW w:type="dxa" w:w="2340"/>
          </w:tcPr>
          <w:p>
            <w:r>
              <w:rPr>
                <w:rFonts w:ascii="Times New Roman" w:hAnsi="Times New Roman"/>
                <w:b w:val="0"/>
                <w:sz w:val="16"/>
              </w:rPr>
              <w:t>Virtual Bar Tours &amp;</w:t>
              <w:br/>
              <w:t>Live Instagram Events</w:t>
            </w:r>
          </w:p>
        </w:tc>
        <w:tc>
          <w:tcPr>
            <w:tcW w:type="dxa" w:w="2340"/>
          </w:tcPr>
          <w:p>
            <w:r>
              <w:rPr>
                <w:rFonts w:ascii="Times New Roman" w:hAnsi="Times New Roman"/>
                <w:b w:val="0"/>
                <w:sz w:val="16"/>
              </w:rPr>
              <w:t>live, instagram, tune,</w:t>
              <w:br/>
              <w:t>tonight, ig, go, dive, tour,</w:t>
              <w:br/>
              <w:t>bar, edition</w:t>
            </w:r>
          </w:p>
        </w:tc>
        <w:tc>
          <w:tcPr>
            <w:tcW w:type="dxa" w:w="2340"/>
          </w:tcPr>
          <w:p>
            <w:r>
              <w:rPr>
                <w:rFonts w:ascii="Times New Roman" w:hAnsi="Times New Roman"/>
                <w:b w:val="0"/>
                <w:sz w:val="16"/>
              </w:rPr>
              <w:t>Going live now! doing a little</w:t>
              <w:br/>
              <w:t>thing with @budlight tonight</w:t>
              <w:br/>
              <w:t>on IG and facebook live. come</w:t>
              <w:br/>
              <w:t>hang 6pm pst / 9pm est</w:t>
              <w:br/>
              <w:t>#divebartour</w:t>
            </w:r>
          </w:p>
        </w:tc>
      </w:tr>
      <w:tr>
        <w:tc>
          <w:tcPr>
            <w:tcW w:type="dxa" w:w="2340"/>
          </w:tcPr>
          <w:p>
            <w:r>
              <w:rPr>
                <w:rFonts w:ascii="Times New Roman" w:hAnsi="Times New Roman"/>
                <w:b w:val="0"/>
                <w:sz w:val="16"/>
              </w:rPr>
            </w:r>
          </w:p>
        </w:tc>
        <w:tc>
          <w:tcPr>
            <w:tcW w:type="dxa" w:w="2340"/>
          </w:tcPr>
          <w:p>
            <w:r>
              <w:rPr>
                <w:rFonts w:ascii="Times New Roman" w:hAnsi="Times New Roman"/>
                <w:b w:val="0"/>
                <w:sz w:val="16"/>
              </w:rPr>
              <w:t>Pandemic Social</w:t>
              <w:br/>
              <w:t>Engagement &amp;</w:t>
              <w:br/>
              <w:t>Promotions</w:t>
            </w:r>
          </w:p>
        </w:tc>
        <w:tc>
          <w:tcPr>
            <w:tcW w:type="dxa" w:w="2340"/>
          </w:tcPr>
          <w:p>
            <w:r>
              <w:rPr>
                <w:rFonts w:ascii="Times New Roman" w:hAnsi="Times New Roman"/>
                <w:b w:val="0"/>
                <w:sz w:val="16"/>
              </w:rPr>
              <w:t>whassup, say, tag, win,</w:t>
              <w:br/>
              <w:t>merch, friend, chance,</w:t>
              <w:br/>
              <w:t>need, collection, week</w:t>
            </w:r>
          </w:p>
        </w:tc>
        <w:tc>
          <w:tcPr>
            <w:tcW w:type="dxa" w:w="2340"/>
          </w:tcPr>
          <w:p>
            <w:r>
              <w:rPr>
                <w:rFonts w:ascii="Times New Roman" w:hAnsi="Times New Roman"/>
                <w:b w:val="0"/>
                <w:sz w:val="16"/>
              </w:rPr>
              <w:t>Win fresh Bud Whassup</w:t>
              <w:br/>
              <w:t>crewnecks for your happy hour</w:t>
              <w:br/>
              <w:t>crew! RETWEET + FOLLOW</w:t>
              <w:br/>
              <w:t>for the chance to outfit your</w:t>
              <w:br/>
              <w:t>crew.</w:t>
            </w:r>
          </w:p>
        </w:tc>
      </w:tr>
      <w:tr>
        <w:tc>
          <w:tcPr>
            <w:tcW w:type="dxa" w:w="2340"/>
          </w:tcPr>
          <w:p>
            <w:r>
              <w:rPr>
                <w:rFonts w:ascii="Times New Roman" w:hAnsi="Times New Roman"/>
                <w:b w:val="0"/>
                <w:sz w:val="16"/>
              </w:rPr>
              <w:t>Sports</w:t>
            </w:r>
          </w:p>
        </w:tc>
        <w:tc>
          <w:tcPr>
            <w:tcW w:type="dxa" w:w="2340"/>
          </w:tcPr>
          <w:p>
            <w:r>
              <w:rPr>
                <w:rFonts w:ascii="Times New Roman" w:hAnsi="Times New Roman"/>
                <w:b w:val="0"/>
                <w:sz w:val="16"/>
              </w:rPr>
              <w:t>Virtual NFL Draft</w:t>
              <w:br/>
              <w:t>Party with Celebrity</w:t>
              <w:br/>
              <w:t>Hosts</w:t>
            </w:r>
          </w:p>
        </w:tc>
        <w:tc>
          <w:tcPr>
            <w:tcW w:type="dxa" w:w="2340"/>
          </w:tcPr>
          <w:p>
            <w:r>
              <w:rPr>
                <w:rFonts w:ascii="Times New Roman" w:hAnsi="Times New Roman"/>
                <w:b w:val="0"/>
                <w:sz w:val="16"/>
              </w:rPr>
              <w:t>draft, boo, commish, nfl,</w:t>
              <w:br/>
              <w:t>youtube, drafterparty,</w:t>
              <w:br/>
              <w:t>robgronkowski, guest,</w:t>
              <w:br/>
              <w:t>host, camillekostek</w:t>
            </w:r>
          </w:p>
        </w:tc>
        <w:tc>
          <w:tcPr>
            <w:tcW w:type="dxa" w:w="2340"/>
          </w:tcPr>
          <w:p>
            <w:r>
              <w:rPr>
                <w:rFonts w:ascii="Times New Roman" w:hAnsi="Times New Roman"/>
                <w:b w:val="0"/>
                <w:sz w:val="16"/>
              </w:rPr>
              <w:t>TONIGHT!!!! @nfl @budlight</w:t>
            </w:r>
          </w:p>
        </w:tc>
      </w:tr>
      <w:tr>
        <w:tc>
          <w:tcPr>
            <w:tcW w:type="dxa" w:w="2340"/>
          </w:tcPr>
          <w:p>
            <w:r>
              <w:rPr>
                <w:rFonts w:ascii="Times New Roman" w:hAnsi="Times New Roman"/>
                <w:b w:val="0"/>
                <w:sz w:val="16"/>
              </w:rPr>
            </w:r>
          </w:p>
        </w:tc>
        <w:tc>
          <w:tcPr>
            <w:tcW w:type="dxa" w:w="2340"/>
          </w:tcPr>
          <w:p>
            <w:r>
              <w:rPr>
                <w:rFonts w:ascii="Times New Roman" w:hAnsi="Times New Roman"/>
                <w:b w:val="0"/>
                <w:sz w:val="16"/>
              </w:rPr>
              <w:t>Home Sports</w:t>
              <w:br/>
              <w:t>Challenge Campaigns</w:t>
            </w:r>
          </w:p>
        </w:tc>
        <w:tc>
          <w:tcPr>
            <w:tcW w:type="dxa" w:w="2340"/>
          </w:tcPr>
          <w:p>
            <w:r>
              <w:rPr>
                <w:rFonts w:ascii="Times New Roman" w:hAnsi="Times New Roman"/>
                <w:b w:val="0"/>
                <w:sz w:val="16"/>
              </w:rPr>
              <w:t>challenge, team, house,</w:t>
              <w:br/>
              <w:t>sport, league, submit,</w:t>
              <w:br/>
              <w:t>home, athlete, chance,</w:t>
              <w:br/>
              <w:t>video</w:t>
            </w:r>
          </w:p>
        </w:tc>
        <w:tc>
          <w:tcPr>
            <w:tcW w:type="dxa" w:w="2340"/>
          </w:tcPr>
          <w:p>
            <w:r>
              <w:rPr>
                <w:rFonts w:ascii="Times New Roman" w:hAnsi="Times New Roman"/>
                <w:b w:val="0"/>
                <w:sz w:val="16"/>
              </w:rPr>
              <w:t>Want to win a @trulyseltzer</w:t>
              <w:br/>
              <w:t>putting mat? Show us your</w:t>
              <w:br/>
              <w:t>#dailyninesetup. Photo, video,</w:t>
              <w:br/>
              <w:t>putting, chipping, whatever.</w:t>
              <w:br/>
              <w:t>Show us.</w:t>
            </w:r>
          </w:p>
        </w:tc>
      </w:tr>
      <w:tr>
        <w:tc>
          <w:tcPr>
            <w:tcW w:type="dxa" w:w="2340"/>
          </w:tcPr>
          <w:p>
            <w:r>
              <w:rPr>
                <w:rFonts w:ascii="Times New Roman" w:hAnsi="Times New Roman"/>
                <w:b w:val="0"/>
                <w:sz w:val="16"/>
              </w:rPr>
              <w:t>Gaming</w:t>
            </w:r>
          </w:p>
        </w:tc>
        <w:tc>
          <w:tcPr>
            <w:tcW w:type="dxa" w:w="2340"/>
          </w:tcPr>
          <w:p>
            <w:r>
              <w:rPr>
                <w:rFonts w:ascii="Times New Roman" w:hAnsi="Times New Roman"/>
                <w:b w:val="0"/>
                <w:sz w:val="16"/>
              </w:rPr>
              <w:t>Charity Gaming</w:t>
              <w:br/>
              <w:t>Events by Alcohol</w:t>
              <w:br/>
              <w:t>Brands</w:t>
            </w:r>
          </w:p>
        </w:tc>
        <w:tc>
          <w:tcPr>
            <w:tcW w:type="dxa" w:w="2340"/>
          </w:tcPr>
          <w:p>
            <w:r>
              <w:rPr>
                <w:rFonts w:ascii="Times New Roman" w:hAnsi="Times New Roman"/>
                <w:b w:val="0"/>
                <w:sz w:val="16"/>
              </w:rPr>
              <w:t>royale, twitch, tv, charity,</w:t>
              <w:br/>
              <w:t>money, tonight, dkm,</w:t>
              <w:br/>
              <w:t>therealgavinlux, snellzilla,</w:t>
              <w:br/>
              <w:t>final</w:t>
            </w:r>
          </w:p>
        </w:tc>
        <w:tc>
          <w:tcPr>
            <w:tcW w:type="dxa" w:w="2340"/>
          </w:tcPr>
          <w:p>
            <w:r>
              <w:rPr>
                <w:rFonts w:ascii="Times New Roman" w:hAnsi="Times New Roman"/>
                <w:b w:val="0"/>
                <w:sz w:val="16"/>
              </w:rPr>
              <w:t>Excited to announce the Bud</w:t>
              <w:br/>
              <w:t>Light Seltzer Charity Royale.</w:t>
              <w:br/>
              <w:t>24 pro athletes compete in</w:t>
              <w:br/>
              <w:t>Call of Duty: Warzone to raise</w:t>
              <w:br/>
              <w:t>money for awesome local</w:t>
              <w:br/>
              <w:t>causes. Live right now on</w:t>
              <w:br/>
              <w:t>http://Twitch.tv/BudLight.</w:t>
              <w:br/>
              <w:t>Tune in!</w:t>
            </w:r>
          </w:p>
        </w:tc>
      </w:tr>
    </w:tbl>
    <w:p/>
    <w:p>
      <w:pPr>
        <w:pStyle w:val="Heading2"/>
      </w:pPr>
      <w:r>
        <w:t>Classification</w:t>
      </w:r>
    </w:p>
    <w:p>
      <w:r>
        <w:t>All 5,872 tweets were classified into the five themes using GPT-4o with structured prompting. Classification validity was established by comparing GPT-4o labels against human coding of a random subsample of 250 tweets, yielding agreement exceeding 85%. Tweets that did not clearly map to any theme were categorized as unclassified and excluded from prevalence analyses.</w:t>
      </w:r>
    </w:p>
    <w:p>
      <w:pPr>
        <w:pStyle w:val="Heading2"/>
      </w:pPr>
      <w:r>
        <w:t>Prevalence Analysis</w:t>
      </w:r>
    </w:p>
    <w:p>
      <w:r>
        <w:t>Theme prevalence was calculated as the proportion of classified tweets assigned to each theme within each time period. Proportional z-tests were used to compare prevalence across the three periods (pre-pandemic, peri-lockdown, post-lockdown), with Bonferroni correction applied to account for multiple comparisons (5 themes × 3 comparisons = 15 tests; corrected α = 0.0033). Analyses were conducted in Stata 17 (StataCorp, 2021).</w:t>
      </w:r>
    </w:p>
    <w:p>
      <w:pPr>
        <w:pStyle w:val="Heading2"/>
      </w:pPr>
      <w:r>
        <w:t>Sentiment Analysis</w:t>
      </w:r>
    </w:p>
    <w:p>
      <w:r>
        <w:t>To describe the communication mechanisms used in these themes during the peri-pandemic period as framed by the DSMM (Valkenburg &amp; Peter, 2013), the entire collection of tweets for each theme was analyzed using LIWC (Chung et al., 2012; Boyd et al., 2022). LIWC functions as a linguistic magnifying glass, helping researchers understand the frequency of specific word types to gain insights into emotional states, social concerns, and thinking styles reflected in written content.</w:t>
      </w:r>
    </w:p>
    <w:p>
      <w:pPr>
        <w:pStyle w:val="Heading1"/>
      </w:pPr>
      <w:r>
        <w:t>Results</w:t>
      </w:r>
    </w:p>
    <w:p>
      <w:r>
        <w:t>The BERTopic pipeline identified an optimal 7-topic model (c_v coherence = 0.768) from 1,200 candidate models, which was synthesized into five marketing themes (Table 2). Table 3 presents the prevalence of each theme across the three pandemic periods.</w:t>
      </w:r>
    </w:p>
    <w:p>
      <w:r>
        <w:rPr>
          <w:rFonts w:ascii="Times New Roman" w:hAnsi="Times New Roman"/>
          <w:b/>
          <w:i/>
          <w:sz w:val="20"/>
        </w:rPr>
        <w:t>Table 3. Theme Prevalence Across Periods</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rFonts w:ascii="Times New Roman" w:hAnsi="Times New Roman"/>
                <w:b/>
                <w:sz w:val="18"/>
              </w:rPr>
              <w:t>Theme</w:t>
            </w:r>
          </w:p>
        </w:tc>
        <w:tc>
          <w:tcPr>
            <w:tcW w:type="dxa" w:w="1337"/>
          </w:tcPr>
          <w:p>
            <w:r>
              <w:rPr>
                <w:rFonts w:ascii="Times New Roman" w:hAnsi="Times New Roman"/>
                <w:b/>
                <w:sz w:val="18"/>
              </w:rPr>
              <w:t>Pre (%)</w:t>
            </w:r>
          </w:p>
        </w:tc>
        <w:tc>
          <w:tcPr>
            <w:tcW w:type="dxa" w:w="1337"/>
          </w:tcPr>
          <w:p>
            <w:r>
              <w:rPr>
                <w:rFonts w:ascii="Times New Roman" w:hAnsi="Times New Roman"/>
                <w:b/>
                <w:sz w:val="18"/>
              </w:rPr>
              <w:t>Peri (%)</w:t>
            </w:r>
          </w:p>
        </w:tc>
        <w:tc>
          <w:tcPr>
            <w:tcW w:type="dxa" w:w="1337"/>
          </w:tcPr>
          <w:p>
            <w:r>
              <w:rPr>
                <w:rFonts w:ascii="Times New Roman" w:hAnsi="Times New Roman"/>
                <w:b/>
                <w:sz w:val="18"/>
              </w:rPr>
              <w:t>Post (%)</w:t>
            </w:r>
          </w:p>
        </w:tc>
        <w:tc>
          <w:tcPr>
            <w:tcW w:type="dxa" w:w="1337"/>
          </w:tcPr>
          <w:p>
            <w:r>
              <w:rPr>
                <w:rFonts w:ascii="Times New Roman" w:hAnsi="Times New Roman"/>
                <w:b/>
                <w:sz w:val="18"/>
              </w:rPr>
              <w:t>Pre→Peri z (p)</w:t>
            </w:r>
          </w:p>
        </w:tc>
        <w:tc>
          <w:tcPr>
            <w:tcW w:type="dxa" w:w="1337"/>
          </w:tcPr>
          <w:p>
            <w:r>
              <w:rPr>
                <w:rFonts w:ascii="Times New Roman" w:hAnsi="Times New Roman"/>
                <w:b/>
                <w:sz w:val="18"/>
              </w:rPr>
              <w:t>Peri→Post z (p)</w:t>
            </w:r>
          </w:p>
        </w:tc>
        <w:tc>
          <w:tcPr>
            <w:tcW w:type="dxa" w:w="1337"/>
          </w:tcPr>
          <w:p>
            <w:r>
              <w:rPr>
                <w:rFonts w:ascii="Times New Roman" w:hAnsi="Times New Roman"/>
                <w:b/>
                <w:sz w:val="18"/>
              </w:rPr>
              <w:t>Pre→Post z (p)</w:t>
            </w:r>
          </w:p>
        </w:tc>
      </w:tr>
      <w:tr>
        <w:tc>
          <w:tcPr>
            <w:tcW w:type="dxa" w:w="1337"/>
          </w:tcPr>
          <w:p>
            <w:r>
              <w:rPr>
                <w:rFonts w:ascii="Times New Roman" w:hAnsi="Times New Roman"/>
                <w:b w:val="0"/>
                <w:sz w:val="18"/>
              </w:rPr>
              <w:t>AD-ID</w:t>
            </w:r>
          </w:p>
        </w:tc>
        <w:tc>
          <w:tcPr>
            <w:tcW w:type="dxa" w:w="1337"/>
          </w:tcPr>
          <w:p>
            <w:r>
              <w:rPr>
                <w:rFonts w:ascii="Times New Roman" w:hAnsi="Times New Roman"/>
                <w:b w:val="0"/>
                <w:sz w:val="18"/>
              </w:rPr>
              <w:t>9.1</w:t>
            </w:r>
          </w:p>
        </w:tc>
        <w:tc>
          <w:tcPr>
            <w:tcW w:type="dxa" w:w="1337"/>
          </w:tcPr>
          <w:p>
            <w:r>
              <w:rPr>
                <w:rFonts w:ascii="Times New Roman" w:hAnsi="Times New Roman"/>
                <w:b w:val="0"/>
                <w:sz w:val="18"/>
              </w:rPr>
              <w:t>17.4</w:t>
            </w:r>
          </w:p>
        </w:tc>
        <w:tc>
          <w:tcPr>
            <w:tcW w:type="dxa" w:w="1337"/>
          </w:tcPr>
          <w:p>
            <w:r>
              <w:rPr>
                <w:rFonts w:ascii="Times New Roman" w:hAnsi="Times New Roman"/>
                <w:b w:val="0"/>
                <w:sz w:val="18"/>
              </w:rPr>
              <w:t>11.9</w:t>
            </w:r>
          </w:p>
        </w:tc>
        <w:tc>
          <w:tcPr>
            <w:tcW w:type="dxa" w:w="1337"/>
          </w:tcPr>
          <w:p>
            <w:r>
              <w:rPr>
                <w:rFonts w:ascii="Times New Roman" w:hAnsi="Times New Roman"/>
                <w:b w:val="0"/>
                <w:sz w:val="18"/>
              </w:rPr>
              <w:t>6.03 (&lt;0.001)*</w:t>
            </w:r>
          </w:p>
        </w:tc>
        <w:tc>
          <w:tcPr>
            <w:tcW w:type="dxa" w:w="1337"/>
          </w:tcPr>
          <w:p>
            <w:r>
              <w:rPr>
                <w:rFonts w:ascii="Times New Roman" w:hAnsi="Times New Roman"/>
                <w:b w:val="0"/>
                <w:sz w:val="18"/>
              </w:rPr>
              <w:t>-4.13 (&lt;0.001)*</w:t>
            </w:r>
          </w:p>
        </w:tc>
        <w:tc>
          <w:tcPr>
            <w:tcW w:type="dxa" w:w="1337"/>
          </w:tcPr>
          <w:p>
            <w:r>
              <w:rPr>
                <w:rFonts w:ascii="Times New Roman" w:hAnsi="Times New Roman"/>
                <w:b w:val="0"/>
                <w:sz w:val="18"/>
              </w:rPr>
              <w:t>2.98 (0.0029)*</w:t>
            </w:r>
          </w:p>
        </w:tc>
      </w:tr>
      <w:tr>
        <w:tc>
          <w:tcPr>
            <w:tcW w:type="dxa" w:w="1337"/>
          </w:tcPr>
          <w:p>
            <w:r>
              <w:rPr>
                <w:rFonts w:ascii="Times New Roman" w:hAnsi="Times New Roman"/>
                <w:b w:val="0"/>
                <w:sz w:val="18"/>
              </w:rPr>
              <w:t>Restaurant</w:t>
              <w:br/>
              <w:t>Support</w:t>
            </w:r>
          </w:p>
        </w:tc>
        <w:tc>
          <w:tcPr>
            <w:tcW w:type="dxa" w:w="1337"/>
          </w:tcPr>
          <w:p>
            <w:r>
              <w:rPr>
                <w:rFonts w:ascii="Times New Roman" w:hAnsi="Times New Roman"/>
                <w:b w:val="0"/>
                <w:sz w:val="18"/>
              </w:rPr>
              <w:t>1.9</w:t>
            </w:r>
          </w:p>
        </w:tc>
        <w:tc>
          <w:tcPr>
            <w:tcW w:type="dxa" w:w="1337"/>
          </w:tcPr>
          <w:p>
            <w:r>
              <w:rPr>
                <w:rFonts w:ascii="Times New Roman" w:hAnsi="Times New Roman"/>
                <w:b w:val="0"/>
                <w:sz w:val="18"/>
              </w:rPr>
              <w:t>5.5</w:t>
            </w:r>
          </w:p>
        </w:tc>
        <w:tc>
          <w:tcPr>
            <w:tcW w:type="dxa" w:w="1337"/>
          </w:tcPr>
          <w:p>
            <w:r>
              <w:rPr>
                <w:rFonts w:ascii="Times New Roman" w:hAnsi="Times New Roman"/>
                <w:b w:val="0"/>
                <w:sz w:val="18"/>
              </w:rPr>
              <w:t>1.7</w:t>
            </w:r>
          </w:p>
        </w:tc>
        <w:tc>
          <w:tcPr>
            <w:tcW w:type="dxa" w:w="1337"/>
          </w:tcPr>
          <w:p>
            <w:r>
              <w:rPr>
                <w:rFonts w:ascii="Times New Roman" w:hAnsi="Times New Roman"/>
                <w:b w:val="0"/>
                <w:sz w:val="18"/>
              </w:rPr>
              <w:t>4.89 (&lt;0.001)*</w:t>
            </w:r>
          </w:p>
        </w:tc>
        <w:tc>
          <w:tcPr>
            <w:tcW w:type="dxa" w:w="1337"/>
          </w:tcPr>
          <w:p>
            <w:r>
              <w:rPr>
                <w:rFonts w:ascii="Times New Roman" w:hAnsi="Times New Roman"/>
                <w:b w:val="0"/>
                <w:sz w:val="18"/>
              </w:rPr>
              <w:t>-6.18 (&lt;0.001)*</w:t>
            </w:r>
          </w:p>
        </w:tc>
        <w:tc>
          <w:tcPr>
            <w:tcW w:type="dxa" w:w="1337"/>
          </w:tcPr>
          <w:p>
            <w:r>
              <w:rPr>
                <w:rFonts w:ascii="Times New Roman" w:hAnsi="Times New Roman"/>
                <w:b w:val="0"/>
                <w:sz w:val="18"/>
              </w:rPr>
              <w:t>-0.50 (0.62)</w:t>
            </w:r>
          </w:p>
        </w:tc>
      </w:tr>
      <w:tr>
        <w:tc>
          <w:tcPr>
            <w:tcW w:type="dxa" w:w="1337"/>
          </w:tcPr>
          <w:p>
            <w:r>
              <w:rPr>
                <w:rFonts w:ascii="Times New Roman" w:hAnsi="Times New Roman"/>
                <w:b w:val="0"/>
                <w:sz w:val="18"/>
              </w:rPr>
              <w:t>Social Media</w:t>
              <w:br/>
              <w:t>Promotions</w:t>
            </w:r>
          </w:p>
        </w:tc>
        <w:tc>
          <w:tcPr>
            <w:tcW w:type="dxa" w:w="1337"/>
          </w:tcPr>
          <w:p>
            <w:r>
              <w:rPr>
                <w:rFonts w:ascii="Times New Roman" w:hAnsi="Times New Roman"/>
                <w:b w:val="0"/>
                <w:sz w:val="18"/>
              </w:rPr>
              <w:t>6.6</w:t>
            </w:r>
          </w:p>
        </w:tc>
        <w:tc>
          <w:tcPr>
            <w:tcW w:type="dxa" w:w="1337"/>
          </w:tcPr>
          <w:p>
            <w:r>
              <w:rPr>
                <w:rFonts w:ascii="Times New Roman" w:hAnsi="Times New Roman"/>
                <w:b w:val="0"/>
                <w:sz w:val="18"/>
              </w:rPr>
              <w:t>16.5</w:t>
            </w:r>
          </w:p>
        </w:tc>
        <w:tc>
          <w:tcPr>
            <w:tcW w:type="dxa" w:w="1337"/>
          </w:tcPr>
          <w:p>
            <w:r>
              <w:rPr>
                <w:rFonts w:ascii="Times New Roman" w:hAnsi="Times New Roman"/>
                <w:b w:val="0"/>
                <w:sz w:val="18"/>
              </w:rPr>
              <w:t>10.6</w:t>
            </w:r>
          </w:p>
        </w:tc>
        <w:tc>
          <w:tcPr>
            <w:tcW w:type="dxa" w:w="1337"/>
          </w:tcPr>
          <w:p>
            <w:r>
              <w:rPr>
                <w:rFonts w:ascii="Times New Roman" w:hAnsi="Times New Roman"/>
                <w:b w:val="0"/>
                <w:sz w:val="18"/>
              </w:rPr>
              <w:t>7.80 (&lt;0.001)*</w:t>
            </w:r>
          </w:p>
        </w:tc>
        <w:tc>
          <w:tcPr>
            <w:tcW w:type="dxa" w:w="1337"/>
          </w:tcPr>
          <w:p>
            <w:r>
              <w:rPr>
                <w:rFonts w:ascii="Times New Roman" w:hAnsi="Times New Roman"/>
                <w:b w:val="0"/>
                <w:sz w:val="18"/>
              </w:rPr>
              <w:t>-4.62 (&lt;0.001)*</w:t>
            </w:r>
          </w:p>
        </w:tc>
        <w:tc>
          <w:tcPr>
            <w:tcW w:type="dxa" w:w="1337"/>
          </w:tcPr>
          <w:p>
            <w:r>
              <w:rPr>
                <w:rFonts w:ascii="Times New Roman" w:hAnsi="Times New Roman"/>
                <w:b w:val="0"/>
                <w:sz w:val="18"/>
              </w:rPr>
              <w:t>4.59 (&lt;0.001)*</w:t>
            </w:r>
          </w:p>
        </w:tc>
      </w:tr>
      <w:tr>
        <w:tc>
          <w:tcPr>
            <w:tcW w:type="dxa" w:w="1337"/>
          </w:tcPr>
          <w:p>
            <w:r>
              <w:rPr>
                <w:rFonts w:ascii="Times New Roman" w:hAnsi="Times New Roman"/>
                <w:b w:val="0"/>
                <w:sz w:val="18"/>
              </w:rPr>
              <w:t>Sports</w:t>
            </w:r>
          </w:p>
        </w:tc>
        <w:tc>
          <w:tcPr>
            <w:tcW w:type="dxa" w:w="1337"/>
          </w:tcPr>
          <w:p>
            <w:r>
              <w:rPr>
                <w:rFonts w:ascii="Times New Roman" w:hAnsi="Times New Roman"/>
                <w:b w:val="0"/>
                <w:sz w:val="18"/>
              </w:rPr>
              <w:t>8.2</w:t>
            </w:r>
          </w:p>
        </w:tc>
        <w:tc>
          <w:tcPr>
            <w:tcW w:type="dxa" w:w="1337"/>
          </w:tcPr>
          <w:p>
            <w:r>
              <w:rPr>
                <w:rFonts w:ascii="Times New Roman" w:hAnsi="Times New Roman"/>
                <w:b w:val="0"/>
                <w:sz w:val="18"/>
              </w:rPr>
              <w:t>11.4</w:t>
            </w:r>
          </w:p>
        </w:tc>
        <w:tc>
          <w:tcPr>
            <w:tcW w:type="dxa" w:w="1337"/>
          </w:tcPr>
          <w:p>
            <w:r>
              <w:rPr>
                <w:rFonts w:ascii="Times New Roman" w:hAnsi="Times New Roman"/>
                <w:b w:val="0"/>
                <w:sz w:val="18"/>
              </w:rPr>
              <w:t>8.9</w:t>
            </w:r>
          </w:p>
        </w:tc>
        <w:tc>
          <w:tcPr>
            <w:tcW w:type="dxa" w:w="1337"/>
          </w:tcPr>
          <w:p>
            <w:r>
              <w:rPr>
                <w:rFonts w:ascii="Times New Roman" w:hAnsi="Times New Roman"/>
                <w:b w:val="0"/>
                <w:sz w:val="18"/>
              </w:rPr>
              <w:t>2.59 (0.01)</w:t>
            </w:r>
          </w:p>
        </w:tc>
        <w:tc>
          <w:tcPr>
            <w:tcW w:type="dxa" w:w="1337"/>
          </w:tcPr>
          <w:p>
            <w:r>
              <w:rPr>
                <w:rFonts w:ascii="Times New Roman" w:hAnsi="Times New Roman"/>
                <w:b w:val="0"/>
                <w:sz w:val="18"/>
              </w:rPr>
              <w:t>-2.17 (0.03)</w:t>
            </w:r>
          </w:p>
        </w:tc>
        <w:tc>
          <w:tcPr>
            <w:tcW w:type="dxa" w:w="1337"/>
          </w:tcPr>
          <w:p>
            <w:r>
              <w:rPr>
                <w:rFonts w:ascii="Times New Roman" w:hAnsi="Times New Roman"/>
                <w:b w:val="0"/>
                <w:sz w:val="18"/>
              </w:rPr>
              <w:t>0.83 (0.41)</w:t>
            </w:r>
          </w:p>
        </w:tc>
      </w:tr>
      <w:tr>
        <w:tc>
          <w:tcPr>
            <w:tcW w:type="dxa" w:w="1337"/>
          </w:tcPr>
          <w:p>
            <w:r>
              <w:rPr>
                <w:rFonts w:ascii="Times New Roman" w:hAnsi="Times New Roman"/>
                <w:b w:val="0"/>
                <w:sz w:val="18"/>
              </w:rPr>
              <w:t>Gaming</w:t>
            </w:r>
          </w:p>
        </w:tc>
        <w:tc>
          <w:tcPr>
            <w:tcW w:type="dxa" w:w="1337"/>
          </w:tcPr>
          <w:p>
            <w:r>
              <w:rPr>
                <w:rFonts w:ascii="Times New Roman" w:hAnsi="Times New Roman"/>
                <w:b w:val="0"/>
                <w:sz w:val="18"/>
              </w:rPr>
              <w:t>1.1</w:t>
            </w:r>
          </w:p>
        </w:tc>
        <w:tc>
          <w:tcPr>
            <w:tcW w:type="dxa" w:w="1337"/>
          </w:tcPr>
          <w:p>
            <w:r>
              <w:rPr>
                <w:rFonts w:ascii="Times New Roman" w:hAnsi="Times New Roman"/>
                <w:b w:val="0"/>
                <w:sz w:val="18"/>
              </w:rPr>
              <w:t>2.0</w:t>
            </w:r>
          </w:p>
        </w:tc>
        <w:tc>
          <w:tcPr>
            <w:tcW w:type="dxa" w:w="1337"/>
          </w:tcPr>
          <w:p>
            <w:r>
              <w:rPr>
                <w:rFonts w:ascii="Times New Roman" w:hAnsi="Times New Roman"/>
                <w:b w:val="0"/>
                <w:sz w:val="18"/>
              </w:rPr>
              <w:t>1.6</w:t>
            </w:r>
          </w:p>
        </w:tc>
        <w:tc>
          <w:tcPr>
            <w:tcW w:type="dxa" w:w="1337"/>
          </w:tcPr>
          <w:p>
            <w:r>
              <w:rPr>
                <w:rFonts w:ascii="Times New Roman" w:hAnsi="Times New Roman"/>
                <w:b w:val="0"/>
                <w:sz w:val="18"/>
              </w:rPr>
              <w:t>1.80 (0.07)</w:t>
            </w:r>
          </w:p>
        </w:tc>
        <w:tc>
          <w:tcPr>
            <w:tcW w:type="dxa" w:w="1337"/>
          </w:tcPr>
          <w:p>
            <w:r>
              <w:rPr>
                <w:rFonts w:ascii="Times New Roman" w:hAnsi="Times New Roman"/>
                <w:b w:val="0"/>
                <w:sz w:val="18"/>
              </w:rPr>
              <w:t>-0.79 (0.43)</w:t>
            </w:r>
          </w:p>
        </w:tc>
        <w:tc>
          <w:tcPr>
            <w:tcW w:type="dxa" w:w="1337"/>
          </w:tcPr>
          <w:p>
            <w:r>
              <w:rPr>
                <w:rFonts w:ascii="Times New Roman" w:hAnsi="Times New Roman"/>
                <w:b w:val="0"/>
                <w:sz w:val="18"/>
              </w:rPr>
              <w:t>1.40 (0.16)</w:t>
            </w:r>
          </w:p>
        </w:tc>
      </w:tr>
    </w:tbl>
    <w:p>
      <w:r>
        <w:rPr>
          <w:rFonts w:ascii="Times New Roman" w:hAnsi="Times New Roman"/>
          <w:i/>
          <w:sz w:val="18"/>
        </w:rPr>
        <w:t>Note. * = statistically significant at Bonferroni-corrected α = 0.0033.</w:t>
      </w:r>
    </w:p>
    <w:p/>
    <w:p>
      <w:r>
        <w:t>Three themes demonstrated statistically significant increases from the pre-pandemic to the peri-lockdown period. AD-ID prevalence rose from 9.1% to 17.4%, an increase of 91.2% (z = 6.03, p &lt; 0.001). Restaurant Support increased from 1.9% to 5.5%, a 189.5% increase (z = 4.89, p &lt; 0.001). Social Media Promotions rose from 6.6% to 16.5%, a 150.0% increase (z = 7.80, p &lt; 0.001). These increases were substantively large, reflecting a rapid reorientation of marketing emphasis during lockdowns.</w:t>
      </w:r>
    </w:p>
    <w:p>
      <w:r>
        <w:t>Critically, not all increases were transient. AD-ID prevalence remained significantly elevated in the post-lockdown period (11.9%) relative to pre-pandemic levels (z = 2.98, p = 0.0029), though it significantly declined from the peri-lockdown peak (z = -4.13, p &lt; 0.001). Social Media Promotions similarly remained elevated post-lockdown (10.6%) relative to pre-pandemic levels (z = 4.59, p &lt; 0.001), with a significant decline from the peri-lockdown peak (z = -4.62, p &lt; 0.001). In contrast, Restaurant Support returned to near-baseline levels in the post-lockdown period (1.7%; peri→post z = -6.18, p &lt; 0.001), with no significant difference between pre- and post-pandemic levels (z = -0.50, p = 0.62), suggesting this was a temporary crisis response. Sports and Gaming themes showed no significant changes across any period at the Bonferroni-corrected threshold.</w:t>
      </w:r>
    </w:p>
    <w:p>
      <w:pPr>
        <w:pStyle w:val="Heading2"/>
      </w:pPr>
      <w:r>
        <w:t>Sentiment Analysis</w:t>
      </w:r>
    </w:p>
    <w:p>
      <w:r>
        <w:t>Linguistic markers derived from LIWC provided a descriptive analysis of the five themes during the peri-pandemic response period in terms of their cognitive, emotional, and excitative characteristics.</w:t>
      </w:r>
    </w:p>
    <w:p>
      <w:r>
        <w:t>The AD-ID theme exhibited high analytical thinking (85.63%) with moderate clout (76.92%) and relatively low authenticity (36.78%), suggesting a guarded, strategic communication style. The notably higher tone score (80.16%) indicated predominantly positive emotional valence, with higher use of perceptual processes (9.64%) and spatial references (5.75%), and minimal negative emotions (0.22%) or conflict-related language (0%). The presence of food-related terms (4.89%) and physical references (5.84%) suggests content focused on sensory or experiential descriptions.</w:t>
      </w:r>
    </w:p>
    <w:p>
      <w:r>
        <w:t>The Restaurant Support theme presented the highest clout score (94.38%) and high analytical thinking (89.68%), coupled with the highest tone score (98.49%) across all themes. It showed relatively lower authenticity (9.14%), suggesting formal or carefully constructed content, with stronger social references (17.04%) and higher affiliation markers (7.77%). The complete absence of negation words (0%) and negative emotions (0%) reinforces its overwhelmingly positive orientation.</w:t>
      </w:r>
    </w:p>
    <w:p>
      <w:r>
        <w:t>The Social Media Promotions theme maintained relatively high analytical thinking (88.89%) and clout (93.8%), with moderate authenticity (32.37%). It showed the strongest perception-related content (12.04%) and motion references (2.73%), suggesting dynamic content, with high positive emotional tone (88.52%) and minimal negative emotions (0.20%).</w:t>
      </w:r>
    </w:p>
    <w:p>
      <w:r>
        <w:t>The Sports theme showed the second-highest analytical thinking score (92.32%) with relatively higher clout (87.37%), but a lower tone score (67.22%). The Gaming theme exhibited the highest analytical thinking (98.37%) but lower clout (71.90%) and tone (51.75%), with the highest use of big words (26.99%) and numbers (10.02%), suggesting technical or specialized content.</w:t>
      </w:r>
    </w:p>
    <w:p>
      <w:r>
        <w:t>Through the DSMM lens (Valkenburg &amp; Peter, 2013), the consistently high analytical scores (85.63%–98.37%) suggest content that elicits substantial cognitive engagement. The emotional processing dimension showed a gradient, with AD-ID, Restaurant Support, and Social Media Promotions displaying high positive emotional tone (80.16%–98.49%) and minimal negative affect—suggesting emotionally engaging and accessible content—while Sports and Gaming shifted toward more neutral, technically-oriented content (67.22% and 51.75%, respectively). Regarding excitative processes, Restaurant Support’s high social and affiliation markers (17.04% and 7.77%) may facilitate stronger state excitation through social engagement, while Social Media Promotions’ elevated perceptual (12.04%) and motion references (2.73%) suggest different levels of arousal potential.</w:t>
      </w:r>
    </w:p>
    <w:p>
      <w:pPr>
        <w:pStyle w:val="Heading1"/>
      </w:pPr>
      <w:r>
        <w:t>Discussion</w:t>
      </w:r>
    </w:p>
    <w:p>
      <w:r>
        <w:t>This study provides the first longitudinal, quantitative analysis of alcohol marketing theme prevalence on social media across pre-pandemic, lockdown, and post-lockdown periods. The findings support the hypothesis that alcohol brands rapidly amplified specific marketing themes during COVID-19 lockdowns and, importantly, demonstrate that some of these shifts persisted beyond the acute crisis period.</w:t>
      </w:r>
    </w:p>
    <w:p>
      <w:r>
        <w:t>The durability of the AD-ID theme is particularly concerning from a public health perspective. Alcohol delivery and isolation drinking messaging nearly doubled during lockdowns (from 9.1% to 17.4%) and remained significantly elevated at 11.9% even after restrictions eased. This pattern suggests that the pandemic may have accelerated a structural shift in how the alcohol industry markets its products—normalizing home delivery and solitary consumption as routine rather than crisis-specific behaviors. This finding aligns with and extends qualitative observations by Martino et al. (2021) and Gerritsen et al. (2021), who identified similar themes but could not assess their trajectory over time. The persistence of these themes is especially concerning given the established association between alcohol marketing exposure and increased alcohol use (Anderson et al., 2009; Smith et al., 2009; Jernigan et al., 2017) and the concurrent increase in alcohol-related deaths during this period (White et al., 2022).</w:t>
      </w:r>
    </w:p>
    <w:p>
      <w:r>
        <w:t>The transient nature of Restaurant Support messaging is consistent with a corporate social responsibility (CSR) interpretation: brands promoted restaurant partnerships during acute closures but reverted to other strategies once the immediate crisis passed. While supporting struggling restaurants was pro-social, CSR also serves alcohol companies via reputation management and direct advancement of commercial interests (Mialon et al., 2018; Yoon et al., 2013). By positioning themselves as champions of restaurant recovery while simultaneously promoting home delivery and isolation drinking, alcohol companies created a dual narrative that both legitimized their pandemic response through apparent social responsibility and expanded direct-to-consumer channels.</w:t>
      </w:r>
    </w:p>
    <w:p>
      <w:r>
        <w:t>Social Media Promotions, while declining from their lockdown peak, remained significantly elevated (from 6.6% pre-pandemic to 10.6% post-pandemic, a 60.6% increase), suggesting that brands learned the effectiveness of digital engagement strategies and continued to invest in them. The intersection of intensified alcohol marketing and heightened social media use is especially concerning given the established association between social media use and increased risks for mental health problems and problematic substance use behaviors.</w:t>
      </w:r>
    </w:p>
    <w:p>
      <w:r>
        <w:t>Methodologically, this study demonstrates the utility of the Embedding-to-Explanation pipeline (Thomas, 2025) for analyzing marketing content at scale. The combination of BERTopic with systematic hyperparameter optimization, LLM-based naming, and validated GPT-4o classification provides a reproducible framework that addresses key limitations of both manual content analysis and traditional topic models. The pipeline’s open-source availability facilitates replication and extension to other marketing domains.</w:t>
      </w:r>
    </w:p>
    <w:p>
      <w:r>
        <w:t>Several limitations warrant acknowledgment. The sample included only 11 alcohol companies on a single platform (Twitter), limiting generalizability to broader industry practices or other social media environments. Twitter’s demographics (typically younger, urban, and technologically adept) may influence the types of themes identified. The observational design cannot establish a causal link between marketing exposure and alcohol consumption behaviors. Classification, while validated against human labels, relied on LLM inference and may contain systematic biases. The sentiment analysis was exploratory and descriptive, providing aggregate rankings rather than statistical tests. Future research should link marketing theme exposure to behavioral outcomes using prospective designs and extend analyses to platforms such as Instagram and TikTok, where alcohol marketing is increasingly concentrated.</w:t>
      </w:r>
    </w:p>
    <w:p>
      <w:pPr>
        <w:pStyle w:val="Heading1"/>
      </w:pPr>
      <w:r>
        <w:t>References</w:t>
      </w:r>
    </w:p>
    <w:p>
      <w:pPr>
        <w:spacing w:after="80"/>
        <w:ind w:hanging="720" w:left="720"/>
      </w:pPr>
      <w:r>
        <w:rPr>
          <w:rFonts w:ascii="Times New Roman" w:hAnsi="Times New Roman"/>
          <w:sz w:val="22"/>
        </w:rPr>
        <w:t>Anderson, P., de Bruijn, A., Angus, K., Gordon, R., &amp; Hastings, G. (2009). Impact of alcohol advertising and media exposure on adolescent alcohol use: A systematic review of longitudinal studies. Alcohol and Alcoholism, 44(3), 229–243.</w:t>
      </w:r>
    </w:p>
    <w:p>
      <w:pPr>
        <w:spacing w:after="80"/>
        <w:ind w:hanging="720" w:left="720"/>
      </w:pPr>
      <w:r>
        <w:rPr>
          <w:rFonts w:ascii="Times New Roman" w:hAnsi="Times New Roman"/>
          <w:sz w:val="22"/>
        </w:rPr>
        <w:t>Barry, A. E., Bates, A. M., Olusanya, O., Vinal, C. E., Martin, E., Peoples, J. E., ... &amp; Montano, J. R. (2016). Alcohol marketing on Twitter and Instagram: Evidence of directly advertising to youth/adolescents. Alcohol and Alcoholism, 51(4), 487–492.</w:t>
      </w:r>
    </w:p>
    <w:p>
      <w:pPr>
        <w:spacing w:after="80"/>
        <w:ind w:hanging="720" w:left="720"/>
      </w:pPr>
      <w:r>
        <w:rPr>
          <w:rFonts w:ascii="Times New Roman" w:hAnsi="Times New Roman"/>
          <w:sz w:val="22"/>
        </w:rPr>
        <w:t>Boyd, R. L., Ashokkumar, A., Seraj, S., &amp; Pennebaker, J. W. (2022). The Development and Psychometric Properties of LIWC-22. University of Texas at Austin.</w:t>
      </w:r>
    </w:p>
    <w:p>
      <w:pPr>
        <w:spacing w:after="80"/>
        <w:ind w:hanging="720" w:left="720"/>
      </w:pPr>
      <w:r>
        <w:rPr>
          <w:rFonts w:ascii="Times New Roman" w:hAnsi="Times New Roman"/>
          <w:sz w:val="22"/>
        </w:rPr>
        <w:t>Chung, C. K., &amp; Pennebaker, J. W. (2012). Linguistic inquiry and word count (LIWC): Pronounced “Luke”... and other useful facts. In P. M. McCarthy &amp; C. Boonthum-Denecke (Eds.), Applied Natural Language Processing (pp. 206–229). IGI Global.</w:t>
      </w:r>
    </w:p>
    <w:p>
      <w:pPr>
        <w:spacing w:after="80"/>
        <w:ind w:hanging="720" w:left="720"/>
      </w:pPr>
      <w:r>
        <w:rPr>
          <w:rFonts w:ascii="Times New Roman" w:hAnsi="Times New Roman"/>
          <w:sz w:val="22"/>
        </w:rPr>
        <w:t>Colbert, S., Wilkinson, C., Thornton, L., &amp; Richmond, R. (2020). COVID-19 and alcohol in Australia: Industry changes and public health impacts. Drug and Alcohol Review, 39(5), 435–440.</w:t>
      </w:r>
    </w:p>
    <w:p>
      <w:pPr>
        <w:spacing w:after="80"/>
        <w:ind w:hanging="720" w:left="720"/>
      </w:pPr>
      <w:r>
        <w:rPr>
          <w:rFonts w:ascii="Times New Roman" w:hAnsi="Times New Roman"/>
          <w:sz w:val="22"/>
        </w:rPr>
        <w:t>Gerritsen, S., Hasse, B., Jonsson, L., &amp; Wall, M. (2021). Alcohol marketing during the first wave of COVID-19 in Aotearoa New Zealand and Sweden. BMC Public Health, 21, 1–12.</w:t>
      </w:r>
    </w:p>
    <w:p>
      <w:pPr>
        <w:spacing w:after="80"/>
        <w:ind w:hanging="720" w:left="720"/>
      </w:pPr>
      <w:r>
        <w:rPr>
          <w:rFonts w:ascii="Times New Roman" w:hAnsi="Times New Roman"/>
          <w:sz w:val="22"/>
        </w:rPr>
        <w:t>Gillies, M., Murthy, D., Robinson, L., &amp; McCracken, H. (2022). Themes and topics: An integrated framework for qualitative and computational approaches to text analysis. Journal of Communication, 72(5), 550–570.</w:t>
      </w:r>
    </w:p>
    <w:p>
      <w:pPr>
        <w:spacing w:after="80"/>
        <w:ind w:hanging="720" w:left="720"/>
      </w:pPr>
      <w:r>
        <w:rPr>
          <w:rFonts w:ascii="Times New Roman" w:hAnsi="Times New Roman"/>
          <w:sz w:val="22"/>
        </w:rPr>
        <w:t>Grootendorst, M. (2022). BERTopic: Neural topic modeling with a class-based TF-IDF procedure. arXiv preprint arXiv:2203.05794.</w:t>
      </w:r>
    </w:p>
    <w:p>
      <w:pPr>
        <w:spacing w:after="80"/>
        <w:ind w:hanging="720" w:left="720"/>
      </w:pPr>
      <w:r>
        <w:rPr>
          <w:rFonts w:ascii="Times New Roman" w:hAnsi="Times New Roman"/>
          <w:sz w:val="22"/>
        </w:rPr>
        <w:t>Jernigan, D. H., &amp; Ross, C. S. (2020). The alcohol marketing landscape: Alcohol industry size, structure, strategies, and public health responses. Journal of Studies on Alcohol and Drugs, Supplement 19, 13–25.</w:t>
      </w:r>
    </w:p>
    <w:p>
      <w:pPr>
        <w:spacing w:after="80"/>
        <w:ind w:hanging="720" w:left="720"/>
      </w:pPr>
      <w:r>
        <w:rPr>
          <w:rFonts w:ascii="Times New Roman" w:hAnsi="Times New Roman"/>
          <w:sz w:val="22"/>
        </w:rPr>
        <w:t>Jernigan, D., Noel, J., Landon, J., Thornton, N., &amp; Lobstein, T. (2017). Alcohol marketing and youth alcohol consumption: A systematic review of longitudinal studies published since 2008. Addiction, 112(S1), 7–20.</w:t>
      </w:r>
    </w:p>
    <w:p>
      <w:pPr>
        <w:spacing w:after="80"/>
        <w:ind w:hanging="720" w:left="720"/>
      </w:pPr>
      <w:r>
        <w:rPr>
          <w:rFonts w:ascii="Times New Roman" w:hAnsi="Times New Roman"/>
          <w:sz w:val="22"/>
        </w:rPr>
        <w:t>Lacy-Nichols, J., Nandi, S., Gigànte, B., Robinson, A., &amp; McKee, M. (2023). The commercial determinants of health. The Lancet, 401(10383), 1229–1240.</w:t>
      </w:r>
    </w:p>
    <w:p>
      <w:pPr>
        <w:spacing w:after="80"/>
        <w:ind w:hanging="720" w:left="720"/>
      </w:pPr>
      <w:r>
        <w:rPr>
          <w:rFonts w:ascii="Times New Roman" w:hAnsi="Times New Roman"/>
          <w:sz w:val="22"/>
        </w:rPr>
        <w:t>Martino, F., Brooks, R., Browne, J., Carah, N., Zorbas, C., Corben, K., ... &amp; Backholer, K. (2021). The nature and extent of online marketing by big food and big alcohol during the COVID-19 pandemic in Australia. BMC Public Health, 21(1), 1–15.</w:t>
      </w:r>
    </w:p>
    <w:p>
      <w:pPr>
        <w:spacing w:after="80"/>
        <w:ind w:hanging="720" w:left="720"/>
      </w:pPr>
      <w:r>
        <w:rPr>
          <w:rFonts w:ascii="Times New Roman" w:hAnsi="Times New Roman"/>
          <w:sz w:val="22"/>
        </w:rPr>
        <w:t>Mialon, M., &amp; McCambridge, J. (2018). Alcohol industry corporate social responsibility initiatives and harmful drinking: A systematic review. European Journal of Public Health, 28(4), 664–672.</w:t>
      </w:r>
    </w:p>
    <w:p>
      <w:pPr>
        <w:spacing w:after="80"/>
        <w:ind w:hanging="720" w:left="720"/>
      </w:pPr>
      <w:r>
        <w:rPr>
          <w:rFonts w:ascii="Times New Roman" w:hAnsi="Times New Roman"/>
          <w:sz w:val="22"/>
        </w:rPr>
        <w:t>Pollard, M. S., Tucker, J. S., &amp; Green, H. D. (2020). Changes in adult alcohol use and consequences during the COVID-19 pandemic in the US. JAMA Network Open, 3(9), e2022942.</w:t>
      </w:r>
    </w:p>
    <w:p>
      <w:pPr>
        <w:spacing w:after="80"/>
        <w:ind w:hanging="720" w:left="720"/>
      </w:pPr>
      <w:r>
        <w:rPr>
          <w:rFonts w:ascii="Times New Roman" w:hAnsi="Times New Roman"/>
          <w:sz w:val="22"/>
        </w:rPr>
        <w:t>Qiang, J., Qian, Z., Li, Y., Yuan, Y., &amp; Wu, X. (2020). Short text topic modeling techniques, applications, and performance: A survey. IEEE Transactions on Knowledge and Data Engineering, 34(3), 1427–1445.</w:t>
      </w:r>
    </w:p>
    <w:p>
      <w:pPr>
        <w:spacing w:after="80"/>
        <w:ind w:hanging="720" w:left="720"/>
      </w:pPr>
      <w:r>
        <w:rPr>
          <w:rFonts w:ascii="Times New Roman" w:hAnsi="Times New Roman"/>
          <w:sz w:val="22"/>
        </w:rPr>
        <w:t>Röder, M., Both, A., &amp; Hinneburg, A. (2015). Exploring the space of topic coherence measures. Proceedings of the Eighth ACM International Conference on Web Search and Data Mining, 399–408.</w:t>
      </w:r>
    </w:p>
    <w:p>
      <w:pPr>
        <w:spacing w:after="80"/>
        <w:ind w:hanging="720" w:left="720"/>
      </w:pPr>
      <w:r>
        <w:rPr>
          <w:rFonts w:ascii="Times New Roman" w:hAnsi="Times New Roman"/>
          <w:sz w:val="22"/>
        </w:rPr>
        <w:t>Smith, L. A., &amp; Foxcroft, D. R. (2009). The effect of alcohol advertising, marketing and portrayal on drinking behaviour in young people: Systematic review of prospective cohort studies. BMC Public Health, 9, 51.</w:t>
      </w:r>
    </w:p>
    <w:p>
      <w:pPr>
        <w:spacing w:after="80"/>
        <w:ind w:hanging="720" w:left="720"/>
      </w:pPr>
      <w:r>
        <w:rPr>
          <w:rFonts w:ascii="Times New Roman" w:hAnsi="Times New Roman"/>
          <w:sz w:val="22"/>
        </w:rPr>
        <w:t>StataCorp. (2021). Stata Statistical Software: Release 17. StataCorp LLC.</w:t>
      </w:r>
    </w:p>
    <w:p>
      <w:pPr>
        <w:spacing w:after="80"/>
        <w:ind w:hanging="720" w:left="720"/>
      </w:pPr>
      <w:r>
        <w:rPr>
          <w:rFonts w:ascii="Times New Roman" w:hAnsi="Times New Roman"/>
          <w:sz w:val="22"/>
        </w:rPr>
        <w:t>Thomas, J. E. (2025). Embedding-to-Explanation: A BERTopic and Large Language Model Pipeline for Topic Discovery and Classification. Preprint.</w:t>
      </w:r>
    </w:p>
    <w:p>
      <w:pPr>
        <w:spacing w:after="80"/>
        <w:ind w:hanging="720" w:left="720"/>
      </w:pPr>
      <w:r>
        <w:rPr>
          <w:rFonts w:ascii="Times New Roman" w:hAnsi="Times New Roman"/>
          <w:sz w:val="22"/>
        </w:rPr>
        <w:t>Valkenburg, P. M., &amp; Peter, J. (2013). The Differential Susceptibility to Media Effects Model. Journal of Communication, 63(2), 221–243.</w:t>
      </w:r>
    </w:p>
    <w:p>
      <w:pPr>
        <w:spacing w:after="80"/>
        <w:ind w:hanging="720" w:left="720"/>
      </w:pPr>
      <w:r>
        <w:rPr>
          <w:rFonts w:ascii="Times New Roman" w:hAnsi="Times New Roman"/>
          <w:sz w:val="22"/>
        </w:rPr>
        <w:t>White, A. M., Castle, I. J., Powell, P. A., Hingson, R. W., &amp; Koob, G. F. (2022). Alcohol-related deaths during the COVID-19 pandemic. JAMA, 327(17), 1704–1706.</w:t>
      </w:r>
    </w:p>
    <w:p>
      <w:pPr>
        <w:spacing w:after="80"/>
        <w:ind w:hanging="720" w:left="720"/>
      </w:pPr>
      <w:r>
        <w:rPr>
          <w:rFonts w:ascii="Times New Roman" w:hAnsi="Times New Roman"/>
          <w:sz w:val="22"/>
        </w:rPr>
        <w:t>Wiederhold, B. K. (2020). Using social media to our advantage: Alleviating anxiety during a pandemic. Cyberpsychology, Behavior, and Social Networking, 23(4), 197–198.</w:t>
      </w:r>
    </w:p>
    <w:p>
      <w:pPr>
        <w:spacing w:after="80"/>
        <w:ind w:hanging="720" w:left="720"/>
      </w:pPr>
      <w:r>
        <w:rPr>
          <w:rFonts w:ascii="Times New Roman" w:hAnsi="Times New Roman"/>
          <w:sz w:val="22"/>
        </w:rPr>
        <w:t>Yoon, Y., Gürhan-Canli, Z., &amp; Schwarz, N. (2006). The effect of corporate social responsibility (CSR) activities on companies with bad reputations. Journal of Consumer Psychology, 16(4), 377–390.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