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xml:space="preserve">From: </w:t>
      </w:r>
      <w:r>
        <w:t>Jacob (Jake) Thomas</w:t>
      </w:r>
    </w:p>
    <w:p>
      <w:r>
        <w:rPr>
          <w:b/>
        </w:rPr>
        <w:t xml:space="preserve">To: </w:t>
      </w:r>
      <w:r>
        <w:t>Dr. Keryn Pasch</w:t>
      </w:r>
    </w:p>
    <w:p>
      <w:r>
        <w:rPr>
          <w:b/>
        </w:rPr>
        <w:t xml:space="preserve">Subject: </w:t>
      </w:r>
      <w:r>
        <w:t>Publication Plan for the Dissertation</w:t>
      </w:r>
    </w:p>
    <w:p>
      <w:r>
        <w:t>————————————————————————————————————————</w:t>
      </w:r>
    </w:p>
    <w:p>
      <w:r>
        <w:t>Hi Keryn,</w:t>
      </w:r>
    </w:p>
    <w:p>
      <w:r>
        <w:t>I wanted to let you know what my publication plan looks like for the dissertation. It’s going to be a little unconventional, but I’ve thought it through carefully, and I’m confident it’s the right approach given the circumstances.</w:t>
      </w:r>
    </w:p>
    <w:p>
      <w:r>
        <w:t>Here’s where things stand honestly: the data are from 2019–2021, the dissertation took seven years, and the field hasn’t been waiting around. The traditional route—two full-length journal articles, 6–12 months per round of review, revise, resubmit—would mean another one to two years before anything sees daylight. By then, the pandemic alcohol marketing literature will have moved on. The window for this work to land is now, not 2028.</w:t>
      </w:r>
    </w:p>
    <w:p>
      <w:r>
        <w:t>So here’s the plan. I’m breaking the dissertation into four outputs that can move quickly and reach different audiences:</w:t>
      </w:r>
    </w:p>
    <w:p>
      <w:pPr>
        <w:pStyle w:val="ListNumber"/>
      </w:pPr>
      <w:r>
        <w:rPr>
          <w:b/>
        </w:rPr>
        <w:t xml:space="preserve">A popular history book ("The Drinking Age"), based on Part A. </w:t>
      </w:r>
      <w:r>
        <w:t>I’ve already written a full historical account of the alcohol industry’s relationship with marketing regulation. There is genuinely nothing like it out there—no single book tells this story in an accessible way. This is a unique contribution that no journal article could capture, and it’s essentially ready to go.</w:t>
      </w:r>
    </w:p>
    <w:p>
      <w:pPr>
        <w:pStyle w:val="ListNumber"/>
      </w:pPr>
      <w:r>
        <w:rPr>
          <w:b/>
        </w:rPr>
        <w:t xml:space="preserve">A methodology preprint and open-source software tool. </w:t>
      </w:r>
      <w:r>
        <w:t>I’m calling the method Embedding-to-Explanation Topic Modeling (E2E). It’s the BERTopic + LLM pipeline I built for the dissertation—it uses Claude now for the explanation step—and I’m releasing it as both a preprint and a web app. Publishing the preprint immediately establishes priority on the methodology and gives it a citable home right away. The tool is already packaged and documented.</w:t>
      </w:r>
    </w:p>
    <w:p>
      <w:pPr>
        <w:pStyle w:val="ListNumber"/>
      </w:pPr>
      <w:r>
        <w:rPr>
          <w:b/>
        </w:rPr>
        <w:t xml:space="preserve">Two brief research reports, one for each study. </w:t>
      </w:r>
      <w:r>
        <w:t>Study 1 covers the topic model and prevalence analysis; Study 2 covers the cross-lagged panel model linking industry tweets to user-generated content. Both cite the E2E preprint for methodology, which keeps them concise and focused on the findings. Brief reports are peer-reviewed and respected—they’re just faster.</w:t>
      </w:r>
    </w:p>
    <w:p>
      <w:pPr>
        <w:pStyle w:val="ListNumber"/>
      </w:pPr>
      <w:r>
        <w:rPr>
          <w:b/>
        </w:rPr>
        <w:t xml:space="preserve">An HTML portfolio and dissection piece. </w:t>
      </w:r>
      <w:r>
        <w:t>A visual, interactive summary showing how all the pieces fit together. This serves double duty: it’s a demonstration piece for employers and collaborators, and it shows I can think strategically about research dissemination beyond just writing papers.</w:t>
      </w:r>
    </w:p>
    <w:p>
      <w:r>
        <w:t>The reason this works better than the conventional path comes down to a few things. Speed is the biggest—the data are aging, and this strategy gets findings out in months, not years. The E2E methodology is genuinely novel and deserves standalone publication rather than being buried in a methods section. The book is something no journal could accommodate. And each piece cites and builds on the others, so the result is a coherent body of work: the preprint establishes priority on the computational approach, the brief reports provide the empirical evidence, the book provides historical context, and the portfolio ties it all together.</w:t>
      </w:r>
    </w:p>
    <w:p>
      <w:r>
        <w:t>I really do appreciate everything you’ve done for me through this process, Keryn. Seven years is a long road, and your mentorship made the difference at more points than you probably realize. Thank you for that.</w:t>
      </w:r>
    </w:p>
    <w:p>
      <w:r>
        <w:t>I’ll keep you posted as things move forward.</w:t>
      </w:r>
    </w:p>
    <w:p/>
    <w:p>
      <w:r>
        <w:t>Jake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