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both"/>
      </w:pPr>
      <w:r>
        <w:rPr>
          <w:rFonts w:ascii="Times New Roman" w:hAnsi="Times New Roman"/>
          <w:b w:val="0"/>
          <w:i w:val="0"/>
          <w:sz w:val="24"/>
        </w:rPr>
      </w:r>
    </w:p>
    <w:p>
      <w:pPr>
        <w:spacing w:after="0" w:before="0" w:line="276" w:lineRule="auto"/>
        <w:jc w:val="both"/>
      </w:pPr>
      <w:r>
        <w:rPr>
          <w:rFonts w:ascii="Times New Roman" w:hAnsi="Times New Roman"/>
          <w:b w:val="0"/>
          <w:i w:val="0"/>
          <w:sz w:val="24"/>
        </w:rPr>
      </w:r>
    </w:p>
    <w:p>
      <w:pPr>
        <w:spacing w:after="0" w:before="0" w:line="276" w:lineRule="auto"/>
        <w:jc w:val="both"/>
      </w:pPr>
      <w:r>
        <w:rPr>
          <w:rFonts w:ascii="Times New Roman" w:hAnsi="Times New Roman"/>
          <w:b w:val="0"/>
          <w:i w:val="0"/>
          <w:sz w:val="24"/>
        </w:rPr>
      </w:r>
    </w:p>
    <w:p>
      <w:pPr>
        <w:spacing w:after="0" w:before="0" w:line="276" w:lineRule="auto"/>
        <w:jc w:val="both"/>
      </w:pPr>
      <w:r>
        <w:rPr>
          <w:rFonts w:ascii="Times New Roman" w:hAnsi="Times New Roman"/>
          <w:b w:val="0"/>
          <w:i w:val="0"/>
          <w:sz w:val="24"/>
        </w:rPr>
      </w:r>
    </w:p>
    <w:p>
      <w:pPr>
        <w:spacing w:after="0" w:before="0" w:line="276" w:lineRule="auto"/>
        <w:jc w:val="both"/>
      </w:pPr>
      <w:r>
        <w:rPr>
          <w:rFonts w:ascii="Times New Roman" w:hAnsi="Times New Roman"/>
          <w:b w:val="0"/>
          <w:i w:val="0"/>
          <w:sz w:val="24"/>
        </w:rPr>
      </w:r>
    </w:p>
    <w:p>
      <w:pPr>
        <w:spacing w:after="0" w:before="0" w:line="276" w:lineRule="auto"/>
        <w:jc w:val="both"/>
      </w:pPr>
      <w:r>
        <w:rPr>
          <w:rFonts w:ascii="Times New Roman" w:hAnsi="Times New Roman"/>
          <w:b w:val="0"/>
          <w:i w:val="0"/>
          <w:sz w:val="24"/>
        </w:rPr>
      </w:r>
    </w:p>
    <w:p>
      <w:pPr>
        <w:spacing w:after="80" w:before="0" w:line="276" w:lineRule="auto"/>
        <w:jc w:val="center"/>
      </w:pPr>
      <w:r>
        <w:rPr>
          <w:rFonts w:ascii="Times New Roman" w:hAnsi="Times New Roman"/>
          <w:b/>
          <w:i w:val="0"/>
          <w:sz w:val="56"/>
        </w:rPr>
        <w:t>THE DRINKING AGE</w:t>
      </w:r>
    </w:p>
    <w:p>
      <w:pPr>
        <w:spacing w:after="720" w:before="0" w:line="276" w:lineRule="auto"/>
        <w:jc w:val="center"/>
      </w:pPr>
      <w:r>
        <w:rPr>
          <w:rFonts w:ascii="Times New Roman" w:hAnsi="Times New Roman"/>
          <w:b w:val="0"/>
          <w:i/>
          <w:sz w:val="32"/>
        </w:rPr>
        <w:t>How the Alcohol Industry Shaped America</w:t>
      </w:r>
    </w:p>
    <w:p>
      <w:pPr>
        <w:spacing w:after="480" w:before="0" w:line="276" w:lineRule="auto"/>
        <w:jc w:val="center"/>
      </w:pPr>
      <w:r>
        <w:rPr>
          <w:rFonts w:ascii="Times New Roman" w:hAnsi="Times New Roman"/>
          <w:b w:val="0"/>
          <w:i w:val="0"/>
          <w:sz w:val="28"/>
        </w:rPr>
        <w:t>Jacob Edward Thomas</w:t>
      </w:r>
    </w:p>
    <w:p>
      <w:pPr>
        <w:spacing w:after="0" w:before="0" w:line="276" w:lineRule="auto"/>
        <w:jc w:val="center"/>
      </w:pPr>
      <w:r>
        <w:rPr>
          <w:rFonts w:ascii="Times New Roman" w:hAnsi="Times New Roman"/>
          <w:b w:val="0"/>
          <w:i/>
          <w:sz w:val="22"/>
        </w:rPr>
        <w:t>Based on doctoral research at The University of Texas at Austin, 2025</w:t>
      </w:r>
    </w:p>
    <w:p>
      <w:r>
        <w:br w:type="page"/>
      </w:r>
    </w:p>
    <w:p>
      <w:pPr>
        <w:spacing w:before="1440" w:after="480"/>
        <w:jc w:val="center"/>
      </w:pPr>
      <w:r>
        <w:rPr>
          <w:rFonts w:ascii="Times New Roman" w:hAnsi="Times New Roman"/>
          <w:b/>
          <w:i w:val="0"/>
          <w:sz w:val="32"/>
        </w:rPr>
        <w:t>INTRODUCTION</w:t>
      </w:r>
    </w:p>
    <w:p>
      <w:pPr>
        <w:spacing w:after="120" w:before="0" w:line="276" w:lineRule="auto"/>
        <w:ind w:firstLine="432"/>
        <w:jc w:val="both"/>
      </w:pPr>
      <w:r>
        <w:rPr>
          <w:rFonts w:ascii="Times New Roman" w:hAnsi="Times New Roman"/>
          <w:b w:val="0"/>
          <w:i w:val="0"/>
          <w:sz w:val="24"/>
        </w:rPr>
        <w:t>Every civilization that has left a record has also left evidence of drinking (Standage, 2006; Gately, 2008; Phillips, 2014). The Sumerians brewed beer before they invented the wheel. The Egyptians paid their pyramid workers in ale. The Romans planted vineyards at the farthest edges of their empire, and when those legions finally marched home, the vines stayed behind and kept growing. Alcohol is not merely old. It is one of the most resilient industries in the history of commerce — older than banking, older than organized religion, older than writing itself (Dietler, 2020).</w:t>
      </w:r>
    </w:p>
    <w:p>
      <w:pPr>
        <w:spacing w:after="120" w:before="0" w:line="276" w:lineRule="auto"/>
        <w:ind w:firstLine="432"/>
        <w:jc w:val="both"/>
      </w:pPr>
      <w:r>
        <w:rPr>
          <w:rFonts w:ascii="Times New Roman" w:hAnsi="Times New Roman"/>
          <w:b w:val="0"/>
          <w:i w:val="0"/>
          <w:sz w:val="24"/>
        </w:rPr>
        <w:t>This book is about how that industry came to define so much of American life. It is a story that begins in the Neolithic period, winds through ancient temples and medieval taverns, crosses the Atlantic on slave ships loaded with rum, and arrives in the twenty-first century on a smartphone screen at two in the morning. Along the way, it touches war and politics, race and gender, science and advertising, prohibition and excess. It is a story of astonishing adaptability. Every time human beings invented a new way to communicate — from clay tablets to color printing to cable television to social media — the alcohol industry figured out how to use it, often before anyone else did (Richards, 2022).</w:t>
      </w:r>
    </w:p>
    <w:p>
      <w:pPr>
        <w:spacing w:after="120" w:before="0" w:line="276" w:lineRule="auto"/>
        <w:ind w:firstLine="432"/>
        <w:jc w:val="both"/>
      </w:pPr>
      <w:r>
        <w:rPr>
          <w:rFonts w:ascii="Times New Roman" w:hAnsi="Times New Roman"/>
          <w:b w:val="0"/>
          <w:i w:val="0"/>
          <w:sz w:val="24"/>
        </w:rPr>
        <w:t>America occupies a special place in this narrative. No other country has swung so violently between drunkenness and temperance, between celebration and criminalization. The United States tried to outlaw alcohol entirely, failed spectacularly, and then spent the next century building the most sophisticated alcohol marketing apparatus the world has ever seen. Americans consume roughly fifty billion dollars’ worth of alcohol each year, and the advertising that sustains that consumption has become so embedded in the culture that most people no longer notice it. Beer sponsors the Super Bowl. Wine anchors the lifestyle brand. Spirits fuel the celebrity endorsement machine. And beneath all of it runs a history that is far darker and more complex than the glossy advertisements suggest.</w:t>
      </w:r>
    </w:p>
    <w:p>
      <w:pPr>
        <w:spacing w:after="120" w:before="0" w:line="276" w:lineRule="auto"/>
        <w:ind w:firstLine="432"/>
        <w:jc w:val="both"/>
      </w:pPr>
      <w:r>
        <w:rPr>
          <w:rFonts w:ascii="Times New Roman" w:hAnsi="Times New Roman"/>
          <w:b w:val="0"/>
          <w:i w:val="0"/>
          <w:sz w:val="24"/>
        </w:rPr>
        <w:t>This is not a temperance tract, and it is not a celebration of drinking culture. It is an attempt to tell the story plainly — to trace how an ancient commodity became a modern juggernaut and to understand the human costs along the way. The chapters that follow move roughly chronologically, from the first fermented beverages to the digital feeds of the COVID-19 era. They draw on archaeological evidence, historical records, advertising archives, and the lived experiences of the people who made, sold, regulated, and consumed alcohol across thousands of years. Many histories of alcohol have been written, and several were invaluable in preparing this account (Standage, 2006; Gately, 2008; Phillips, 2014). However, no previous work has focused specifically on the evolution of alcohol marketing practices and how these coincide with cultural norms of alcohol use in society (Lawrence, 1984).</w:t>
      </w:r>
    </w:p>
    <w:p>
      <w:pPr>
        <w:spacing w:after="120" w:before="0" w:line="276" w:lineRule="auto"/>
        <w:ind w:firstLine="432"/>
        <w:jc w:val="both"/>
      </w:pPr>
      <w:r>
        <w:rPr>
          <w:rFonts w:ascii="Times New Roman" w:hAnsi="Times New Roman"/>
          <w:b w:val="0"/>
          <w:i w:val="0"/>
          <w:sz w:val="24"/>
        </w:rPr>
        <w:t>If there is a single thread that connects all of it, it is this: the alcohol industry has always understood, better than almost any other commercial enterprise, that selling a drink is really about selling a story. The stories change. The selling never stops.</w:t>
      </w:r>
    </w:p>
    <w:p>
      <w:r>
        <w:br w:type="page"/>
      </w:r>
    </w:p>
    <w:p>
      <w:pPr>
        <w:spacing w:before="1440" w:after="480"/>
        <w:jc w:val="center"/>
      </w:pPr>
      <w:r>
        <w:rPr>
          <w:rFonts w:ascii="Times New Roman" w:hAnsi="Times New Roman"/>
          <w:b/>
          <w:i w:val="0"/>
          <w:sz w:val="32"/>
        </w:rPr>
        <w:t>CHAPTER 1</w:t>
        <w:br/>
        <w:t>The Ancient Glass</w:t>
      </w:r>
    </w:p>
    <w:p>
      <w:pPr>
        <w:spacing w:after="120" w:before="0" w:line="276" w:lineRule="auto"/>
        <w:ind w:firstLine="432"/>
        <w:jc w:val="both"/>
      </w:pPr>
      <w:r>
        <w:rPr>
          <w:rFonts w:ascii="Times New Roman" w:hAnsi="Times New Roman"/>
          <w:b w:val="0"/>
          <w:i w:val="0"/>
          <w:sz w:val="24"/>
        </w:rPr>
        <w:t>Somewhere in the Yellow River valley, around seven thousand years before the common era, someone stored a mixture of rice, honey, and hawthorn fruit in a clay vessel and forgot about it. When they came back, the liquid had changed. It fizzed. It tasted strange and sweet and warm. It made them feel different. That anonymous moment — reconstructed from chemical residue found on pottery fragments in Jiahu, China — is the oldest physical evidence of intentional fermentation that archaeologists have yet discovered (McGovern et al., 2004). It is also the beginning of a nine-thousand-year commercial enterprise.</w:t>
      </w:r>
    </w:p>
    <w:p>
      <w:pPr>
        <w:spacing w:after="120" w:before="0" w:line="276" w:lineRule="auto"/>
        <w:ind w:firstLine="432"/>
        <w:jc w:val="both"/>
      </w:pPr>
      <w:r>
        <w:rPr>
          <w:rFonts w:ascii="Times New Roman" w:hAnsi="Times New Roman"/>
          <w:b w:val="0"/>
          <w:i w:val="0"/>
          <w:sz w:val="24"/>
        </w:rPr>
        <w:t>Alcohol emerged independently on nearly every inhabited continent (Dietler, 2020). The Sumerians had a goddess of beer, Ninkasi, and the oldest surviving recipe in human history is a hymn to her that doubles as a brewing manual. The Egyptians refined the process and distributed beer as wages to the laborers who built the great monuments at Giza. In sub-Saharan Africa, communities brewed sorghum beer for communal ceremonies. In Mesoamerica, pulque — the fermented sap of the agave plant — held sacred significance for the Aztecs, who regulated its consumption with laws that punished public drunkenness by death. In Neolithic Europe, pagan cultures consumed alcohol during elaborate ceremonies honoring the changing of seasons (Lipscomb, 2020). Many hearths within settlements near Stonehenge are filled with animal bones and broken pottery vessels associated with fermented beverages, suggesting that feasts and abundant drinking were common during the period (Albarella et al., 2011). Even the Bible suggests consuming alcohol ritualistically to harbor a peaceful death or to cope with pain and adversity (Proverbs 31:6–7; Carrol et al., 2008).</w:t>
      </w:r>
    </w:p>
    <w:p>
      <w:pPr>
        <w:spacing w:after="120" w:before="0" w:line="276" w:lineRule="auto"/>
        <w:ind w:firstLine="432"/>
        <w:jc w:val="both"/>
      </w:pPr>
      <w:r>
        <w:rPr>
          <w:rFonts w:ascii="Times New Roman" w:hAnsi="Times New Roman"/>
          <w:b w:val="0"/>
          <w:i w:val="0"/>
          <w:sz w:val="24"/>
        </w:rPr>
        <w:t>But it was in the Mediterranean world that alcohol first became something recognizable as an industry. The ancient Greeks did not merely drink wine (Oliver et al., 2011; Robinson et al., 2015). They organized their social and intellectual lives around it. Archaeological records indicate that citizens of ancient Greece often consumed wine with meals and mixed wine with their drinking water for fortification (Garnier et al., 2016). The symposium — literally “drinking together” — was the central institution of Athenian civic culture, the place where politics, philosophy, and poetry happened. Homer’s Iliad is drenched in wine. Agamemnon organizes an elaborate feast, complete with libations of wine, in an attempt to gain favor from the gods and inspire his army toward victory in the Trojan War (Fagles et al., 1998). The Greek soldiers at Troy received daily rations, and the poem treats this as entirely unremarkable, which tells us that by the eighth century BCE, wine was already a logistical staple of warfare.</w:t>
      </w:r>
    </w:p>
    <w:p>
      <w:pPr>
        <w:spacing w:after="120" w:before="0" w:line="276" w:lineRule="auto"/>
        <w:ind w:firstLine="432"/>
        <w:jc w:val="both"/>
      </w:pPr>
      <w:r>
        <w:rPr>
          <w:rFonts w:ascii="Times New Roman" w:hAnsi="Times New Roman"/>
          <w:b w:val="0"/>
          <w:i w:val="0"/>
          <w:sz w:val="24"/>
        </w:rPr>
        <w:t>Rome took everything the Greeks had built and scaled it up. Wine was a staple in the diet of nearly all Roman citizens and a part of the ration for legionaries (Davies, 1971). Vineyards followed the legions into Gaul, Iberia, and the Rhine Valley, establishing wine-growing regions that still produce today. Romans began to standardize the cultivation of grapes and formulas for wine, culminating in the first known treatise on producing alcohol: De Agri Cultura by Marcus Porcius Cato, circa 160 BCE (Cato et al., 1934). It contained detailed instructions on vine cultivation, pressing, fermentation, and storage — practical advice written for landowners who understood that wine was not just a beverage but a commodity.</w:t>
      </w:r>
    </w:p>
    <w:p>
      <w:pPr>
        <w:spacing w:after="120" w:before="0" w:line="276" w:lineRule="auto"/>
        <w:ind w:firstLine="432"/>
        <w:jc w:val="both"/>
      </w:pPr>
      <w:r>
        <w:rPr>
          <w:rFonts w:ascii="Times New Roman" w:hAnsi="Times New Roman"/>
          <w:b w:val="0"/>
          <w:i w:val="0"/>
          <w:sz w:val="24"/>
        </w:rPr>
        <w:t>With abundant supply driven by industrial-scale production, drinking behaviors during classical antiquity shifted from predominantly ritualistic to the everyday mundane, and sometimes problematic (Laes et al., 2013). Rome also gave us the first recorded warnings about alcohol’s dangers. Seneca wrote that habitual drunkenness weakens the mind and that its consequences are felt long after the drinking has stopped (Motto et al., 1990). The irony was that Seneca himself lived in a society where wine was as common as water — more common, actually, since Roman water supplies were often unreliable.</w:t>
      </w:r>
    </w:p>
    <w:p>
      <w:pPr>
        <w:spacing w:after="120" w:before="0" w:line="276" w:lineRule="auto"/>
        <w:ind w:firstLine="432"/>
        <w:jc w:val="both"/>
      </w:pPr>
      <w:r>
        <w:rPr>
          <w:rFonts w:ascii="Times New Roman" w:hAnsi="Times New Roman"/>
          <w:b w:val="0"/>
          <w:i w:val="0"/>
          <w:sz w:val="24"/>
        </w:rPr>
        <w:t>What the ancient world established was a pattern that would repeat for millennia. Alcohol was simultaneously sacred and profane, celebrated and feared, regulated and indulged. It was nutrition for the poor and luxury for the rich. It was medicine, currency, social lubricant, and poison. And it was, from the very beginning, a business. Nine thousand years before the first television commercial, the alcohol industry was already doing what it does best: adapting to the world as it found it and selling whatever version of the drink that world would buy.</w:t>
      </w:r>
    </w:p>
    <w:p>
      <w:r>
        <w:br w:type="page"/>
      </w:r>
    </w:p>
    <w:p>
      <w:pPr>
        <w:spacing w:before="1440" w:after="480"/>
        <w:jc w:val="center"/>
      </w:pPr>
      <w:r>
        <w:rPr>
          <w:rFonts w:ascii="Times New Roman" w:hAnsi="Times New Roman"/>
          <w:b/>
          <w:i w:val="0"/>
          <w:sz w:val="32"/>
        </w:rPr>
        <w:t>CHAPTER 2</w:t>
        <w:br/>
        <w:t>Signs and Spirits</w:t>
      </w:r>
    </w:p>
    <w:p>
      <w:pPr>
        <w:spacing w:after="120" w:before="0" w:line="276" w:lineRule="auto"/>
        <w:ind w:firstLine="432"/>
        <w:jc w:val="both"/>
      </w:pPr>
      <w:r>
        <w:rPr>
          <w:rFonts w:ascii="Times New Roman" w:hAnsi="Times New Roman"/>
          <w:b w:val="0"/>
          <w:i w:val="0"/>
          <w:sz w:val="24"/>
        </w:rPr>
        <w:t>In the centuries after Rome’s fall, Europe did not stop drinking. If anything, it drank more. The medieval period was an age of ale — thick, dark, nutritious, and ubiquitous. Clean water was scarce in most European cities, and ale became an important source of nutrition for the population at large (Dyer, 1988; Carlin et al., 1998). Drunkenness became widespread among all sections of society (Glatt, 1977). Monasteries brewed ale in enormous quantities, both for their own consumption and for sale. The Benedictine and Trappist monks became, without intending to, some of the most accomplished brewers in history.</w:t>
      </w:r>
    </w:p>
    <w:p>
      <w:pPr>
        <w:spacing w:after="120" w:before="0" w:line="276" w:lineRule="auto"/>
        <w:ind w:firstLine="432"/>
        <w:jc w:val="both"/>
      </w:pPr>
      <w:r>
        <w:rPr>
          <w:rFonts w:ascii="Times New Roman" w:hAnsi="Times New Roman"/>
          <w:b w:val="0"/>
          <w:i w:val="0"/>
          <w:sz w:val="24"/>
        </w:rPr>
        <w:t>The medieval period also left behind something else: the earliest recognizable forms of alcohol marketing. In 1389, King Richard II of England enacted a law stipulating that places selling alcohol must hang a sign to indicate that fact, which led to competition between establishments to have the most distinguished and attractive looking signs (Richards, 2022). Suggesting alcohol merchants declare themselves was not an idea original to Richard II; some historians suggest it was appropriated from ancient Chinese lore of villagers hoisting their wine banner when they had fresh wine to trade (Liao, 1959). Nevertheless, Richard II’s medieval law likely contributed to a culture of extravagant marketing competition within the alcohol industry that echoes to this day, and English pubs continue the tavern-sign tradition.</w:t>
      </w:r>
    </w:p>
    <w:p>
      <w:pPr>
        <w:spacing w:after="240" w:before="240" w:line="276" w:lineRule="auto"/>
        <w:jc w:val="center"/>
      </w:pPr>
      <w:r>
        <w:rPr>
          <w:rFonts w:ascii="Times New Roman" w:hAnsi="Times New Roman"/>
          <w:b w:val="0"/>
          <w:i/>
          <w:sz w:val="22"/>
        </w:rPr>
        <w:t>[Illustration 1: Southwark, a neighborhood in London near the southern end of London Bridge, historically known for drinking establishments. Image depicts a tavern — Bear Inn, 1616. Tavern sign is highlighted. From Shelley, H. C. (1909).]</w:t>
      </w:r>
    </w:p>
    <w:p>
      <w:pPr>
        <w:spacing w:after="240" w:before="240" w:line="276" w:lineRule="auto"/>
        <w:jc w:val="center"/>
      </w:pPr>
      <w:r>
        <w:rPr>
          <w:rFonts w:ascii="Times New Roman" w:hAnsi="Times New Roman"/>
          <w:b w:val="0"/>
          <w:i/>
          <w:sz w:val="22"/>
        </w:rPr>
        <w:t>[Illustration 2: Present-day tavern sign of The George Inn (also in Southwark, London), one of the oldest drinking establishments in London still operating according to the National Heritage List for England (n.d.).]</w:t>
      </w:r>
    </w:p>
    <w:p>
      <w:pPr>
        <w:spacing w:after="120" w:before="0" w:line="276" w:lineRule="auto"/>
        <w:ind w:firstLine="432"/>
        <w:jc w:val="both"/>
      </w:pPr>
      <w:r>
        <w:rPr>
          <w:rFonts w:ascii="Times New Roman" w:hAnsi="Times New Roman"/>
          <w:b w:val="0"/>
          <w:i w:val="0"/>
          <w:sz w:val="24"/>
        </w:rPr>
        <w:t>Across the English Channel, the Flemish were pushing further. In the late 1300s, a brewery named Den Hoorn was established in Belgium (Kelly-Holmes, 2016). Over the following centuries, the brewery changed hands, and in 1717 it was purchased by Sebastian Artois, who renamed it boasting his namesake: Stella Artois (Persyn et al., 2011). Its horn logo, derived from that original fourteenth-century name, is one of the oldest continuously used commercial symbols in the world — an unbroken thread of marketing that stretches back more than seven hundred years.</w:t>
      </w:r>
    </w:p>
    <w:p>
      <w:pPr>
        <w:spacing w:after="240" w:before="240" w:line="276" w:lineRule="auto"/>
        <w:jc w:val="center"/>
      </w:pPr>
      <w:r>
        <w:rPr>
          <w:rFonts w:ascii="Times New Roman" w:hAnsi="Times New Roman"/>
          <w:b w:val="0"/>
          <w:i/>
          <w:sz w:val="22"/>
        </w:rPr>
        <w:t>[Illustration 3: Stella Artois (n.d.) logo sporting the golden horn.]</w:t>
      </w:r>
    </w:p>
    <w:p>
      <w:pPr>
        <w:spacing w:after="120" w:before="0" w:line="276" w:lineRule="auto"/>
        <w:ind w:firstLine="432"/>
        <w:jc w:val="both"/>
      </w:pPr>
      <w:r>
        <w:rPr>
          <w:rFonts w:ascii="Times New Roman" w:hAnsi="Times New Roman"/>
          <w:b w:val="0"/>
          <w:i w:val="0"/>
          <w:sz w:val="24"/>
        </w:rPr>
        <w:t>Meanwhile, town criers could be heard all over Europe shouting local news, royal decree, and even announcements promoting deals at local alcohol establishments. So-called “wine criers” living in France during the rule of King Philip Augustus (1180 to 1223) were permitted to shout outside of taverns and charge the owner a fee for bringing in customers (Presbrey, 1929; Richards, 2022).</w:t>
      </w:r>
    </w:p>
    <w:p>
      <w:pPr>
        <w:spacing w:after="120" w:before="0" w:line="276" w:lineRule="auto"/>
        <w:ind w:firstLine="432"/>
        <w:jc w:val="both"/>
      </w:pPr>
      <w:r>
        <w:rPr>
          <w:rFonts w:ascii="Times New Roman" w:hAnsi="Times New Roman"/>
          <w:b w:val="0"/>
          <w:i w:val="0"/>
          <w:sz w:val="24"/>
        </w:rPr>
        <w:t>Then came the transformation that would reshape the industry forever. Distillation — the process of heating a fermented liquid to separate and concentrate its alcohol — had been practiced by Islamic alchemists for centuries, primarily for producing perfumes and medicines. When this knowledge migrated into Christian Europe, fifteenth-century German apothecaries appropriated these sacred centuries-old Islamic methods (Tschanz, 2003; Edriss et al., 2017) into a potent product marketed as a health tonic, called Gebrant wein — burnt wine, or brandy (Gately, 2008).</w:t>
      </w:r>
    </w:p>
    <w:p>
      <w:pPr>
        <w:spacing w:after="120" w:before="0" w:line="276" w:lineRule="auto"/>
        <w:ind w:firstLine="432"/>
        <w:jc w:val="both"/>
      </w:pPr>
      <w:r>
        <w:rPr>
          <w:rFonts w:ascii="Times New Roman" w:hAnsi="Times New Roman"/>
          <w:b w:val="0"/>
          <w:i w:val="0"/>
          <w:sz w:val="24"/>
        </w:rPr>
        <w:t>The breakthrough came in 1500, when German doctor Hieronymus Brunschwig published his Liber de arte distillandi de simplicibus, the first printed book devoted entirely to distillation, which achieved widespread circulation (Bruschwig et al., 1500). Gutenberg’s press had been operating for only half a century, and Brunschwig was among the first to use the new technology to spread technical knowledge on an industrial scale. Reminiscent of how Cato’s De Agri Cultura shifted the paradigm of wine consumption across the Roman Empire 1,660 years before, Brunschwig’s book enabled the development of a global spirit industry.</w:t>
      </w:r>
    </w:p>
    <w:p>
      <w:pPr>
        <w:spacing w:after="120" w:before="0" w:line="276" w:lineRule="auto"/>
        <w:ind w:firstLine="432"/>
        <w:jc w:val="both"/>
      </w:pPr>
      <w:r>
        <w:rPr>
          <w:rFonts w:ascii="Times New Roman" w:hAnsi="Times New Roman"/>
          <w:b w:val="0"/>
          <w:i w:val="0"/>
          <w:sz w:val="24"/>
        </w:rPr>
        <w:t>The implications were enormous. Distilled spirits were stronger, more portable, and more durable than beer or wine. They could survive long sea voyages. They could be produced from almost any fermentable material. They were, in a word, scalable. And they arrived just in time for the age of exploration, when European ships began crossing the Atlantic. The spirits industry and the colonial enterprise grew up together, and neither was innocent.</w:t>
      </w:r>
    </w:p>
    <w:p>
      <w:r>
        <w:br w:type="page"/>
      </w:r>
    </w:p>
    <w:p>
      <w:pPr>
        <w:spacing w:before="1440" w:after="480"/>
        <w:jc w:val="center"/>
      </w:pPr>
      <w:r>
        <w:rPr>
          <w:rFonts w:ascii="Times New Roman" w:hAnsi="Times New Roman"/>
          <w:b/>
          <w:i w:val="0"/>
          <w:sz w:val="32"/>
        </w:rPr>
        <w:t>CHAPTER 3</w:t>
        <w:br/>
        <w:t>Blood, Sugar, and Rum</w:t>
      </w:r>
    </w:p>
    <w:p>
      <w:pPr>
        <w:spacing w:after="120" w:before="0" w:line="276" w:lineRule="auto"/>
        <w:ind w:firstLine="432"/>
        <w:jc w:val="both"/>
      </w:pPr>
      <w:r>
        <w:rPr>
          <w:rFonts w:ascii="Times New Roman" w:hAnsi="Times New Roman"/>
          <w:b w:val="0"/>
          <w:i w:val="0"/>
          <w:sz w:val="24"/>
        </w:rPr>
        <w:t>The story of rum is the story of empire, and it is written in blood. By the seventeenth century, distilled spirits were available throughout the western world (Phillips, 2014). The emerging triangular trade routes linking Europe, Africa, and the Americas exploited the natural sugar resources of the Caribbean and served as a catalyst that furthered the proliferation of spirits worldwide (Higman, 2000). Ships carried manufactured goods from Europe to the west coast of Africa, where they were exchanged for enslaved human beings. Those men, women, and children were transported in chains across the Atlantic to Caribbean sugar plantations, where they were forced to cultivate the sugarcane that produced molasses. The molasses was shipped to New England, where it was distilled into rum. The rum was sold back to Europe and Africa, and the cycle began again (McCusker, 1970).</w:t>
      </w:r>
    </w:p>
    <w:p>
      <w:pPr>
        <w:spacing w:after="240" w:before="240" w:line="276" w:lineRule="auto"/>
        <w:jc w:val="center"/>
      </w:pPr>
      <w:r>
        <w:rPr>
          <w:rFonts w:ascii="Times New Roman" w:hAnsi="Times New Roman"/>
          <w:b w:val="0"/>
          <w:i/>
          <w:sz w:val="22"/>
        </w:rPr>
        <w:t>[Illustration 4: Caribbean sugarcane plantations tended to by enslaved Africans, typical of transatlantic triangular trade of the time. From Ten views in the island of Antigua in the Yale Center for British Art (n.d.).]</w:t>
      </w:r>
    </w:p>
    <w:p>
      <w:pPr>
        <w:spacing w:after="240" w:before="240" w:line="276" w:lineRule="auto"/>
        <w:jc w:val="center"/>
      </w:pPr>
      <w:r>
        <w:rPr>
          <w:rFonts w:ascii="Times New Roman" w:hAnsi="Times New Roman"/>
          <w:b w:val="0"/>
          <w:i/>
          <w:sz w:val="22"/>
        </w:rPr>
        <w:t>[Illustration 5: Caribbean distillery tended to by enslaved Africans, typical of transatlantic triangular trade of the time. From Ten views in the island of Antigua in the Yale Center for British Art (n.d.).]</w:t>
      </w:r>
    </w:p>
    <w:p>
      <w:pPr>
        <w:spacing w:after="120" w:before="0" w:line="276" w:lineRule="auto"/>
        <w:ind w:firstLine="432"/>
        <w:jc w:val="both"/>
      </w:pPr>
      <w:r>
        <w:rPr>
          <w:rFonts w:ascii="Times New Roman" w:hAnsi="Times New Roman"/>
          <w:b w:val="0"/>
          <w:i w:val="0"/>
          <w:sz w:val="24"/>
        </w:rPr>
        <w:t>Rum was not incidental to this system. It was the engine. The profits from rum sales financed the purchase of more enslaved people. The rum itself was used as currency on the African coast, traded directly for human lives. Every bottle of colonial rum carried within it an invisible ledger of suffering.</w:t>
      </w:r>
    </w:p>
    <w:p>
      <w:pPr>
        <w:spacing w:after="120" w:before="0" w:line="276" w:lineRule="auto"/>
        <w:ind w:firstLine="432"/>
        <w:jc w:val="both"/>
      </w:pPr>
      <w:r>
        <w:rPr>
          <w:rFonts w:ascii="Times New Roman" w:hAnsi="Times New Roman"/>
          <w:b w:val="0"/>
          <w:i w:val="0"/>
          <w:sz w:val="24"/>
        </w:rPr>
        <w:t>America was built, in part, on this trade. During the founding of America, many of the founding fathers had historical associations with the alcohol industry. George Washington owned a distillery at Mount Vernon tended to by enslaved distillers (Breen, 2004). Washington’s distillery was one of the largest of its time, was very successful, and contributed to his wealth. Washington was also known to have used alcohol as a political tool, distributing large amounts of free rum, wine, and beer during his 1758 campaign for the Virginia House of Burgesses (Chernow, 2011). Thomas Jefferson owned a vineyard at Monticello, though he was not nearly as successful in the alcohol industry as Washington (Hailman, 2006). Nevertheless, Jefferson was a well-known enthusiast and importer of European wine, leaving a legendary collection in his estate’s cellar, and he left his mark leading one of the first attempts at cultivating fine wine in America (Meacham, 2012).</w:t>
      </w:r>
    </w:p>
    <w:p>
      <w:pPr>
        <w:spacing w:after="120" w:before="0" w:line="276" w:lineRule="auto"/>
        <w:ind w:firstLine="432"/>
        <w:jc w:val="both"/>
      </w:pPr>
      <w:r>
        <w:rPr>
          <w:rFonts w:ascii="Times New Roman" w:hAnsi="Times New Roman"/>
          <w:b w:val="0"/>
          <w:i w:val="0"/>
          <w:sz w:val="24"/>
        </w:rPr>
        <w:t>The industrial revolution advanced the alcohol industry in numerous ways during the eighteenth and nineteenth centuries. In 1775, the oldest American distillery still in operation was founded — Buffalo Trace — producing whiskey from corn (Pacult, 2021). Corn was first domesticated by indigenous peoples in southern Mexico and is considered a sacred crop to many American Indian cultures (Huff, 2006), which suggests that American alcohol distillers appropriated corn in ways reminiscent of German distillers appropriating Islamic alchemy two hundred years earlier. Many modern American whiskey producers have roots in this era: Robert Samuels began making the whiskey that would become Maker’s Mark Bourbon, and Jacob Beam came to Kentucky and sold whiskey that would later be named Jim Beam (Veach, 2013).</w:t>
      </w:r>
    </w:p>
    <w:p>
      <w:pPr>
        <w:spacing w:after="120" w:before="0" w:line="276" w:lineRule="auto"/>
        <w:ind w:firstLine="432"/>
        <w:jc w:val="both"/>
      </w:pPr>
      <w:r>
        <w:rPr>
          <w:rFonts w:ascii="Times New Roman" w:hAnsi="Times New Roman"/>
          <w:b w:val="0"/>
          <w:i w:val="0"/>
          <w:sz w:val="24"/>
        </w:rPr>
        <w:t>The industrial revolution also ignited the advertising industry. The first commercial broadsides appeared in the United States in 1835, direct mail advertising was firmly established in the 1840s, newspaper advertisements took off in the 1860s after color newspapers began circulating, and the 1890s brought widespread color advertising in magazines (Richards, 2022). At every stage, the alcohol industry was on the frontier of each of these emerging media technologies.</w:t>
      </w:r>
    </w:p>
    <w:p>
      <w:pPr>
        <w:spacing w:after="240" w:before="240" w:line="276" w:lineRule="auto"/>
        <w:jc w:val="center"/>
      </w:pPr>
      <w:r>
        <w:rPr>
          <w:rFonts w:ascii="Times New Roman" w:hAnsi="Times New Roman"/>
          <w:b w:val="0"/>
          <w:i/>
          <w:sz w:val="22"/>
        </w:rPr>
        <w:t>[Illustration 6: Early Broadside Advertising Alcohol. From Duke University Libraries (1868).]</w:t>
      </w:r>
    </w:p>
    <w:p>
      <w:pPr>
        <w:spacing w:after="240" w:before="240" w:line="276" w:lineRule="auto"/>
        <w:jc w:val="center"/>
      </w:pPr>
      <w:r>
        <w:rPr>
          <w:rFonts w:ascii="Times New Roman" w:hAnsi="Times New Roman"/>
          <w:b w:val="0"/>
          <w:i/>
          <w:sz w:val="22"/>
        </w:rPr>
        <w:t>[Illustration 7: Early Billboard Advertising Alcohol. From Duke University Libraries (1916).]</w:t>
      </w:r>
    </w:p>
    <w:p>
      <w:pPr>
        <w:spacing w:after="240" w:before="240" w:line="276" w:lineRule="auto"/>
        <w:jc w:val="center"/>
      </w:pPr>
      <w:r>
        <w:rPr>
          <w:rFonts w:ascii="Times New Roman" w:hAnsi="Times New Roman"/>
          <w:b w:val="0"/>
          <w:i/>
          <w:sz w:val="22"/>
        </w:rPr>
        <w:t>[Illustration 8: Early Alcohol Direct Mail. From Duke University Libraries (1910).]</w:t>
      </w:r>
    </w:p>
    <w:p>
      <w:pPr>
        <w:spacing w:after="240" w:before="240" w:line="276" w:lineRule="auto"/>
        <w:jc w:val="center"/>
      </w:pPr>
      <w:r>
        <w:rPr>
          <w:rFonts w:ascii="Times New Roman" w:hAnsi="Times New Roman"/>
          <w:b w:val="0"/>
          <w:i/>
          <w:sz w:val="22"/>
        </w:rPr>
        <w:t>[Illustration 9: Early Color Newspaper Advertising Alcohol. From Duke University Libraries (1912).]</w:t>
      </w:r>
    </w:p>
    <w:p>
      <w:pPr>
        <w:spacing w:after="120" w:before="0" w:line="276" w:lineRule="auto"/>
        <w:ind w:firstLine="432"/>
        <w:jc w:val="both"/>
      </w:pPr>
      <w:r>
        <w:rPr>
          <w:rFonts w:ascii="Times New Roman" w:hAnsi="Times New Roman"/>
          <w:b w:val="0"/>
          <w:i w:val="0"/>
          <w:sz w:val="24"/>
        </w:rPr>
        <w:t>By the turn of the twentieth century, alcohol was woven into the economic, political, and social fabric of America so thoroughly that it seemed impossible to extract. Millions of jobs depended on it. Entire regional economies revolved around it. The federal government relied on excise taxes from alcohol for a significant portion of its revenue. And the industry’s advertising apparatus had made drinking synonymous with celebration, masculinity, patriotism, and freedom. But a counter-movement was gathering force.</w:t>
      </w:r>
    </w:p>
    <w:p>
      <w:r>
        <w:br w:type="page"/>
      </w:r>
    </w:p>
    <w:p>
      <w:pPr>
        <w:spacing w:before="1440" w:after="480"/>
        <w:jc w:val="center"/>
      </w:pPr>
      <w:r>
        <w:rPr>
          <w:rFonts w:ascii="Times New Roman" w:hAnsi="Times New Roman"/>
          <w:b/>
          <w:i w:val="0"/>
          <w:sz w:val="32"/>
        </w:rPr>
        <w:t>CHAPTER 4</w:t>
        <w:br/>
        <w:t>Race, Temperance, and the Noble Experiment</w:t>
      </w:r>
    </w:p>
    <w:p>
      <w:pPr>
        <w:spacing w:after="120" w:before="0" w:line="276" w:lineRule="auto"/>
        <w:ind w:firstLine="432"/>
        <w:jc w:val="both"/>
      </w:pPr>
      <w:r>
        <w:rPr>
          <w:rFonts w:ascii="Times New Roman" w:hAnsi="Times New Roman"/>
          <w:b w:val="0"/>
          <w:i w:val="0"/>
          <w:sz w:val="24"/>
        </w:rPr>
        <w:t>The story of alcohol in America cannot be told honestly without talking about race. The alcohol industry in the United States during the time of emancipation and Jim Crow (late nineteenth century to mid-twentieth century) was heavily racially segregated and regulated. The sale and consumption of alcohol was often prohibited or restricted for Black Americans, both legally through discriminatory laws and socially through racial discrimination in bars and other establishments (Guffey, 2012). Despite these restrictions, some Black Americans were able to establish their own successful businesses in the industry. The A. Smith Bowman Distillery, founded in 1934 shortly after Prohibition ended, was one of the few Black-owned distilleries in the United States (Sanfield, 2005). However, many Black-owned bars and nightclubs were targeted for closure by law enforcement and white supremacist groups who used nuisance laws, zoning regulations, and hostile raids to shut them down (Godsil, 2006; Trounstine, 2018). Jim Crow laws, combined with the rapid growth of the alcohol industry, concentrated wealth and industry leadership into nearly exclusively white capitalists, driven by rum as a product of slavery and corn whiskey as a product of colonial genocide of indigenous people. While the Bowman Distillery stayed in the family for generations, white capitalists representing the Sazerac Company eventually forced the Bowmans out in a series of mergers and acquisitions helmed by billionaire William A. Goldring in the late twentieth century (Cunningham, 2003).</w:t>
      </w:r>
    </w:p>
    <w:p>
      <w:pPr>
        <w:spacing w:after="120" w:before="0" w:line="276" w:lineRule="auto"/>
        <w:ind w:firstLine="432"/>
        <w:jc w:val="both"/>
      </w:pPr>
      <w:r>
        <w:rPr>
          <w:rFonts w:ascii="Times New Roman" w:hAnsi="Times New Roman"/>
          <w:b w:val="0"/>
          <w:i w:val="0"/>
          <w:sz w:val="24"/>
        </w:rPr>
        <w:t>The temperance movement had been building since the early nineteenth century, driven by a coalition of religious conservatives, women’s rights activists, progressive reformers, and — it must be said — outright racists and nativists who associated alcohol with immigrant communities they despised (Aaron et al., 1981; Andersen, 2013). The movement was contradictory and complicated, but it was effective. And in 1920, the Eighteenth Amendment to the Constitution prohibited the manufacture, sale, and transportation of intoxicating beverages across the entire United States (National Archives, 2022).</w:t>
      </w:r>
    </w:p>
    <w:p>
      <w:pPr>
        <w:spacing w:after="120" w:before="0" w:line="276" w:lineRule="auto"/>
        <w:ind w:firstLine="432"/>
        <w:jc w:val="both"/>
      </w:pPr>
      <w:r>
        <w:rPr>
          <w:rFonts w:ascii="Times New Roman" w:hAnsi="Times New Roman"/>
          <w:b w:val="0"/>
          <w:i w:val="0"/>
          <w:sz w:val="24"/>
        </w:rPr>
        <w:t>Prohibition was called “the noble experiment,” and it was a catastrophe. It did not stop Americans from drinking. It simply drove the industry underground, handing control to organized crime syndicates (Mappen, 2013). Speakeasies proliferated — estimates suggest there were more than thirty thousand in New York City alone.</w:t>
      </w:r>
    </w:p>
    <w:p>
      <w:pPr>
        <w:spacing w:after="120" w:before="0" w:line="276" w:lineRule="auto"/>
        <w:ind w:firstLine="432"/>
        <w:jc w:val="both"/>
      </w:pPr>
      <w:r>
        <w:rPr>
          <w:rFonts w:ascii="Times New Roman" w:hAnsi="Times New Roman"/>
          <w:b w:val="0"/>
          <w:i w:val="0"/>
          <w:sz w:val="24"/>
        </w:rPr>
        <w:t>What is less often discussed is how the major alcohol companies survived Prohibition. Anheuser-Busch officially pivoted to producing “near beer,” a low-alcohol beverage that complied with the law. But the company also sold malt syrup, marketed with a wink to home brewers who understood exactly what it was for (Klein, 2019). Schlitz employed the same strategy, maintaining a significant operation producing malt extract that enabled illegal production of full-proof beer (Okrent, 2010).</w:t>
      </w:r>
    </w:p>
    <w:p>
      <w:pPr>
        <w:spacing w:after="240" w:before="240" w:line="276" w:lineRule="auto"/>
        <w:jc w:val="center"/>
      </w:pPr>
      <w:r>
        <w:rPr>
          <w:rFonts w:ascii="Times New Roman" w:hAnsi="Times New Roman"/>
          <w:b w:val="0"/>
          <w:i/>
          <w:sz w:val="22"/>
        </w:rPr>
        <w:t>[Illustration 10: Prohibition-era Newspaper Ad for Bevo Near Beer in The Alamance Gleaner. From the North Carolina Digital Heritage Center (1919, February 27).]</w:t>
      </w:r>
    </w:p>
    <w:p>
      <w:pPr>
        <w:spacing w:after="240" w:before="240" w:line="276" w:lineRule="auto"/>
        <w:jc w:val="center"/>
      </w:pPr>
      <w:r>
        <w:rPr>
          <w:rFonts w:ascii="Times New Roman" w:hAnsi="Times New Roman"/>
          <w:b w:val="0"/>
          <w:i/>
          <w:sz w:val="22"/>
        </w:rPr>
        <w:t>[Illustration 11: Prohibition-era Broadside advertising Schlitz FAMO Near Beer. From the Smithsonian Institution (n.d.).]</w:t>
      </w:r>
    </w:p>
    <w:p>
      <w:pPr>
        <w:spacing w:after="240" w:before="240" w:line="276" w:lineRule="auto"/>
        <w:jc w:val="center"/>
      </w:pPr>
      <w:r>
        <w:rPr>
          <w:rFonts w:ascii="Times New Roman" w:hAnsi="Times New Roman"/>
          <w:b w:val="0"/>
          <w:i/>
          <w:sz w:val="22"/>
        </w:rPr>
        <w:t>[Illustration 12: Prohibition-era Broadside on vehicle advertising ‘Malt Syrup,’ a necessary ingredient to illegally produce alcoholic malt beers. From Klein (2019).]</w:t>
      </w:r>
    </w:p>
    <w:p>
      <w:pPr>
        <w:spacing w:after="120" w:before="0" w:line="276" w:lineRule="auto"/>
        <w:ind w:firstLine="432"/>
        <w:jc w:val="both"/>
      </w:pPr>
      <w:r>
        <w:rPr>
          <w:rFonts w:ascii="Times New Roman" w:hAnsi="Times New Roman"/>
          <w:b w:val="0"/>
          <w:i w:val="0"/>
          <w:sz w:val="24"/>
        </w:rPr>
        <w:t>Prohibition brought about several negative consequences, including an increase in crime and corruption, a rise in consumption of dangerous forms of alcohol, and a decrease in government revenue from alcohol taxes (Thornton, 2014; Drexler, 2020). The Twenty-First Amendment repealed Prohibition in December 1933 (National Archives, 2022), and the alcohol industry roared back to life. But Prohibition had changed the landscape permanently. The industry emerged leaner, more consolidated, and more sophisticated than ever. It had learned that survival depended not just on making a good product but on mastering the art of public persuasion.</w:t>
      </w:r>
    </w:p>
    <w:p>
      <w:r>
        <w:br w:type="page"/>
      </w:r>
    </w:p>
    <w:p>
      <w:pPr>
        <w:spacing w:before="1440" w:after="480"/>
        <w:jc w:val="center"/>
      </w:pPr>
      <w:r>
        <w:rPr>
          <w:rFonts w:ascii="Times New Roman" w:hAnsi="Times New Roman"/>
          <w:b/>
          <w:i w:val="0"/>
          <w:sz w:val="32"/>
        </w:rPr>
        <w:t>CHAPTER 5</w:t>
        <w:br/>
        <w:t>A Soldier’s Drink</w:t>
      </w:r>
    </w:p>
    <w:p>
      <w:pPr>
        <w:spacing w:after="120" w:before="0" w:line="276" w:lineRule="auto"/>
        <w:ind w:firstLine="432"/>
        <w:jc w:val="both"/>
      </w:pPr>
      <w:r>
        <w:rPr>
          <w:rFonts w:ascii="Times New Roman" w:hAnsi="Times New Roman"/>
          <w:b w:val="0"/>
          <w:i w:val="0"/>
          <w:sz w:val="24"/>
        </w:rPr>
        <w:t>The First World War sent millions of young men into a landscape of unprecedented horror — trenches filled with mud and corpses, artillery barrages that lasted for days. The psychological trauma was immense, resulting in what was then termed “shell shock,” now recognized as post-traumatic stress disorder (Shephard, 2001). Of the 4.7 million American soldiers who served, many returned home with profound trauma. In the teeth of that trauma, alcohol was likely a prevalent coping mechanism due to its easy availability (The National WWI Museum and Memorial, 2023). Some reports suggest military officers provided it to bolster morale or inspire a fighting spirit (Kamięński, 2019) — a practice reminiscent of Agamemnon’s effort to inspire his army during the Trojan War. Throughout history, mental health issues and alcohol abuse among soldiers have been well documented (Birmes, 2003; Schumm, 2012; Andreas, 2019).</w:t>
      </w:r>
    </w:p>
    <w:p>
      <w:pPr>
        <w:spacing w:after="240" w:before="240" w:line="276" w:lineRule="auto"/>
        <w:jc w:val="center"/>
      </w:pPr>
      <w:r>
        <w:rPr>
          <w:rFonts w:ascii="Times New Roman" w:hAnsi="Times New Roman"/>
          <w:b w:val="0"/>
          <w:i/>
          <w:sz w:val="22"/>
        </w:rPr>
        <w:t>[Image 13: U.S. Signal Corps photograph captioned: “American soldiers in a captured German trench drinking beer out of steins and smoking cigars.” From the National WWI Museum and Memorial (2023).]</w:t>
      </w:r>
    </w:p>
    <w:p>
      <w:pPr>
        <w:spacing w:after="120" w:before="0" w:line="276" w:lineRule="auto"/>
        <w:ind w:firstLine="432"/>
        <w:jc w:val="both"/>
      </w:pPr>
      <w:r>
        <w:rPr>
          <w:rFonts w:ascii="Times New Roman" w:hAnsi="Times New Roman"/>
          <w:b w:val="0"/>
          <w:i w:val="0"/>
          <w:sz w:val="24"/>
        </w:rPr>
        <w:t>After WWI, veterans returned to an America entering Prohibition. Advertisers were quick to capitalize on demand among veterans, often using themes related to nationalism or the war to sell their products (Pope, 1980). Anheuser-Busch launched legal marketing campaigns for near beer specifically targeting veterans, using patriotic imagery to appeal to their sense of duty and sacrifice.</w:t>
      </w:r>
    </w:p>
    <w:p>
      <w:pPr>
        <w:spacing w:after="240" w:before="240" w:line="276" w:lineRule="auto"/>
        <w:jc w:val="center"/>
      </w:pPr>
      <w:r>
        <w:rPr>
          <w:rFonts w:ascii="Times New Roman" w:hAnsi="Times New Roman"/>
          <w:b w:val="0"/>
          <w:i/>
          <w:sz w:val="22"/>
        </w:rPr>
        <w:t>[Illustration 14: Anheuser-Busch Advertisement for Bevo Near Beer using Patriotic Themes. From Anheuser-Busch (n.d.).]</w:t>
      </w:r>
    </w:p>
    <w:p>
      <w:pPr>
        <w:spacing w:after="120" w:before="0" w:line="276" w:lineRule="auto"/>
        <w:ind w:firstLine="432"/>
        <w:jc w:val="both"/>
      </w:pPr>
      <w:r>
        <w:rPr>
          <w:rFonts w:ascii="Times New Roman" w:hAnsi="Times New Roman"/>
          <w:b w:val="0"/>
          <w:i w:val="0"/>
          <w:sz w:val="24"/>
        </w:rPr>
        <w:t>Following the repeal of Prohibition in 1933, the industry had to navigate a more regulated landscape with stricter rules on advertising (Pennock et al., 2005; Jurkiewicz et al., 2007). The Great Depression, which began in 1929, created a different kind of crisis — and a different kind of opportunity. Millions of Americans confronted unemployment, poverty, and a shattering loss of identity (Bernanke, 2009; Benmelech et al., 2019). Historians suggest that many individuals abused alcohol to cope with the hardships (Elder, 2018). The alcohol industry responded with advertising calibrated to exploit exactly this vulnerability. Beer and whiskey advertisements of the 1930s were saturated with images of rugged masculinity — cowboys, outdoorsmen, men of action (Armengol, 2014).</w:t>
      </w:r>
    </w:p>
    <w:p>
      <w:pPr>
        <w:spacing w:after="240" w:before="240" w:line="276" w:lineRule="auto"/>
        <w:jc w:val="center"/>
      </w:pPr>
      <w:r>
        <w:rPr>
          <w:rFonts w:ascii="Times New Roman" w:hAnsi="Times New Roman"/>
          <w:b w:val="0"/>
          <w:i/>
          <w:sz w:val="22"/>
        </w:rPr>
        <w:t>[Illustration 15: Rodeo Lager Advertisement Depicting a Hypermasculine Cowboy. From Lehmann Printing and Lithographing Co. (1936).]</w:t>
      </w:r>
    </w:p>
    <w:p>
      <w:pPr>
        <w:spacing w:after="240" w:before="240" w:line="276" w:lineRule="auto"/>
        <w:jc w:val="center"/>
      </w:pPr>
      <w:r>
        <w:rPr>
          <w:rFonts w:ascii="Times New Roman" w:hAnsi="Times New Roman"/>
          <w:b w:val="0"/>
          <w:i/>
          <w:sz w:val="22"/>
        </w:rPr>
        <w:t>[Illustration 16: Lucky Strike Bourbon Advertisement Depicting a Hypermasculine Frontier Explorer. From Lehmann Printing and Lithographing Co. (circa 1930s).]</w:t>
      </w:r>
    </w:p>
    <w:p>
      <w:pPr>
        <w:spacing w:after="120" w:before="0" w:line="276" w:lineRule="auto"/>
        <w:ind w:firstLine="432"/>
        <w:jc w:val="both"/>
      </w:pPr>
      <w:r>
        <w:rPr>
          <w:rFonts w:ascii="Times New Roman" w:hAnsi="Times New Roman"/>
          <w:b w:val="0"/>
          <w:i w:val="0"/>
          <w:sz w:val="24"/>
        </w:rPr>
        <w:t>Women were targeted too, but differently. Wine advertisements presented drinking as sophisticated and refined, using references to beauty and aesthetics to appeal to women who commanded a growing share of household purchasing power (Parkin, 2007; Lavin, 1995; Golia, 2016). These gendered marketing strategies — beer and hard liquor appealing to men, wine to women — established templates that persist well into the twenty-first century (Carrotte, 2016; Auter, 2016).</w:t>
      </w:r>
    </w:p>
    <w:p>
      <w:pPr>
        <w:spacing w:after="240" w:before="240" w:line="276" w:lineRule="auto"/>
        <w:jc w:val="center"/>
      </w:pPr>
      <w:r>
        <w:rPr>
          <w:rFonts w:ascii="Times New Roman" w:hAnsi="Times New Roman"/>
          <w:b w:val="0"/>
          <w:i/>
          <w:sz w:val="22"/>
        </w:rPr>
        <w:t>[Illustration 17: California Belle Port Wine Advertisement Depicting a Woman With Idealistic Beauty Standards of the Time. From Lehmann Printing and Lithographing Co. (1935).]</w:t>
      </w:r>
    </w:p>
    <w:p>
      <w:pPr>
        <w:spacing w:after="120" w:before="0" w:line="276" w:lineRule="auto"/>
        <w:ind w:firstLine="432"/>
        <w:jc w:val="both"/>
      </w:pPr>
      <w:r>
        <w:rPr>
          <w:rFonts w:ascii="Times New Roman" w:hAnsi="Times New Roman"/>
          <w:b w:val="0"/>
          <w:i w:val="0"/>
          <w:sz w:val="24"/>
        </w:rPr>
        <w:t>Then came the Second World War, and the alcohol industry found its greatest opportunity since the repeal of Prohibition. The demand for alcohol increased and exceeded pre-Prohibition levels (Lender et al., 1987). More than sixty million souls were lost to direct warfare and genocide (Sturgeon, 2015). The military incorporated beer and spirits into soldiers’ rations, and the brewing industry wrapped itself in the flag. Alcohol also became an important source of revenue through government-imposed taxes (Ripy, 1999). Marketing remained active throughout, relying on emotional appeals and patriotic themes to connect products with the war effort (Witkowski, 2003).</w:t>
      </w:r>
    </w:p>
    <w:p>
      <w:pPr>
        <w:spacing w:after="240" w:before="240" w:line="276" w:lineRule="auto"/>
        <w:jc w:val="center"/>
      </w:pPr>
      <w:r>
        <w:rPr>
          <w:rFonts w:ascii="Times New Roman" w:hAnsi="Times New Roman"/>
          <w:b w:val="0"/>
          <w:i/>
          <w:sz w:val="22"/>
        </w:rPr>
        <w:t>[Illustration 18: Schenley Whiskey Advertisement circa 1943 promoting frugality and the priority of purchasing U.S. War Bonds. From American Century Shop (2024).]</w:t>
      </w:r>
    </w:p>
    <w:p>
      <w:pPr>
        <w:spacing w:after="240" w:before="240" w:line="276" w:lineRule="auto"/>
        <w:jc w:val="center"/>
      </w:pPr>
      <w:r>
        <w:rPr>
          <w:rFonts w:ascii="Times New Roman" w:hAnsi="Times New Roman"/>
          <w:b w:val="0"/>
          <w:i/>
          <w:sz w:val="22"/>
        </w:rPr>
        <w:t>[Illustration 19: Schenley Whiskey Advertisement using patriotic themes. From American Foreign Service Association (1943).]</w:t>
      </w:r>
    </w:p>
    <w:p>
      <w:pPr>
        <w:spacing w:after="120" w:before="0" w:line="276" w:lineRule="auto"/>
        <w:ind w:firstLine="432"/>
        <w:jc w:val="both"/>
      </w:pPr>
      <w:r>
        <w:rPr>
          <w:rFonts w:ascii="Times New Roman" w:hAnsi="Times New Roman"/>
          <w:b w:val="0"/>
          <w:i w:val="0"/>
          <w:sz w:val="24"/>
        </w:rPr>
        <w:t>Photographs of American soldiers drinking wine on the streets of liberated Paris after the Normandy invasion became some of the most reproduced images of the war — celebrations of freedom in which alcohol was central.</w:t>
      </w:r>
    </w:p>
    <w:p>
      <w:pPr>
        <w:spacing w:after="240" w:before="240" w:line="276" w:lineRule="auto"/>
        <w:jc w:val="center"/>
      </w:pPr>
      <w:r>
        <w:rPr>
          <w:rFonts w:ascii="Times New Roman" w:hAnsi="Times New Roman"/>
          <w:b w:val="0"/>
          <w:i/>
          <w:sz w:val="22"/>
        </w:rPr>
        <w:t>[Illustration 20: American Soldiers Drinking on the Paris Streets following The Battle of Normandy. From Popperfoto (1944, July 1).]</w:t>
      </w:r>
    </w:p>
    <w:p>
      <w:pPr>
        <w:spacing w:after="240" w:before="240" w:line="276" w:lineRule="auto"/>
        <w:jc w:val="center"/>
      </w:pPr>
      <w:r>
        <w:rPr>
          <w:rFonts w:ascii="Times New Roman" w:hAnsi="Times New Roman"/>
          <w:b w:val="0"/>
          <w:i/>
          <w:sz w:val="22"/>
        </w:rPr>
        <w:t>[Illustration 21: American Soldiers receiving their beer ration on Sterling Island, 1944. From National World War II Museum (2021).]</w:t>
      </w:r>
    </w:p>
    <w:p>
      <w:pPr>
        <w:spacing w:after="240" w:before="240" w:line="276" w:lineRule="auto"/>
        <w:jc w:val="center"/>
      </w:pPr>
      <w:r>
        <w:rPr>
          <w:rFonts w:ascii="Times New Roman" w:hAnsi="Times New Roman"/>
          <w:b w:val="0"/>
          <w:i/>
          <w:sz w:val="22"/>
        </w:rPr>
        <w:t>[Illustration 22: British Navy Seaman receiving their Rum Rations circa World War II. From Central Press (1942, June 30).]</w:t>
      </w:r>
    </w:p>
    <w:p>
      <w:pPr>
        <w:spacing w:after="120" w:before="0" w:line="276" w:lineRule="auto"/>
        <w:ind w:firstLine="432"/>
        <w:jc w:val="both"/>
      </w:pPr>
      <w:r>
        <w:rPr>
          <w:rFonts w:ascii="Times New Roman" w:hAnsi="Times New Roman"/>
          <w:b w:val="0"/>
          <w:i w:val="0"/>
          <w:sz w:val="24"/>
        </w:rPr>
        <w:t>It is well documented that WWII veterans suffered disproportionately high levels of alcoholism (Herrmann et al., 1996; Shephard, 2001). The postwar era delivered on the promise of celebration. Returning veterans drove a consumption boom, and per capita alcohol consumption rose steadily, a trend that extended into the 1960s and accelerated in the 1970s (Landberg, 2009). The stage was set for the medium that would change everything: television.</w:t>
      </w:r>
    </w:p>
    <w:p>
      <w:r>
        <w:br w:type="page"/>
      </w:r>
    </w:p>
    <w:p>
      <w:pPr>
        <w:spacing w:before="1440" w:after="480"/>
        <w:jc w:val="center"/>
      </w:pPr>
      <w:r>
        <w:rPr>
          <w:rFonts w:ascii="Times New Roman" w:hAnsi="Times New Roman"/>
          <w:b/>
          <w:i w:val="0"/>
          <w:sz w:val="32"/>
        </w:rPr>
        <w:t>CHAPTER 6</w:t>
        <w:br/>
        <w:t>The Golden Age and the Screen</w:t>
      </w:r>
    </w:p>
    <w:p>
      <w:pPr>
        <w:spacing w:after="120" w:before="0" w:line="276" w:lineRule="auto"/>
        <w:ind w:firstLine="432"/>
        <w:jc w:val="both"/>
      </w:pPr>
      <w:r>
        <w:rPr>
          <w:rFonts w:ascii="Times New Roman" w:hAnsi="Times New Roman"/>
          <w:b w:val="0"/>
          <w:i w:val="0"/>
          <w:sz w:val="24"/>
        </w:rPr>
        <w:t>In the early 1950s, a new appliance took its place in American living rooms, kicking off what many historians refer to as the Golden Age of Advertising (Cracknell, 2012). Television was the most powerful advertising medium ever invented — it combined the visual impact of print with the emotional intimacy of radio and delivered both directly into the home. Companies created television commercials showcasing products in the best possible light, using catchy slogans like “When you say Budweiser, you’ve said it all” to create lasting brand associations (Samuel, 2001; Richards, 2022).</w:t>
      </w:r>
    </w:p>
    <w:p>
      <w:pPr>
        <w:spacing w:after="120" w:before="0" w:line="276" w:lineRule="auto"/>
        <w:ind w:firstLine="432"/>
        <w:jc w:val="both"/>
      </w:pPr>
      <w:r>
        <w:rPr>
          <w:rFonts w:ascii="Times New Roman" w:hAnsi="Times New Roman"/>
          <w:b w:val="0"/>
          <w:i w:val="0"/>
          <w:sz w:val="24"/>
        </w:rPr>
        <w:t>The spirits industry took a different approach. In 1948, the Distilled Spirits Council adopted a voluntary code keeping hard liquor advertisements off television and radio (Hacker, 1998). The code was framed as corporate responsibility, but it ceded the airwaves entirely to beer and wine brands. In a self-regulated system, the industry establishes its own guidelines with no repercussions for noncompliance. Research has shown that despite self-regulation, undesirable outcomes related to alcohol advertising — such as underage drinking — remain common (Anderson et al., 2009). The vacuum left by spirits was filled by prolific advertisements for beer (Miller, 2002).</w:t>
      </w:r>
    </w:p>
    <w:p>
      <w:pPr>
        <w:spacing w:after="240" w:before="240" w:line="276" w:lineRule="auto"/>
        <w:jc w:val="center"/>
      </w:pPr>
      <w:r>
        <w:rPr>
          <w:rFonts w:ascii="Times New Roman" w:hAnsi="Times New Roman"/>
          <w:b w:val="0"/>
          <w:i/>
          <w:sz w:val="22"/>
        </w:rPr>
        <w:t>[Illustration 23: Budweiser television commercial advertisements through the late 20th century. Left: ‘Where there’s life, there’s Bud’ (1956). Right: ‘Wassup’ (1999). From BetterBrandsSC (2013) and Barnett (2022, June 14), respectively.]</w:t>
      </w:r>
    </w:p>
    <w:p>
      <w:pPr>
        <w:spacing w:after="120" w:before="0" w:line="276" w:lineRule="auto"/>
        <w:ind w:firstLine="432"/>
        <w:jc w:val="both"/>
      </w:pPr>
      <w:r>
        <w:rPr>
          <w:rFonts w:ascii="Times New Roman" w:hAnsi="Times New Roman"/>
          <w:b w:val="0"/>
          <w:i w:val="0"/>
          <w:sz w:val="24"/>
        </w:rPr>
        <w:t>Product placement became one of the industry’s most effective tools. This advertising technique has been increasingly popular since the 1970s, becoming ubiquitous after the 1982 success of the film E.T. (Babin, 1996; Newell et al., 2006). The partnership between James Bond and Smirnoff vodka is perhaps the most famous example. Wilson et al. (2018) systematically analyzed six decades of James Bond films and found 109 alcohol product placement events — 4.5 per film.</w:t>
      </w:r>
    </w:p>
    <w:p>
      <w:pPr>
        <w:spacing w:after="240" w:before="240" w:line="276" w:lineRule="auto"/>
        <w:jc w:val="center"/>
      </w:pPr>
      <w:r>
        <w:rPr>
          <w:rFonts w:ascii="Times New Roman" w:hAnsi="Times New Roman"/>
          <w:b w:val="0"/>
          <w:i/>
          <w:sz w:val="22"/>
        </w:rPr>
        <w:t>[Illustration 24: James Bond’s long history of Smirnoff product placement. Left: Dr. No (1962). Right: No Time to Die (2021). From Young (1962) and Fukunaga (2021), respectively.]</w:t>
      </w:r>
    </w:p>
    <w:p>
      <w:pPr>
        <w:spacing w:after="120" w:before="0" w:line="276" w:lineRule="auto"/>
        <w:ind w:firstLine="432"/>
        <w:jc w:val="both"/>
      </w:pPr>
      <w:r>
        <w:rPr>
          <w:rFonts w:ascii="Times New Roman" w:hAnsi="Times New Roman"/>
          <w:b w:val="0"/>
          <w:i w:val="0"/>
          <w:sz w:val="24"/>
        </w:rPr>
        <w:t>Sponsorship operated on the same principle. When Miller Lite signed a sponsorship deal with the Dallas Cowboys in 1991, it bought an association linking its brand to the emotional intensity of professional football (Fischer, 2021; Meenaghan, 2021; Crompton, 1993). Research has demonstrated that alcohol sports sponsorship is associated with increased levels of drinking amongst youth and hazardous drinking among adults (Brown, 2016).</w:t>
      </w:r>
    </w:p>
    <w:p>
      <w:pPr>
        <w:spacing w:after="240" w:before="240" w:line="276" w:lineRule="auto"/>
        <w:jc w:val="center"/>
      </w:pPr>
      <w:r>
        <w:rPr>
          <w:rFonts w:ascii="Times New Roman" w:hAnsi="Times New Roman"/>
          <w:b w:val="0"/>
          <w:i/>
          <w:sz w:val="22"/>
        </w:rPr>
        <w:t>[Illustration 25: Advertisement depicting the Cowboys Lite House, sponsored by Miller Lite. From Dallas Cowboys (n.d.).]</w:t>
      </w:r>
    </w:p>
    <w:p>
      <w:pPr>
        <w:spacing w:after="120" w:before="0" w:line="276" w:lineRule="auto"/>
        <w:ind w:firstLine="432"/>
        <w:jc w:val="both"/>
      </w:pPr>
      <w:r>
        <w:rPr>
          <w:rFonts w:ascii="Times New Roman" w:hAnsi="Times New Roman"/>
          <w:b w:val="0"/>
          <w:i w:val="0"/>
          <w:sz w:val="24"/>
        </w:rPr>
        <w:t>Celebrity endorsement pushed the strategy further still. When Sean “Diddy” Combs partnered with Ciroc vodka in the mid-2000s, it accelerated vodka consumption among young Black Americans, a demographic previously hard to reach by vodka brands (Siegel et al., 2012; Bergkvist et al., 2016; Atkin et al., 1983). When George Clooney co-founded Casamigos tequila, the brand’s identity was essentially indistinguishable from Clooney’s own (Kellershohn, 2022). The sale of Casamigos to Diageo for one billion dollars demonstrated just how valuable that fusion of celebrity and brand could be.</w:t>
      </w:r>
    </w:p>
    <w:p>
      <w:pPr>
        <w:spacing w:after="240" w:before="240" w:line="276" w:lineRule="auto"/>
        <w:jc w:val="center"/>
      </w:pPr>
      <w:r>
        <w:rPr>
          <w:rFonts w:ascii="Times New Roman" w:hAnsi="Times New Roman"/>
          <w:b w:val="0"/>
          <w:i/>
          <w:sz w:val="22"/>
        </w:rPr>
        <w:t>[Illustration 26: Advertisement for Casamigos Tequila featuring celebrity endorser George Clooney. From Domenic (n.d.).]</w:t>
      </w:r>
    </w:p>
    <w:p>
      <w:pPr>
        <w:spacing w:after="120" w:before="0" w:line="276" w:lineRule="auto"/>
        <w:ind w:firstLine="432"/>
        <w:jc w:val="both"/>
      </w:pPr>
      <w:r>
        <w:rPr>
          <w:rFonts w:ascii="Times New Roman" w:hAnsi="Times New Roman"/>
          <w:b w:val="0"/>
          <w:i w:val="0"/>
          <w:sz w:val="24"/>
        </w:rPr>
        <w:t>Research has shown that product placement, sponsorship, and celebrity endorsement are effective in promoting brand awareness and increasing alcohol use, particularly among youth and young adults (Jernigan et al., 2008; Bragg et al., 2018; Sargnet et al., 2020). By the end of the twentieth century, alcohol had achieved a kind of cultural saturation. It was not merely advertised. It was ambient. And then the internet arrived.</w:t>
      </w:r>
    </w:p>
    <w:p>
      <w:r>
        <w:br w:type="page"/>
      </w:r>
    </w:p>
    <w:p>
      <w:pPr>
        <w:spacing w:before="1440" w:after="480"/>
        <w:jc w:val="center"/>
      </w:pPr>
      <w:r>
        <w:rPr>
          <w:rFonts w:ascii="Times New Roman" w:hAnsi="Times New Roman"/>
          <w:b/>
          <w:i w:val="0"/>
          <w:sz w:val="32"/>
        </w:rPr>
        <w:t>CHAPTER 7</w:t>
        <w:br/>
        <w:t>The Feed</w:t>
      </w:r>
    </w:p>
    <w:p>
      <w:pPr>
        <w:spacing w:after="120" w:before="0" w:line="276" w:lineRule="auto"/>
        <w:ind w:firstLine="432"/>
        <w:jc w:val="both"/>
      </w:pPr>
      <w:r>
        <w:rPr>
          <w:rFonts w:ascii="Times New Roman" w:hAnsi="Times New Roman"/>
          <w:b w:val="0"/>
          <w:i w:val="0"/>
          <w:sz w:val="24"/>
        </w:rPr>
        <w:t>In the mid-1990s, the emergence of the internet started to garner widespread public attention (Dutton, 2013), and the alcohol industry was quick to identify its potential. Some of the earliest forms of digital advertising were static banner ads on websites, similar to a digital billboard (Manchanda et al., 2006). Brands like Budweiser were among the pioneers, purchasing banner space on popular platforms (Davik, 2000).</w:t>
      </w:r>
    </w:p>
    <w:p>
      <w:pPr>
        <w:spacing w:after="120" w:before="0" w:line="276" w:lineRule="auto"/>
        <w:ind w:firstLine="432"/>
        <w:jc w:val="both"/>
      </w:pPr>
      <w:r>
        <w:rPr>
          <w:rFonts w:ascii="Times New Roman" w:hAnsi="Times New Roman"/>
          <w:b w:val="0"/>
          <w:i w:val="0"/>
          <w:sz w:val="24"/>
        </w:rPr>
        <w:t>Major alcohol brands started creating their own dedicated websites. Jack Daniel’s launched its website in the mid-1990s, filled with information about its whiskey-making process, cocktail recipes, and historical tidbits (McCune, 1998; Gordon, 2010). Programmatic advertising emerged as a means to target potential consumers more specifically, with dynamic, interactive content linking directly to product homepages (Hammersley, 2003). Email campaigns further personalized brands’ connections with consumers, allowing brands to leverage specific information to tailor messages (Hastings, 2009; Kingsnorth, 2022).</w:t>
      </w:r>
    </w:p>
    <w:p>
      <w:pPr>
        <w:spacing w:after="240" w:before="240" w:line="276" w:lineRule="auto"/>
        <w:jc w:val="center"/>
      </w:pPr>
      <w:r>
        <w:rPr>
          <w:rFonts w:ascii="Times New Roman" w:hAnsi="Times New Roman"/>
          <w:b w:val="0"/>
          <w:i/>
          <w:sz w:val="22"/>
        </w:rPr>
        <w:t>[Illustration 27: Early (top, circa 1997) and modern (bottom, circa 2023) stills of Jack Daniel’s website. From Jack Daniels (1997) and Jack Daniel’s (2023), respectively.]</w:t>
      </w:r>
    </w:p>
    <w:p>
      <w:pPr>
        <w:spacing w:after="120" w:before="0" w:line="276" w:lineRule="auto"/>
        <w:ind w:firstLine="432"/>
        <w:jc w:val="both"/>
      </w:pPr>
      <w:r>
        <w:rPr>
          <w:rFonts w:ascii="Times New Roman" w:hAnsi="Times New Roman"/>
          <w:b w:val="0"/>
          <w:i w:val="0"/>
          <w:sz w:val="24"/>
        </w:rPr>
        <w:t>Social media changed everything again. Platforms like Facebook, Instagram, and Twitter offered something no previous advertising medium could match: the ability to make commercial messages look like personal communication. Since the late 2000s, the alcohol industry has been effectively using social media marketing (Hastings, 2009; Lobstein et al., 2016; Noel et al., 2020; Dwivedi et al., 2015; Jamil et al., 2022). Smirnoff’s Facebook strategy was designed with explicit intent to make branded content indistinguishable from posts by friends and family. Internal documents revealed that Smirnoff insiders were aware that nearly 75% of their Facebook followers were under the legal drinking age (Hastings, 2009).</w:t>
      </w:r>
    </w:p>
    <w:p>
      <w:pPr>
        <w:spacing w:after="240" w:before="240" w:line="276" w:lineRule="auto"/>
        <w:jc w:val="center"/>
      </w:pPr>
      <w:r>
        <w:rPr>
          <w:rFonts w:ascii="Times New Roman" w:hAnsi="Times New Roman"/>
          <w:b w:val="0"/>
          <w:i/>
          <w:sz w:val="22"/>
        </w:rPr>
        <w:t>[Illustration 28: Facebook post from Smirnoff Vodka, circa 2023. The post shows the insidious nature of SMM, with content appearing like user-generated content — selfies, hashtags, emojis, likes, comments, and shares — virtually indistinguishable in form. From Smirnoff US (2023).]</w:t>
      </w:r>
    </w:p>
    <w:p>
      <w:pPr>
        <w:spacing w:after="120" w:before="0" w:line="276" w:lineRule="auto"/>
        <w:ind w:firstLine="432"/>
        <w:jc w:val="both"/>
      </w:pPr>
      <w:r>
        <w:rPr>
          <w:rFonts w:ascii="Times New Roman" w:hAnsi="Times New Roman"/>
          <w:b w:val="0"/>
          <w:i w:val="0"/>
          <w:sz w:val="24"/>
        </w:rPr>
        <w:t>Research has shown that social media marketing of alcohol is associated with initiating, using, and abusing alcohol, especially among youth and young adults (Moreno et al., 2014; Jernigan et al., 2017; Curtis et al., 2018; Hendriks et al., 2021; Alhabash et al., 2022). The blurring of commercial and user-generated content created a new kind of advertising environment. When a college student posted a photo holding a bottle of craft beer, was that advertising? When an influencer mentioned a tequila brand, was that a paid endorsement or a personal recommendation? The lines dissolved, and the dissolution was profitable.</w:t>
      </w:r>
    </w:p>
    <w:p>
      <w:pPr>
        <w:spacing w:after="120" w:before="0" w:line="276" w:lineRule="auto"/>
        <w:ind w:firstLine="432"/>
        <w:jc w:val="both"/>
      </w:pPr>
      <w:r>
        <w:rPr>
          <w:rFonts w:ascii="Times New Roman" w:hAnsi="Times New Roman"/>
          <w:b w:val="0"/>
          <w:i w:val="0"/>
          <w:sz w:val="24"/>
        </w:rPr>
        <w:t>By the time the COVID-19 pandemic arrived in early 2020, the infrastructure was already in place. Americans were confined to their homes, anxious, isolated, and spending more time on social media than ever before (Auxier et al., 2021; Bendau et al., 2021; Nabi et al., 2022; Price et al., 2022). The ancient industry had adapted once again, and the consequences were only beginning to be understood.</w:t>
      </w:r>
    </w:p>
    <w:p>
      <w:r>
        <w:br w:type="page"/>
      </w:r>
    </w:p>
    <w:p>
      <w:pPr>
        <w:spacing w:before="1440" w:after="480"/>
        <w:jc w:val="center"/>
      </w:pPr>
      <w:r>
        <w:rPr>
          <w:rFonts w:ascii="Times New Roman" w:hAnsi="Times New Roman"/>
          <w:b/>
          <w:i w:val="0"/>
          <w:sz w:val="32"/>
        </w:rPr>
        <w:t>CHAPTER 8</w:t>
        <w:br/>
        <w:t>Three Key Points</w:t>
      </w:r>
    </w:p>
    <w:p>
      <w:pPr>
        <w:spacing w:after="120" w:before="0" w:line="276" w:lineRule="auto"/>
        <w:ind w:firstLine="432"/>
        <w:jc w:val="both"/>
      </w:pPr>
      <w:r>
        <w:rPr>
          <w:rFonts w:ascii="Times New Roman" w:hAnsi="Times New Roman"/>
          <w:b w:val="0"/>
          <w:i w:val="0"/>
          <w:sz w:val="24"/>
        </w:rPr>
        <w:t>Nine thousand years of history leaves certain patterns visible if you know where to look. Three, in particular, stand out from the long story told in the preceding chapters.</w:t>
      </w:r>
    </w:p>
    <w:p>
      <w:pPr>
        <w:spacing w:after="120" w:before="0" w:line="276" w:lineRule="auto"/>
        <w:ind w:firstLine="432"/>
        <w:jc w:val="both"/>
      </w:pPr>
      <w:r>
        <w:rPr>
          <w:rFonts w:ascii="Times New Roman" w:hAnsi="Times New Roman"/>
          <w:b w:val="0"/>
          <w:i w:val="0"/>
          <w:sz w:val="24"/>
        </w:rPr>
        <w:t>The first is this: the alcohol industry’s success has always been tied to advances in communication technology. This is not a coincidence. It is a strategy. From the hand-written documents like De Agri Cultura (Cato et al., 1934) to the pub signs of medieval England (Richards, 2022), from Brunschwig’s printed manual (Bruschwig et al., 1500; Gately, 2008) to the color newspaper advertisements of the nineteenth century, from television (Miller, 2002; Cracknell, 2012; Samuel, 2001) to the social media platforms of the twenty-first century (Dutton, 2013; Kingsnorth, 2022), the industry has consistently been among the earliest and most aggressive adopters of every new medium. The pattern is so consistent that it amounts to a defining characteristic of the industry itself.</w:t>
      </w:r>
    </w:p>
    <w:p>
      <w:pPr>
        <w:spacing w:after="240" w:before="240" w:line="276" w:lineRule="auto"/>
        <w:jc w:val="center"/>
      </w:pPr>
      <w:r>
        <w:rPr>
          <w:rFonts w:ascii="Times New Roman" w:hAnsi="Times New Roman"/>
          <w:b w:val="0"/>
          <w:i/>
          <w:sz w:val="22"/>
        </w:rPr>
        <w:t>[Illustration 29: Adapted Conceptual Model for the Differential Susceptibility to Media Effects Model (DSMM).]</w:t>
      </w:r>
    </w:p>
    <w:p>
      <w:pPr>
        <w:spacing w:after="120" w:before="0" w:line="276" w:lineRule="auto"/>
        <w:ind w:firstLine="432"/>
        <w:jc w:val="both"/>
      </w:pPr>
      <w:r>
        <w:rPr>
          <w:rFonts w:ascii="Times New Roman" w:hAnsi="Times New Roman"/>
          <w:b w:val="0"/>
          <w:i w:val="0"/>
          <w:sz w:val="24"/>
        </w:rPr>
        <w:t>The second pattern is darker. The alcohol industry has a long and documented history of exploiting vulnerable populations. The triangular trade that built the colonial rum industry was powered by enslaved labor (McCusker, 1970; Higman, 2000). The Jim Crow era concentrated alcohol wealth in the hands of white capitalists while systematically excluding Black entrepreneurs (Godsil, 2006; Trounstine, 2018). Depression-era advertising targeted economically devastated men and isolated women with messaging designed to exploit their psychological vulnerabilities (Armengol, 2014; Parkin, 2007; Lefebvre et al., 2020). And the social media strategies of the twenty-first century have proven structurally incapable of preventing exposure of minors to alcohol marketing (Hastings, 2009; Auxier et al., 2021).</w:t>
      </w:r>
    </w:p>
    <w:p>
      <w:pPr>
        <w:spacing w:after="120" w:before="0" w:line="276" w:lineRule="auto"/>
        <w:ind w:firstLine="432"/>
        <w:jc w:val="both"/>
      </w:pPr>
      <w:r>
        <w:rPr>
          <w:rFonts w:ascii="Times New Roman" w:hAnsi="Times New Roman"/>
          <w:b w:val="0"/>
          <w:i w:val="0"/>
          <w:sz w:val="24"/>
        </w:rPr>
        <w:t>The third pattern concerns the lasting power of media portrayals. When James Bond ordered a vodka martini in 1962, he created an association between sophistication and Smirnoff that endured for more than six decades (Wilson et al., 2018). When wartime photographs showed soldiers drinking in liberated Paris, they created an equation between alcohol and freedom that shaped American culture for generations. Gender norms around alcohol — men with beer and hard liquor, women with wine — have been reinforced through decades of targeted marketing (Parkin, 2007; Armengol, 2014; Golia, 2016; Carrotte, 2016; Auter, 2016; Lefebvre et al., 2020). These portrayals do not merely sell a product. They construct a world (Kellershohn, 2022).</w:t>
      </w:r>
    </w:p>
    <w:p>
      <w:pPr>
        <w:spacing w:after="240" w:before="240" w:line="276" w:lineRule="auto"/>
        <w:jc w:val="center"/>
      </w:pPr>
      <w:r>
        <w:rPr>
          <w:rFonts w:ascii="Times New Roman" w:hAnsi="Times New Roman"/>
          <w:b w:val="0"/>
          <w:i/>
          <w:sz w:val="22"/>
        </w:rPr>
        <w:t>[Illustration 30: Conceptual Model for Cross-lagged Panel Analyses in Study 2.]</w:t>
      </w:r>
    </w:p>
    <w:p>
      <w:pPr>
        <w:spacing w:after="120" w:before="0" w:line="276" w:lineRule="auto"/>
        <w:ind w:firstLine="432"/>
        <w:jc w:val="both"/>
      </w:pPr>
      <w:r>
        <w:rPr>
          <w:rFonts w:ascii="Times New Roman" w:hAnsi="Times New Roman"/>
          <w:b w:val="0"/>
          <w:i w:val="0"/>
          <w:sz w:val="24"/>
        </w:rPr>
        <w:t>The COVID-19 pandemic brought all three patterns into convergence. A communications technology — social media — reached people in their most vulnerable moments, confined to their homes, frightened, and cut off from normal social support (Pfefferbaum et al., 2020; Panchal et al., 2023). The industry’s digital marketing apparatus delivered alcohol advertising directly to those people with unprecedented precision. The pandemic led to documented increases in stress, isolation, alcohol consumption, and related mortality (Grossman et al., 2020; Koob et al., 2020; Pollard et al., 2020; Foster et al., 2021; White et al., 2022). And the accumulated weight of decades of media portrayal — alcohol as comfort, as reward, as escape — primed millions of Americans to respond in exactly the way the advertising intended. Media portrayals from the alcohol industry during this period included the new availability of delivery alcohol and the promotion of virtual happy hours (Atkinson et al., 2021; Martino et al., 2021; Gerritsen et al., 2021; Pakdaman et al., 2021).</w:t>
      </w:r>
    </w:p>
    <w:p>
      <w:pPr>
        <w:spacing w:after="120" w:before="0" w:line="276" w:lineRule="auto"/>
        <w:ind w:firstLine="432"/>
        <w:jc w:val="both"/>
      </w:pPr>
      <w:r>
        <w:rPr>
          <w:rFonts w:ascii="Times New Roman" w:hAnsi="Times New Roman"/>
          <w:b w:val="0"/>
          <w:i w:val="0"/>
          <w:sz w:val="24"/>
        </w:rPr>
        <w:t>The drinking age is not a number on a card. It is the age we live in — an era in which the ancient industry of alcohol has achieved a level of commercial sophistication and cultural penetration that its founders could never have imagined. Understanding how we arrived here is the first step toward deciding where we go next. That decision belongs to all of us. But it must be made with open eyes.</w:t>
      </w:r>
    </w:p>
    <w:p>
      <w:r>
        <w:br w:type="page"/>
      </w:r>
    </w:p>
    <w:p>
      <w:pPr>
        <w:spacing w:before="1440" w:after="480"/>
        <w:jc w:val="center"/>
      </w:pPr>
      <w:r>
        <w:rPr>
          <w:rFonts w:ascii="Times New Roman" w:hAnsi="Times New Roman"/>
          <w:b/>
          <w:i w:val="0"/>
          <w:sz w:val="32"/>
        </w:rPr>
        <w:t>AFTERWORD</w:t>
      </w:r>
    </w:p>
    <w:p>
      <w:pPr>
        <w:spacing w:after="120" w:before="0" w:line="276" w:lineRule="auto"/>
        <w:ind w:firstLine="432"/>
        <w:jc w:val="both"/>
      </w:pPr>
      <w:r>
        <w:rPr>
          <w:rFonts w:ascii="Times New Roman" w:hAnsi="Times New Roman"/>
          <w:b w:val="0"/>
          <w:i w:val="0"/>
          <w:sz w:val="24"/>
        </w:rPr>
        <w:t>I began this research as a doctoral student at the University of Texas at Austin, surrounded by the artifacts of a drinking culture so pervasive that it had become invisible. Austin is a city that loves its bars, its live music venues, its craft breweries, and its weekend brunches with bottomless mimosas. I participated in that culture, as most people do, without thinking very much about where it came from or who benefits from it.</w:t>
      </w:r>
    </w:p>
    <w:p>
      <w:pPr>
        <w:spacing w:after="120" w:before="0" w:line="276" w:lineRule="auto"/>
        <w:ind w:firstLine="432"/>
        <w:jc w:val="both"/>
      </w:pPr>
      <w:r>
        <w:rPr>
          <w:rFonts w:ascii="Times New Roman" w:hAnsi="Times New Roman"/>
          <w:b w:val="0"/>
          <w:i w:val="0"/>
          <w:sz w:val="24"/>
        </w:rPr>
        <w:t>Writing this history changed that. Not because the facts were surprising — most of them are hiding in plain sight — but because seeing them assembled in sequence reveals a pattern that is difficult to unsee. The alcohol industry is not simply a business that makes a product people enjoy. It is one of the most adaptive, strategically sophisticated, and historically consequential commercial enterprises in human civilization. It has survived prohibition, regulation, and social movements that would have destroyed lesser industries. It has shaped the media landscape, the political process, and the cultural imagination of entire nations.</w:t>
      </w:r>
    </w:p>
    <w:p>
      <w:pPr>
        <w:spacing w:after="120" w:before="0" w:line="276" w:lineRule="auto"/>
        <w:ind w:firstLine="432"/>
        <w:jc w:val="both"/>
      </w:pPr>
      <w:r>
        <w:rPr>
          <w:rFonts w:ascii="Times New Roman" w:hAnsi="Times New Roman"/>
          <w:b w:val="0"/>
          <w:i w:val="0"/>
          <w:sz w:val="24"/>
        </w:rPr>
        <w:t>I do not presume to tell anyone whether or how much to drink. That is a personal decision, and I respect it. But I do believe that decisions made in ignorance are not truly free. My hope is that this book has provided some of the context that makes genuine choice possible. The industry will keep adapting. The question is whether the rest of us will keep paying attention.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