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Alcohol Industry Marketing Influence on User-Generated Content</w:t>
        <w:br/>
        <w:t>During COVID-19 Pandemic Lockdowns</w:t>
      </w:r>
    </w:p>
    <w:p>
      <w:pPr>
        <w:jc w:val="center"/>
      </w:pPr>
      <w:r>
        <w:rPr>
          <w:rFonts w:ascii="Times New Roman" w:hAnsi="Times New Roman"/>
          <w:sz w:val="24"/>
        </w:rPr>
        <w:t>Jacob Edward Thomas &amp; Keryn E. Pasch</w:t>
      </w:r>
    </w:p>
    <w:p>
      <w:pPr>
        <w:jc w:val="center"/>
      </w:pPr>
      <w:r>
        <w:rPr>
          <w:rFonts w:ascii="Times New Roman" w:hAnsi="Times New Roman"/>
          <w:i/>
          <w:sz w:val="24"/>
        </w:rPr>
        <w:t>The University of Texas at Austin</w:t>
      </w:r>
    </w:p>
    <w:p>
      <w:pPr>
        <w:pStyle w:val="Heading1"/>
      </w:pPr>
      <w:r>
        <w:t>Abstract</w:t>
      </w:r>
    </w:p>
    <w:p>
      <w:r>
        <w:t>This study examined bidirectional associations between alcohol brand tweets and user-generated content about alcohol delivery and isolation drinking during COVID-19 lockdowns (March–May 2020). Industry data comprised 703 tweets from 11 major alcohol brands, of which 126 were classified under the Alcohol Delivery and Isolation Drinking (AD-ID) theme using GPT-4o (Thomas, 2025). User data comprised 486,786 tweets from 66,303 unique U.S. users referencing COVID-19, drawn from the CML-COVID dataset (Dashtian et al., 2021). Cross-lagged panel modeling using generalized structural equation modeling in Stata (StataCorp, 2021) across two time periods revealed a significant unidirectional pathway: potential exposure to alcohol brand AD-ID tweets predicted subsequent user-generated content about the same theme (β = 0.05, p &lt; 0.01, OR = 1.05), but user-generated content did not predict subsequent industry output (β = 0.01, p = 0.639). Both variables exhibited high temporal stability (potential exposure: β = 0.85, p &lt; 0.01; user content: β = 2.76, p &lt; 0.01, OR = 15.8). Cross-sectional associations were marginally significant at T1 (β = 0.21, p = 0.054) and non-significant at T2 (β = 0.07, p = 0.12). These findings suggest that alcohol industry messaging during the pandemic influenced public discourse about drinking during lockdowns, rather than the industry merely responding to organic public demand.</w:t>
      </w:r>
    </w:p>
    <w:p>
      <w:pPr>
        <w:pStyle w:val="Heading1"/>
      </w:pPr>
      <w:r>
        <w:t>Introduction</w:t>
      </w:r>
    </w:p>
    <w:p>
      <w:r>
        <w:t>The COVID-19 pandemic was associated with significant increases in alcohol-related morbidity and mortality, particularly among young adults. White et al. (2022) reported that alcohol-related deaths increased by 29.8% among Americans aged 16–20, 25.6% among those aged 21–24, and 37% among those aged 25–34 during the pandemic (Grossman et al., 2020; White et al., 2022). Simultaneously, social media usage intensified as stay-at-home orders and physical distancing measures transformed daily communication patterns (Fernandez et al., 2020; Pandey et al., 2020; Al-Habaibeh et al., 2021; Meier et al., 2021; Pham et al., 2022; Cho et al., 2023; Kelly et al., 2023), with platforms like Twitter (now X) becoming essential channels for pandemic-related information exchange and social connection (Haman et al., 2020; Rufai et al., 2020). Research consistently demonstrates that exposure to alcohol marketing influences drinking behaviors, with young adults being particularly susceptible (Anderson et al., 2009; Smith et al., 2009; Jernigan et al., 2017; Curtis et al., 2018; Hendriks et al., 2021; Alhabash et al., 2022). Among factors contributing to increased consumption, alcohol marketing on social media has received growing scrutiny as a potential driver of pandemic drinking behaviors.</w:t>
      </w:r>
    </w:p>
    <w:p>
      <w:r>
        <w:t>In a companion study (Thomas &amp; Pasch, 2025), we identified five marketing themes used by major alcohol brands on Twitter, including Alcohol Delivery and Isolation Drinking (AD-ID), which increased by 91.2% during lockdowns and remained elevated afterward. Sentiment analysis revealed that AD-ID content employed high emotional positivity and strategic communication styles. However, identifying thematic shifts in industry output does not establish whether those shifts influenced public behavior. It is equally plausible that brands were responding to organic consumer demand—that the public began discussing delivery and isolation drinking first, and brands followed.</w:t>
      </w:r>
    </w:p>
    <w:p>
      <w:r>
        <w:t>The Differential Susceptibility to Media Effects Model (DSMM; Valkenburg &amp; Peter, 2013) provides a framework for understanding bidirectional media influence, positing that media effects are reciprocal and contingent on individual and contextual factors. Media exposure triggers cognitive, emotional, and excitative responses that influence attitudes and behaviors (Valkenburg et al., 2013). Applied to alcohol marketing, exposure to alcohol-related content can inform consumers about drinking options, emotionally engage them through positive associations, and stimulate desire for consumption behaviors. Relatedly, the theory of sociogenesis highlights the bidirectional nature of media influence, wherein user-generated content and community trends can shape industry marketing practices (Valsiner et al., 2000; Baker et al., 2020; Walsh et al., 2020; Negowetti et al., 2022). Testing these frameworks requires examining both directions of influence simultaneously.</w:t>
      </w:r>
    </w:p>
    <w:p>
      <w:r>
        <w:t>Despite growing evidence of strategic shifts in alcohol marketing and changes in alcohol-related discussions on social media during the pandemic (Foundation for Alcohol Research &amp; Education, 2020; Colbert et al., 2020; Gerritsen et al., 2021; Huckle et al., 2021; Litt et al., 2021; Martino et al., 2021; Ward et al., 2021; Kennedy et al., 2022; Stone et al., 2022; Ahmed et al., 2024), significant gaps remain in understanding the bidirectional association between alcohol industry messaging and user-generated social media content. While previous research has documented marketing adaptations by the alcohol industry and changes in social media discussions about alcohol, no studies have systematically examined the longitudinal associations between alcohol industry marketing and user-generated content during the pandemic.</w:t>
      </w:r>
    </w:p>
    <w:p>
      <w:r>
        <w:t>The present study addresses this gap by modeling the bidirectional association between industry AD-ID tweets and user-generated content about alcohol delivery and isolation drinking during the COVID-19 lockdown period. We hypothesized positive bidirectional associations, anticipating that increased potential exposure to alcohol brand tweets would predict subsequent user-generated content, and conversely, that greater user-generated alcohol content would predict subsequent potential exposure to alcohol brand tweets. Understanding these dynamics is critical for informing what Lacy-Nichols et al. (2023) describe as the commercial determinants of health: structural factors driven by corporate interests that shape individual health outcomes beyond personal control.</w:t>
      </w:r>
    </w:p>
    <w:p>
      <w:pPr>
        <w:pStyle w:val="Heading1"/>
      </w:pPr>
      <w:r>
        <w:t>Method</w:t>
      </w:r>
    </w:p>
    <w:p>
      <w:pPr>
        <w:pStyle w:val="Heading2"/>
      </w:pPr>
      <w:r>
        <w:t>Data Sources</w:t>
      </w:r>
    </w:p>
    <w:p>
      <w:r>
        <w:t>Industry data were drawn from the PRL-TMS dataset (Thomas &amp; Pasch, 2025), comprising tweets from 11 major alcohol brands. During the lockdown period (March 25–May 31, 2020), 703 tweets were posted by these brands (Table 4), of which 126 were classified as AD-ID content using GPT-4o (OpenAI, 2024). User data were drawn from the CML-COVID dataset (Dashtian et al., 2021), a large-scale collection of over 19 million tweets from nearly 6 million global users containing COVID-19-related hashtags. The CML-COVID dataset was collected via Netlytic 2 utilizing the Twitter REST API and comprises tweets collected between March and July 2020. After filtering to English-language U.S.-based accounts, requiring tweets in both time periods, and implementing bot mitigation procedures, the user dataset contained 486,786 tweets from 66,303 unique users. A total of 536 user tweets were classified as AD-ID-relevant using the same GPT-4o classification protocol applied to industry data.</w:t>
      </w:r>
    </w:p>
    <w:p>
      <w:r>
        <w:rPr>
          <w:rFonts w:ascii="Times New Roman" w:hAnsi="Times New Roman"/>
          <w:b/>
          <w:i/>
          <w:sz w:val="20"/>
        </w:rPr>
        <w:t>Table 4. Summary of Alcohol Brand Tweets Included in Study 2 (March 25 – May 31, 2020)</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Brand (n = 11)</w:t>
            </w:r>
          </w:p>
        </w:tc>
        <w:tc>
          <w:tcPr>
            <w:tcW w:type="dxa" w:w="3120"/>
          </w:tcPr>
          <w:p>
            <w:r>
              <w:rPr>
                <w:rFonts w:ascii="Times New Roman" w:hAnsi="Times New Roman"/>
                <w:b/>
                <w:sz w:val="20"/>
              </w:rPr>
              <w:t>Number of Tweets (n = 703)</w:t>
            </w:r>
          </w:p>
        </w:tc>
        <w:tc>
          <w:tcPr>
            <w:tcW w:type="dxa" w:w="3120"/>
          </w:tcPr>
          <w:p>
            <w:r>
              <w:rPr>
                <w:rFonts w:ascii="Times New Roman" w:hAnsi="Times New Roman"/>
                <w:b/>
                <w:sz w:val="20"/>
              </w:rPr>
              <w:t>Number of Followers (n = 1,199,052)</w:t>
            </w:r>
          </w:p>
        </w:tc>
      </w:tr>
      <w:tr>
        <w:tc>
          <w:tcPr>
            <w:tcW w:type="dxa" w:w="3120"/>
          </w:tcPr>
          <w:p>
            <w:r>
              <w:rPr>
                <w:rFonts w:ascii="Times New Roman" w:hAnsi="Times New Roman"/>
                <w:b w:val="0"/>
                <w:sz w:val="20"/>
              </w:rPr>
              <w:t>Bud Light</w:t>
            </w:r>
          </w:p>
        </w:tc>
        <w:tc>
          <w:tcPr>
            <w:tcW w:type="dxa" w:w="3120"/>
          </w:tcPr>
          <w:p>
            <w:r>
              <w:rPr>
                <w:rFonts w:ascii="Times New Roman" w:hAnsi="Times New Roman"/>
                <w:b w:val="0"/>
                <w:sz w:val="20"/>
              </w:rPr>
              <w:t>193</w:t>
            </w:r>
          </w:p>
        </w:tc>
        <w:tc>
          <w:tcPr>
            <w:tcW w:type="dxa" w:w="3120"/>
          </w:tcPr>
          <w:p>
            <w:r>
              <w:rPr>
                <w:rFonts w:ascii="Times New Roman" w:hAnsi="Times New Roman"/>
                <w:b w:val="0"/>
                <w:sz w:val="20"/>
              </w:rPr>
              <w:t>248,718</w:t>
            </w:r>
          </w:p>
        </w:tc>
      </w:tr>
      <w:tr>
        <w:tc>
          <w:tcPr>
            <w:tcW w:type="dxa" w:w="3120"/>
          </w:tcPr>
          <w:p>
            <w:r>
              <w:rPr>
                <w:rFonts w:ascii="Times New Roman" w:hAnsi="Times New Roman"/>
                <w:b w:val="0"/>
                <w:sz w:val="20"/>
              </w:rPr>
              <w:t>Budweiser</w:t>
            </w:r>
          </w:p>
        </w:tc>
        <w:tc>
          <w:tcPr>
            <w:tcW w:type="dxa" w:w="3120"/>
          </w:tcPr>
          <w:p>
            <w:r>
              <w:rPr>
                <w:rFonts w:ascii="Times New Roman" w:hAnsi="Times New Roman"/>
                <w:b w:val="0"/>
                <w:sz w:val="20"/>
              </w:rPr>
              <w:t>148</w:t>
            </w:r>
          </w:p>
        </w:tc>
        <w:tc>
          <w:tcPr>
            <w:tcW w:type="dxa" w:w="3120"/>
          </w:tcPr>
          <w:p>
            <w:r>
              <w:rPr>
                <w:rFonts w:ascii="Times New Roman" w:hAnsi="Times New Roman"/>
                <w:b w:val="0"/>
                <w:sz w:val="20"/>
              </w:rPr>
              <w:t>17,762</w:t>
            </w:r>
          </w:p>
        </w:tc>
      </w:tr>
      <w:tr>
        <w:tc>
          <w:tcPr>
            <w:tcW w:type="dxa" w:w="3120"/>
          </w:tcPr>
          <w:p>
            <w:r>
              <w:rPr>
                <w:rFonts w:ascii="Times New Roman" w:hAnsi="Times New Roman"/>
                <w:b w:val="0"/>
                <w:sz w:val="20"/>
              </w:rPr>
              <w:t>Malibu</w:t>
            </w:r>
          </w:p>
        </w:tc>
        <w:tc>
          <w:tcPr>
            <w:tcW w:type="dxa" w:w="3120"/>
          </w:tcPr>
          <w:p>
            <w:r>
              <w:rPr>
                <w:rFonts w:ascii="Times New Roman" w:hAnsi="Times New Roman"/>
                <w:b w:val="0"/>
                <w:sz w:val="20"/>
              </w:rPr>
              <w:t>107</w:t>
            </w:r>
          </w:p>
        </w:tc>
        <w:tc>
          <w:tcPr>
            <w:tcW w:type="dxa" w:w="3120"/>
          </w:tcPr>
          <w:p>
            <w:r>
              <w:rPr>
                <w:rFonts w:ascii="Times New Roman" w:hAnsi="Times New Roman"/>
                <w:b w:val="0"/>
                <w:sz w:val="20"/>
              </w:rPr>
              <w:t>46,824</w:t>
            </w:r>
          </w:p>
        </w:tc>
      </w:tr>
      <w:tr>
        <w:tc>
          <w:tcPr>
            <w:tcW w:type="dxa" w:w="3120"/>
          </w:tcPr>
          <w:p>
            <w:r>
              <w:rPr>
                <w:rFonts w:ascii="Times New Roman" w:hAnsi="Times New Roman"/>
                <w:b w:val="0"/>
                <w:sz w:val="20"/>
              </w:rPr>
              <w:t>Truly Hard Seltzer</w:t>
            </w:r>
          </w:p>
        </w:tc>
        <w:tc>
          <w:tcPr>
            <w:tcW w:type="dxa" w:w="3120"/>
          </w:tcPr>
          <w:p>
            <w:r>
              <w:rPr>
                <w:rFonts w:ascii="Times New Roman" w:hAnsi="Times New Roman"/>
                <w:b w:val="0"/>
                <w:sz w:val="20"/>
              </w:rPr>
              <w:t>67</w:t>
            </w:r>
          </w:p>
        </w:tc>
        <w:tc>
          <w:tcPr>
            <w:tcW w:type="dxa" w:w="3120"/>
          </w:tcPr>
          <w:p>
            <w:r>
              <w:rPr>
                <w:rFonts w:ascii="Times New Roman" w:hAnsi="Times New Roman"/>
                <w:b w:val="0"/>
                <w:sz w:val="20"/>
              </w:rPr>
              <w:t>88,688</w:t>
            </w:r>
          </w:p>
        </w:tc>
      </w:tr>
      <w:tr>
        <w:tc>
          <w:tcPr>
            <w:tcW w:type="dxa" w:w="3120"/>
          </w:tcPr>
          <w:p>
            <w:r>
              <w:rPr>
                <w:rFonts w:ascii="Times New Roman" w:hAnsi="Times New Roman"/>
                <w:b w:val="0"/>
                <w:sz w:val="20"/>
              </w:rPr>
              <w:t>Jagermeister USA</w:t>
            </w:r>
          </w:p>
        </w:tc>
        <w:tc>
          <w:tcPr>
            <w:tcW w:type="dxa" w:w="3120"/>
          </w:tcPr>
          <w:p>
            <w:r>
              <w:rPr>
                <w:rFonts w:ascii="Times New Roman" w:hAnsi="Times New Roman"/>
                <w:b w:val="0"/>
                <w:sz w:val="20"/>
              </w:rPr>
              <w:t>49</w:t>
            </w:r>
          </w:p>
        </w:tc>
        <w:tc>
          <w:tcPr>
            <w:tcW w:type="dxa" w:w="3120"/>
          </w:tcPr>
          <w:p>
            <w:r>
              <w:rPr>
                <w:rFonts w:ascii="Times New Roman" w:hAnsi="Times New Roman"/>
                <w:b w:val="0"/>
                <w:sz w:val="20"/>
              </w:rPr>
              <w:t>81,707</w:t>
            </w:r>
          </w:p>
        </w:tc>
      </w:tr>
      <w:tr>
        <w:tc>
          <w:tcPr>
            <w:tcW w:type="dxa" w:w="3120"/>
          </w:tcPr>
          <w:p>
            <w:r>
              <w:rPr>
                <w:rFonts w:ascii="Times New Roman" w:hAnsi="Times New Roman"/>
                <w:b w:val="0"/>
                <w:sz w:val="20"/>
              </w:rPr>
              <w:t>Jack Daniel’s</w:t>
            </w:r>
          </w:p>
        </w:tc>
        <w:tc>
          <w:tcPr>
            <w:tcW w:type="dxa" w:w="3120"/>
          </w:tcPr>
          <w:p>
            <w:r>
              <w:rPr>
                <w:rFonts w:ascii="Times New Roman" w:hAnsi="Times New Roman"/>
                <w:b w:val="0"/>
                <w:sz w:val="20"/>
              </w:rPr>
              <w:t>45</w:t>
            </w:r>
          </w:p>
        </w:tc>
        <w:tc>
          <w:tcPr>
            <w:tcW w:type="dxa" w:w="3120"/>
          </w:tcPr>
          <w:p>
            <w:r>
              <w:rPr>
                <w:rFonts w:ascii="Times New Roman" w:hAnsi="Times New Roman"/>
                <w:b w:val="0"/>
                <w:sz w:val="20"/>
              </w:rPr>
              <w:t>125,605</w:t>
            </w:r>
          </w:p>
        </w:tc>
      </w:tr>
      <w:tr>
        <w:tc>
          <w:tcPr>
            <w:tcW w:type="dxa" w:w="3120"/>
          </w:tcPr>
          <w:p>
            <w:r>
              <w:rPr>
                <w:rFonts w:ascii="Times New Roman" w:hAnsi="Times New Roman"/>
                <w:b w:val="0"/>
                <w:sz w:val="20"/>
              </w:rPr>
              <w:t>Samuel Adams Beer</w:t>
            </w:r>
          </w:p>
        </w:tc>
        <w:tc>
          <w:tcPr>
            <w:tcW w:type="dxa" w:w="3120"/>
          </w:tcPr>
          <w:p>
            <w:r>
              <w:rPr>
                <w:rFonts w:ascii="Times New Roman" w:hAnsi="Times New Roman"/>
                <w:b w:val="0"/>
                <w:sz w:val="20"/>
              </w:rPr>
              <w:t>35</w:t>
            </w:r>
          </w:p>
        </w:tc>
        <w:tc>
          <w:tcPr>
            <w:tcW w:type="dxa" w:w="3120"/>
          </w:tcPr>
          <w:p>
            <w:r>
              <w:rPr>
                <w:rFonts w:ascii="Times New Roman" w:hAnsi="Times New Roman"/>
                <w:b w:val="0"/>
                <w:sz w:val="20"/>
              </w:rPr>
              <w:t>198,896</w:t>
            </w:r>
          </w:p>
        </w:tc>
      </w:tr>
      <w:tr>
        <w:tc>
          <w:tcPr>
            <w:tcW w:type="dxa" w:w="3120"/>
          </w:tcPr>
          <w:p>
            <w:r>
              <w:rPr>
                <w:rFonts w:ascii="Times New Roman" w:hAnsi="Times New Roman"/>
                <w:b w:val="0"/>
                <w:sz w:val="20"/>
              </w:rPr>
              <w:t>Brooklyn Brewery</w:t>
            </w:r>
          </w:p>
        </w:tc>
        <w:tc>
          <w:tcPr>
            <w:tcW w:type="dxa" w:w="3120"/>
          </w:tcPr>
          <w:p>
            <w:r>
              <w:rPr>
                <w:rFonts w:ascii="Times New Roman" w:hAnsi="Times New Roman"/>
                <w:b w:val="0"/>
                <w:sz w:val="20"/>
              </w:rPr>
              <w:t>30</w:t>
            </w:r>
          </w:p>
        </w:tc>
        <w:tc>
          <w:tcPr>
            <w:tcW w:type="dxa" w:w="3120"/>
          </w:tcPr>
          <w:p>
            <w:r>
              <w:rPr>
                <w:rFonts w:ascii="Times New Roman" w:hAnsi="Times New Roman"/>
                <w:b w:val="0"/>
                <w:sz w:val="20"/>
              </w:rPr>
              <w:t>220,140</w:t>
            </w:r>
          </w:p>
        </w:tc>
      </w:tr>
      <w:tr>
        <w:tc>
          <w:tcPr>
            <w:tcW w:type="dxa" w:w="3120"/>
          </w:tcPr>
          <w:p>
            <w:r>
              <w:rPr>
                <w:rFonts w:ascii="Times New Roman" w:hAnsi="Times New Roman"/>
                <w:b w:val="0"/>
                <w:sz w:val="20"/>
              </w:rPr>
              <w:t>White Claw</w:t>
            </w:r>
          </w:p>
        </w:tc>
        <w:tc>
          <w:tcPr>
            <w:tcW w:type="dxa" w:w="3120"/>
          </w:tcPr>
          <w:p>
            <w:r>
              <w:rPr>
                <w:rFonts w:ascii="Times New Roman" w:hAnsi="Times New Roman"/>
                <w:b w:val="0"/>
                <w:sz w:val="20"/>
              </w:rPr>
              <w:t>11</w:t>
            </w:r>
          </w:p>
        </w:tc>
        <w:tc>
          <w:tcPr>
            <w:tcW w:type="dxa" w:w="3120"/>
          </w:tcPr>
          <w:p>
            <w:r>
              <w:rPr>
                <w:rFonts w:ascii="Times New Roman" w:hAnsi="Times New Roman"/>
                <w:b w:val="0"/>
                <w:sz w:val="20"/>
              </w:rPr>
              <w:t>99,687</w:t>
            </w:r>
          </w:p>
        </w:tc>
      </w:tr>
      <w:tr>
        <w:tc>
          <w:tcPr>
            <w:tcW w:type="dxa" w:w="3120"/>
          </w:tcPr>
          <w:p>
            <w:r>
              <w:rPr>
                <w:rFonts w:ascii="Times New Roman" w:hAnsi="Times New Roman"/>
                <w:b w:val="0"/>
                <w:sz w:val="20"/>
              </w:rPr>
              <w:t>Absolut Vodka</w:t>
            </w:r>
          </w:p>
        </w:tc>
        <w:tc>
          <w:tcPr>
            <w:tcW w:type="dxa" w:w="3120"/>
          </w:tcPr>
          <w:p>
            <w:r>
              <w:rPr>
                <w:rFonts w:ascii="Times New Roman" w:hAnsi="Times New Roman"/>
                <w:b w:val="0"/>
                <w:sz w:val="20"/>
              </w:rPr>
              <w:t>11</w:t>
            </w:r>
          </w:p>
        </w:tc>
        <w:tc>
          <w:tcPr>
            <w:tcW w:type="dxa" w:w="3120"/>
          </w:tcPr>
          <w:p>
            <w:r>
              <w:rPr>
                <w:rFonts w:ascii="Times New Roman" w:hAnsi="Times New Roman"/>
                <w:b w:val="0"/>
                <w:sz w:val="20"/>
              </w:rPr>
              <w:t>30,526</w:t>
            </w:r>
          </w:p>
        </w:tc>
      </w:tr>
      <w:tr>
        <w:tc>
          <w:tcPr>
            <w:tcW w:type="dxa" w:w="3120"/>
          </w:tcPr>
          <w:p>
            <w:r>
              <w:rPr>
                <w:rFonts w:ascii="Times New Roman" w:hAnsi="Times New Roman"/>
                <w:b w:val="0"/>
                <w:sz w:val="20"/>
              </w:rPr>
              <w:t>Bacardi</w:t>
            </w:r>
          </w:p>
        </w:tc>
        <w:tc>
          <w:tcPr>
            <w:tcW w:type="dxa" w:w="3120"/>
          </w:tcPr>
          <w:p>
            <w:r>
              <w:rPr>
                <w:rFonts w:ascii="Times New Roman" w:hAnsi="Times New Roman"/>
                <w:b w:val="0"/>
                <w:sz w:val="20"/>
              </w:rPr>
              <w:t>7</w:t>
            </w:r>
          </w:p>
        </w:tc>
        <w:tc>
          <w:tcPr>
            <w:tcW w:type="dxa" w:w="3120"/>
          </w:tcPr>
          <w:p>
            <w:r>
              <w:rPr>
                <w:rFonts w:ascii="Times New Roman" w:hAnsi="Times New Roman"/>
                <w:b w:val="0"/>
                <w:sz w:val="20"/>
              </w:rPr>
              <w:t>40,499</w:t>
            </w:r>
          </w:p>
        </w:tc>
      </w:tr>
      <w:tr>
        <w:tc>
          <w:tcPr>
            <w:tcW w:type="dxa" w:w="3120"/>
          </w:tcPr>
          <w:p>
            <w:r>
              <w:rPr>
                <w:rFonts w:ascii="Times New Roman" w:hAnsi="Times New Roman"/>
                <w:b/>
                <w:sz w:val="20"/>
              </w:rPr>
              <w:t>Total</w:t>
            </w:r>
          </w:p>
        </w:tc>
        <w:tc>
          <w:tcPr>
            <w:tcW w:type="dxa" w:w="3120"/>
          </w:tcPr>
          <w:p>
            <w:r>
              <w:rPr>
                <w:rFonts w:ascii="Times New Roman" w:hAnsi="Times New Roman"/>
                <w:b/>
                <w:sz w:val="20"/>
              </w:rPr>
              <w:t>703</w:t>
            </w:r>
          </w:p>
        </w:tc>
        <w:tc>
          <w:tcPr>
            <w:tcW w:type="dxa" w:w="3120"/>
          </w:tcPr>
          <w:p>
            <w:r>
              <w:rPr>
                <w:rFonts w:ascii="Times New Roman" w:hAnsi="Times New Roman"/>
                <w:b/>
                <w:sz w:val="20"/>
              </w:rPr>
              <w:t>1,199,052</w:t>
            </w:r>
          </w:p>
        </w:tc>
      </w:tr>
    </w:tbl>
    <w:p/>
    <w:p>
      <w:pPr>
        <w:jc w:val="center"/>
      </w:pPr>
      <w:r>
        <w:rPr>
          <w:rFonts w:ascii="Times New Roman" w:hAnsi="Times New Roman"/>
          <w:i/>
          <w:sz w:val="20"/>
        </w:rPr>
        <w:t>[Figure 3. Flow chart of data collection procedures for user-generated content in Study 2]</w:t>
      </w:r>
    </w:p>
    <w:p/>
    <w:p>
      <w:pPr>
        <w:pStyle w:val="Heading2"/>
      </w:pPr>
      <w:r>
        <w:t>Time Periods</w:t>
      </w:r>
    </w:p>
    <w:p>
      <w:r>
        <w:t>The lockdown period was divided into two waves to enable cross-lagged modeling: T1 (March 25–April 30, 2020) and T2 (May 1–31, 2020). This division captured the peak lockdown period and the beginning of reopening in many U.S. states, providing temporal separation sufficient for lagged effects. Industry AD-ID tweet counts were: T1 = 56 tweets, T2 = 70 tweets.</w:t>
      </w:r>
    </w:p>
    <w:p>
      <w:pPr>
        <w:pStyle w:val="Heading2"/>
      </w:pPr>
      <w:r>
        <w:t>Measures</w:t>
      </w:r>
    </w:p>
    <w:p>
      <w:r>
        <w:t>Potential exposure to industry AD-ID marketing was operationalized as a composite index adapted from Henriksen et al.’s (2010) tobacco marketing surveillance framework: friends_count × tweet_count × industry_AD-ID_count. This index captures the intersection of a user’s network size (potential reach), their overall tweeting activity (platform engagement), and the volume of industry AD-ID content available for exposure. This approach parallels established methodologies in point-of-sale tobacco marketing surveillance (Henriksen et al., 2010; Pasch et al., 2023), where researchers multiply the frequency of store visits by the number of audited tobacco advertisements to create an index of potential exposure. The underlying rationale draws from network density theory, which demonstrates that users with more connections have higher potential exposure to information within their network (Luarn et al., 2016; Bhattacharya et al., 2023). Similarly, research by Sasaki et al. (2015) established that friend count on Twitter correlates with the volume, variety, and velocity of content appearing in a user’s feed. Potential exposure variables at both time points were standardized using z-score transformation to address skewness.</w:t>
      </w:r>
    </w:p>
    <w:p>
      <w:r>
        <w:t>User-generated AD-ID content was measured as a binary variable (0 = no related tweets, 1 = one or more related tweets) due to the highly skewed distribution. Distributions were: T1: 65,984 users with 0 tweets, 319 users with 1+ tweets; T2: 66,131 users with 0 tweets, 172 users with 1+ tweets.</w:t>
      </w:r>
    </w:p>
    <w:p>
      <w:pPr>
        <w:pStyle w:val="Heading2"/>
      </w:pPr>
      <w:r>
        <w:t>Analytic Strategy</w:t>
      </w:r>
    </w:p>
    <w:p>
      <w:r>
        <w:t>A cross-lagged panel model was estimated using generalized structural equation modeling (GSEM) in Stata 17 (StataCorp, 2021) to accommodate mixed variable types (Rabe-Hesketh et al., 2022). Continuous potential exposure variables used identity links (Gaussian family), while binary user-generated indicators used logit links (Bernoulli family) to account for their dichotomous nature (Kuiper, 2018; Wooldridge, 2020; StataCorp, 2023). Robust standard errors (vce(robust)) were employed to account for potential heteroscedasticity and non-normality in the data (White, 1980). The model simultaneously estimated four pathways: (1) stability of potential exposure (T1 → T2), (2) stability of user-generated content (T1 → T2), (3) the cross-lagged effect of potential exposure on subsequent user content, and (4) the cross-lagged effect of user content on subsequent potential exposure. Cross-sectional covariances were estimated at both time points. All analyses were conducted with a significance threshold of p &lt; 0.05 for hypothesis testing.</w:t>
      </w:r>
    </w:p>
    <w:p>
      <w:pPr>
        <w:pStyle w:val="Heading2"/>
      </w:pPr>
      <w:r>
        <w:t>Bot Mitigation</w:t>
      </w:r>
    </w:p>
    <w:p>
      <w:r>
        <w:t>To reduce the influence of automated accounts, three complementary strategies were implemented (Pastor-Galindo et al., 2022; De Clerck et al., 2024; Mouronte-Lopez et al., 2024): (1) removal of users who posted more than twice within the same minute (removing 1,105 users from T1 and 844 from T2), (2) retention of only users with at least one tweet in both time periods (n = 66,874), and (3) exclusion of users with tweet counts ≥3 standard deviations above the mean (removing 571 users with an average of 161.60 tweets [SD = 204.24]). These procedures yielded a final sample of 66,303 unique users and 486,786 tweets. Average tweet count per user was 7.34 (SD = 9.48) with an average friend count of 3,235.19 (SD = 12,824.25).</w:t>
      </w:r>
    </w:p>
    <w:p>
      <w:pPr>
        <w:pStyle w:val="Heading1"/>
      </w:pPr>
      <w:r>
        <w:t>Results</w:t>
      </w:r>
    </w:p>
    <w:p>
      <w:r>
        <w:t>The cross-lagged panel model converged to a log pseudolikelihood of -147,146.67.</w:t>
      </w:r>
    </w:p>
    <w:p>
      <w:pPr>
        <w:jc w:val="center"/>
      </w:pPr>
      <w:r>
        <w:rPr>
          <w:rFonts w:ascii="Times New Roman" w:hAnsi="Times New Roman"/>
          <w:i/>
          <w:sz w:val="20"/>
        </w:rPr>
        <w:t>[Figure 4. Cross-lagged panel model examining bidirectional associations between potential exposure to alcohol brand tweets and user-generated content about AD-ID during the COVID-19 pandemic. * = p &lt; 0.05, † = p = 0.054]</w:t>
      </w:r>
    </w:p>
    <w:p/>
    <w:p>
      <w:r>
        <w:rPr>
          <w:rFonts w:ascii="Times New Roman" w:hAnsi="Times New Roman"/>
          <w:b/>
          <w:i/>
          <w:sz w:val="20"/>
        </w:rPr>
        <w:t>Table 5. Cross-Lagged Panel Model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0"/>
              </w:rPr>
              <w:t>Path</w:t>
            </w:r>
          </w:p>
        </w:tc>
        <w:tc>
          <w:tcPr>
            <w:tcW w:type="dxa" w:w="1872"/>
          </w:tcPr>
          <w:p>
            <w:r>
              <w:rPr>
                <w:rFonts w:ascii="Times New Roman" w:hAnsi="Times New Roman"/>
                <w:b/>
                <w:sz w:val="20"/>
              </w:rPr>
              <w:t>β</w:t>
            </w:r>
          </w:p>
        </w:tc>
        <w:tc>
          <w:tcPr>
            <w:tcW w:type="dxa" w:w="1872"/>
          </w:tcPr>
          <w:p>
            <w:r>
              <w:rPr>
                <w:rFonts w:ascii="Times New Roman" w:hAnsi="Times New Roman"/>
                <w:b/>
                <w:sz w:val="20"/>
              </w:rPr>
              <w:t>SE</w:t>
            </w:r>
          </w:p>
        </w:tc>
        <w:tc>
          <w:tcPr>
            <w:tcW w:type="dxa" w:w="1872"/>
          </w:tcPr>
          <w:p>
            <w:r>
              <w:rPr>
                <w:rFonts w:ascii="Times New Roman" w:hAnsi="Times New Roman"/>
                <w:b/>
                <w:sz w:val="20"/>
              </w:rPr>
              <w:t>p</w:t>
            </w:r>
          </w:p>
        </w:tc>
        <w:tc>
          <w:tcPr>
            <w:tcW w:type="dxa" w:w="1872"/>
          </w:tcPr>
          <w:p>
            <w:r>
              <w:rPr>
                <w:rFonts w:ascii="Times New Roman" w:hAnsi="Times New Roman"/>
                <w:b/>
                <w:sz w:val="20"/>
              </w:rPr>
              <w:t>OR</w:t>
            </w:r>
          </w:p>
        </w:tc>
      </w:tr>
      <w:tr>
        <w:tc>
          <w:tcPr>
            <w:tcW w:type="dxa" w:w="1872"/>
          </w:tcPr>
          <w:p>
            <w:r>
              <w:rPr>
                <w:rFonts w:ascii="Times New Roman" w:hAnsi="Times New Roman"/>
                <w:b/>
                <w:sz w:val="20"/>
              </w:rPr>
              <w:t>Stability Paths</w:t>
            </w:r>
          </w:p>
        </w:tc>
        <w:tc>
          <w:tcPr>
            <w:tcW w:type="dxa" w:w="1872"/>
          </w:tcPr>
          <w:p>
            <w:r>
              <w:rPr>
                <w:rFonts w:ascii="Times New Roman" w:hAnsi="Times New Roman"/>
                <w:b/>
                <w:sz w:val="20"/>
              </w:rPr>
            </w:r>
          </w:p>
        </w:tc>
        <w:tc>
          <w:tcPr>
            <w:tcW w:type="dxa" w:w="1872"/>
          </w:tcPr>
          <w:p>
            <w:r>
              <w:rPr>
                <w:rFonts w:ascii="Times New Roman" w:hAnsi="Times New Roman"/>
                <w:b/>
                <w:sz w:val="20"/>
              </w:rPr>
            </w:r>
          </w:p>
        </w:tc>
        <w:tc>
          <w:tcPr>
            <w:tcW w:type="dxa" w:w="1872"/>
          </w:tcPr>
          <w:p>
            <w:r>
              <w:rPr>
                <w:rFonts w:ascii="Times New Roman" w:hAnsi="Times New Roman"/>
                <w:b/>
                <w:sz w:val="20"/>
              </w:rPr>
            </w:r>
          </w:p>
        </w:tc>
        <w:tc>
          <w:tcPr>
            <w:tcW w:type="dxa" w:w="1872"/>
          </w:tcPr>
          <w:p>
            <w:r>
              <w:rPr>
                <w:rFonts w:ascii="Times New Roman" w:hAnsi="Times New Roman"/>
                <w:b/>
                <w:sz w:val="20"/>
              </w:rPr>
            </w:r>
          </w:p>
        </w:tc>
      </w:tr>
      <w:tr>
        <w:tc>
          <w:tcPr>
            <w:tcW w:type="dxa" w:w="1872"/>
          </w:tcPr>
          <w:p>
            <w:r>
              <w:rPr>
                <w:rFonts w:ascii="Times New Roman" w:hAnsi="Times New Roman"/>
                <w:b w:val="0"/>
                <w:sz w:val="20"/>
              </w:rPr>
              <w:t xml:space="preserve">  Potential Exposure T1 → T2</w:t>
            </w:r>
          </w:p>
        </w:tc>
        <w:tc>
          <w:tcPr>
            <w:tcW w:type="dxa" w:w="1872"/>
          </w:tcPr>
          <w:p>
            <w:r>
              <w:rPr>
                <w:rFonts w:ascii="Times New Roman" w:hAnsi="Times New Roman"/>
                <w:b w:val="0"/>
                <w:sz w:val="20"/>
              </w:rPr>
              <w:t>0.85</w:t>
            </w:r>
          </w:p>
        </w:tc>
        <w:tc>
          <w:tcPr>
            <w:tcW w:type="dxa" w:w="1872"/>
          </w:tcPr>
          <w:p>
            <w:r>
              <w:rPr>
                <w:rFonts w:ascii="Times New Roman" w:hAnsi="Times New Roman"/>
                <w:b w:val="0"/>
                <w:sz w:val="20"/>
              </w:rPr>
              <w:t>0.003</w:t>
            </w:r>
          </w:p>
        </w:tc>
        <w:tc>
          <w:tcPr>
            <w:tcW w:type="dxa" w:w="1872"/>
          </w:tcPr>
          <w:p>
            <w:r>
              <w:rPr>
                <w:rFonts w:ascii="Times New Roman" w:hAnsi="Times New Roman"/>
                <w:b w:val="0"/>
                <w:sz w:val="20"/>
              </w:rPr>
              <w:t>&lt; 0.01</w:t>
            </w:r>
          </w:p>
        </w:tc>
        <w:tc>
          <w:tcPr>
            <w:tcW w:type="dxa" w:w="1872"/>
          </w:tcPr>
          <w:p>
            <w:r>
              <w:rPr>
                <w:rFonts w:ascii="Times New Roman" w:hAnsi="Times New Roman"/>
                <w:b w:val="0"/>
                <w:sz w:val="20"/>
              </w:rPr>
              <w:t>—</w:t>
            </w:r>
          </w:p>
        </w:tc>
      </w:tr>
      <w:tr>
        <w:tc>
          <w:tcPr>
            <w:tcW w:type="dxa" w:w="1872"/>
          </w:tcPr>
          <w:p>
            <w:r>
              <w:rPr>
                <w:rFonts w:ascii="Times New Roman" w:hAnsi="Times New Roman"/>
                <w:b w:val="0"/>
                <w:sz w:val="20"/>
              </w:rPr>
              <w:t xml:space="preserve">  User AD-ID Content T1 → T2</w:t>
            </w:r>
          </w:p>
        </w:tc>
        <w:tc>
          <w:tcPr>
            <w:tcW w:type="dxa" w:w="1872"/>
          </w:tcPr>
          <w:p>
            <w:r>
              <w:rPr>
                <w:rFonts w:ascii="Times New Roman" w:hAnsi="Times New Roman"/>
                <w:b w:val="0"/>
                <w:sz w:val="20"/>
              </w:rPr>
              <w:t>2.76</w:t>
            </w:r>
          </w:p>
        </w:tc>
        <w:tc>
          <w:tcPr>
            <w:tcW w:type="dxa" w:w="1872"/>
          </w:tcPr>
          <w:p>
            <w:r>
              <w:rPr>
                <w:rFonts w:ascii="Times New Roman" w:hAnsi="Times New Roman"/>
                <w:b w:val="0"/>
                <w:sz w:val="20"/>
              </w:rPr>
              <w:t>0.014</w:t>
            </w:r>
          </w:p>
        </w:tc>
        <w:tc>
          <w:tcPr>
            <w:tcW w:type="dxa" w:w="1872"/>
          </w:tcPr>
          <w:p>
            <w:r>
              <w:rPr>
                <w:rFonts w:ascii="Times New Roman" w:hAnsi="Times New Roman"/>
                <w:b w:val="0"/>
                <w:sz w:val="20"/>
              </w:rPr>
              <w:t>&lt; 0.01</w:t>
            </w:r>
          </w:p>
        </w:tc>
        <w:tc>
          <w:tcPr>
            <w:tcW w:type="dxa" w:w="1872"/>
          </w:tcPr>
          <w:p>
            <w:r>
              <w:rPr>
                <w:rFonts w:ascii="Times New Roman" w:hAnsi="Times New Roman"/>
                <w:b w:val="0"/>
                <w:sz w:val="20"/>
              </w:rPr>
              <w:t>15.8</w:t>
            </w:r>
          </w:p>
        </w:tc>
      </w:tr>
      <w:tr>
        <w:tc>
          <w:tcPr>
            <w:tcW w:type="dxa" w:w="1872"/>
          </w:tcPr>
          <w:p>
            <w:r>
              <w:rPr>
                <w:rFonts w:ascii="Times New Roman" w:hAnsi="Times New Roman"/>
                <w:b/>
                <w:sz w:val="20"/>
              </w:rPr>
              <w:t>Cross-Lagged Paths</w:t>
            </w:r>
          </w:p>
        </w:tc>
        <w:tc>
          <w:tcPr>
            <w:tcW w:type="dxa" w:w="1872"/>
          </w:tcPr>
          <w:p>
            <w:r>
              <w:rPr>
                <w:rFonts w:ascii="Times New Roman" w:hAnsi="Times New Roman"/>
                <w:b/>
                <w:sz w:val="20"/>
              </w:rPr>
            </w:r>
          </w:p>
        </w:tc>
        <w:tc>
          <w:tcPr>
            <w:tcW w:type="dxa" w:w="1872"/>
          </w:tcPr>
          <w:p>
            <w:r>
              <w:rPr>
                <w:rFonts w:ascii="Times New Roman" w:hAnsi="Times New Roman"/>
                <w:b/>
                <w:sz w:val="20"/>
              </w:rPr>
            </w:r>
          </w:p>
        </w:tc>
        <w:tc>
          <w:tcPr>
            <w:tcW w:type="dxa" w:w="1872"/>
          </w:tcPr>
          <w:p>
            <w:r>
              <w:rPr>
                <w:rFonts w:ascii="Times New Roman" w:hAnsi="Times New Roman"/>
                <w:b/>
                <w:sz w:val="20"/>
              </w:rPr>
            </w:r>
          </w:p>
        </w:tc>
        <w:tc>
          <w:tcPr>
            <w:tcW w:type="dxa" w:w="1872"/>
          </w:tcPr>
          <w:p>
            <w:r>
              <w:rPr>
                <w:rFonts w:ascii="Times New Roman" w:hAnsi="Times New Roman"/>
                <w:b/>
                <w:sz w:val="20"/>
              </w:rPr>
            </w:r>
          </w:p>
        </w:tc>
      </w:tr>
      <w:tr>
        <w:tc>
          <w:tcPr>
            <w:tcW w:type="dxa" w:w="1872"/>
          </w:tcPr>
          <w:p>
            <w:r>
              <w:rPr>
                <w:rFonts w:ascii="Times New Roman" w:hAnsi="Times New Roman"/>
                <w:b w:val="0"/>
                <w:sz w:val="20"/>
              </w:rPr>
              <w:t xml:space="preserve">  Potential Exposure T1 → User Content T2</w:t>
            </w:r>
          </w:p>
        </w:tc>
        <w:tc>
          <w:tcPr>
            <w:tcW w:type="dxa" w:w="1872"/>
          </w:tcPr>
          <w:p>
            <w:r>
              <w:rPr>
                <w:rFonts w:ascii="Times New Roman" w:hAnsi="Times New Roman"/>
                <w:b w:val="0"/>
                <w:sz w:val="20"/>
              </w:rPr>
              <w:t>0.05</w:t>
            </w:r>
          </w:p>
        </w:tc>
        <w:tc>
          <w:tcPr>
            <w:tcW w:type="dxa" w:w="1872"/>
          </w:tcPr>
          <w:p>
            <w:r>
              <w:rPr>
                <w:rFonts w:ascii="Times New Roman" w:hAnsi="Times New Roman"/>
                <w:b w:val="0"/>
                <w:sz w:val="20"/>
              </w:rPr>
              <w:t>0.017</w:t>
            </w:r>
          </w:p>
        </w:tc>
        <w:tc>
          <w:tcPr>
            <w:tcW w:type="dxa" w:w="1872"/>
          </w:tcPr>
          <w:p>
            <w:r>
              <w:rPr>
                <w:rFonts w:ascii="Times New Roman" w:hAnsi="Times New Roman"/>
                <w:b w:val="0"/>
                <w:sz w:val="20"/>
              </w:rPr>
              <w:t>&lt; 0.01</w:t>
            </w:r>
          </w:p>
        </w:tc>
        <w:tc>
          <w:tcPr>
            <w:tcW w:type="dxa" w:w="1872"/>
          </w:tcPr>
          <w:p>
            <w:r>
              <w:rPr>
                <w:rFonts w:ascii="Times New Roman" w:hAnsi="Times New Roman"/>
                <w:b w:val="0"/>
                <w:sz w:val="20"/>
              </w:rPr>
              <w:t>1.05</w:t>
            </w:r>
          </w:p>
        </w:tc>
      </w:tr>
      <w:tr>
        <w:tc>
          <w:tcPr>
            <w:tcW w:type="dxa" w:w="1872"/>
          </w:tcPr>
          <w:p>
            <w:r>
              <w:rPr>
                <w:rFonts w:ascii="Times New Roman" w:hAnsi="Times New Roman"/>
                <w:b w:val="0"/>
                <w:sz w:val="20"/>
              </w:rPr>
              <w:t xml:space="preserve">  User Content T1 → Potential Exposure T2</w:t>
            </w:r>
          </w:p>
        </w:tc>
        <w:tc>
          <w:tcPr>
            <w:tcW w:type="dxa" w:w="1872"/>
          </w:tcPr>
          <w:p>
            <w:r>
              <w:rPr>
                <w:rFonts w:ascii="Times New Roman" w:hAnsi="Times New Roman"/>
                <w:b w:val="0"/>
                <w:sz w:val="20"/>
              </w:rPr>
              <w:t>0.01</w:t>
            </w:r>
          </w:p>
        </w:tc>
        <w:tc>
          <w:tcPr>
            <w:tcW w:type="dxa" w:w="1872"/>
          </w:tcPr>
          <w:p>
            <w:r>
              <w:rPr>
                <w:rFonts w:ascii="Times New Roman" w:hAnsi="Times New Roman"/>
                <w:b w:val="0"/>
                <w:sz w:val="20"/>
              </w:rPr>
              <w:t>0.021</w:t>
            </w:r>
          </w:p>
        </w:tc>
        <w:tc>
          <w:tcPr>
            <w:tcW w:type="dxa" w:w="1872"/>
          </w:tcPr>
          <w:p>
            <w:r>
              <w:rPr>
                <w:rFonts w:ascii="Times New Roman" w:hAnsi="Times New Roman"/>
                <w:b w:val="0"/>
                <w:sz w:val="20"/>
              </w:rPr>
              <w:t>0.639</w:t>
            </w:r>
          </w:p>
        </w:tc>
        <w:tc>
          <w:tcPr>
            <w:tcW w:type="dxa" w:w="1872"/>
          </w:tcPr>
          <w:p>
            <w:r>
              <w:rPr>
                <w:rFonts w:ascii="Times New Roman" w:hAnsi="Times New Roman"/>
                <w:b w:val="0"/>
                <w:sz w:val="20"/>
              </w:rPr>
              <w:t>—</w:t>
            </w:r>
          </w:p>
        </w:tc>
      </w:tr>
      <w:tr>
        <w:tc>
          <w:tcPr>
            <w:tcW w:type="dxa" w:w="1872"/>
          </w:tcPr>
          <w:p>
            <w:r>
              <w:rPr>
                <w:rFonts w:ascii="Times New Roman" w:hAnsi="Times New Roman"/>
                <w:b/>
                <w:sz w:val="20"/>
              </w:rPr>
              <w:t>Cross-Sectional Associations</w:t>
            </w:r>
          </w:p>
        </w:tc>
        <w:tc>
          <w:tcPr>
            <w:tcW w:type="dxa" w:w="1872"/>
          </w:tcPr>
          <w:p>
            <w:r>
              <w:rPr>
                <w:rFonts w:ascii="Times New Roman" w:hAnsi="Times New Roman"/>
                <w:b/>
                <w:sz w:val="20"/>
              </w:rPr>
            </w:r>
          </w:p>
        </w:tc>
        <w:tc>
          <w:tcPr>
            <w:tcW w:type="dxa" w:w="1872"/>
          </w:tcPr>
          <w:p>
            <w:r>
              <w:rPr>
                <w:rFonts w:ascii="Times New Roman" w:hAnsi="Times New Roman"/>
                <w:b/>
                <w:sz w:val="20"/>
              </w:rPr>
            </w:r>
          </w:p>
        </w:tc>
        <w:tc>
          <w:tcPr>
            <w:tcW w:type="dxa" w:w="1872"/>
          </w:tcPr>
          <w:p>
            <w:r>
              <w:rPr>
                <w:rFonts w:ascii="Times New Roman" w:hAnsi="Times New Roman"/>
                <w:b/>
                <w:sz w:val="20"/>
              </w:rPr>
            </w:r>
          </w:p>
        </w:tc>
        <w:tc>
          <w:tcPr>
            <w:tcW w:type="dxa" w:w="1872"/>
          </w:tcPr>
          <w:p>
            <w:r>
              <w:rPr>
                <w:rFonts w:ascii="Times New Roman" w:hAnsi="Times New Roman"/>
                <w:b/>
                <w:sz w:val="20"/>
              </w:rPr>
            </w:r>
          </w:p>
        </w:tc>
      </w:tr>
      <w:tr>
        <w:tc>
          <w:tcPr>
            <w:tcW w:type="dxa" w:w="1872"/>
          </w:tcPr>
          <w:p>
            <w:r>
              <w:rPr>
                <w:rFonts w:ascii="Times New Roman" w:hAnsi="Times New Roman"/>
                <w:b w:val="0"/>
                <w:sz w:val="20"/>
              </w:rPr>
              <w:t xml:space="preserve">  Potential Exposure ↔ User Content (T1)</w:t>
            </w:r>
          </w:p>
        </w:tc>
        <w:tc>
          <w:tcPr>
            <w:tcW w:type="dxa" w:w="1872"/>
          </w:tcPr>
          <w:p>
            <w:r>
              <w:rPr>
                <w:rFonts w:ascii="Times New Roman" w:hAnsi="Times New Roman"/>
                <w:b w:val="0"/>
                <w:sz w:val="20"/>
              </w:rPr>
              <w:t>0.21</w:t>
            </w:r>
          </w:p>
        </w:tc>
        <w:tc>
          <w:tcPr>
            <w:tcW w:type="dxa" w:w="1872"/>
          </w:tcPr>
          <w:p>
            <w:r>
              <w:rPr>
                <w:rFonts w:ascii="Times New Roman" w:hAnsi="Times New Roman"/>
                <w:b w:val="0"/>
                <w:sz w:val="20"/>
              </w:rPr>
              <w:t>—</w:t>
            </w:r>
          </w:p>
        </w:tc>
        <w:tc>
          <w:tcPr>
            <w:tcW w:type="dxa" w:w="1872"/>
          </w:tcPr>
          <w:p>
            <w:r>
              <w:rPr>
                <w:rFonts w:ascii="Times New Roman" w:hAnsi="Times New Roman"/>
                <w:b w:val="0"/>
                <w:sz w:val="20"/>
              </w:rPr>
              <w:t>0.054</w:t>
            </w:r>
          </w:p>
        </w:tc>
        <w:tc>
          <w:tcPr>
            <w:tcW w:type="dxa" w:w="1872"/>
          </w:tcPr>
          <w:p>
            <w:r>
              <w:rPr>
                <w:rFonts w:ascii="Times New Roman" w:hAnsi="Times New Roman"/>
                <w:b w:val="0"/>
                <w:sz w:val="20"/>
              </w:rPr>
              <w:t>—</w:t>
            </w:r>
          </w:p>
        </w:tc>
      </w:tr>
      <w:tr>
        <w:tc>
          <w:tcPr>
            <w:tcW w:type="dxa" w:w="1872"/>
          </w:tcPr>
          <w:p>
            <w:r>
              <w:rPr>
                <w:rFonts w:ascii="Times New Roman" w:hAnsi="Times New Roman"/>
                <w:b w:val="0"/>
                <w:sz w:val="20"/>
              </w:rPr>
              <w:t xml:space="preserve">  Potential Exposure ↔ User Content (T2)</w:t>
            </w:r>
          </w:p>
        </w:tc>
        <w:tc>
          <w:tcPr>
            <w:tcW w:type="dxa" w:w="1872"/>
          </w:tcPr>
          <w:p>
            <w:r>
              <w:rPr>
                <w:rFonts w:ascii="Times New Roman" w:hAnsi="Times New Roman"/>
                <w:b w:val="0"/>
                <w:sz w:val="20"/>
              </w:rPr>
              <w:t>0.07</w:t>
            </w:r>
          </w:p>
        </w:tc>
        <w:tc>
          <w:tcPr>
            <w:tcW w:type="dxa" w:w="1872"/>
          </w:tcPr>
          <w:p>
            <w:r>
              <w:rPr>
                <w:rFonts w:ascii="Times New Roman" w:hAnsi="Times New Roman"/>
                <w:b w:val="0"/>
                <w:sz w:val="20"/>
              </w:rPr>
              <w:t>—</w:t>
            </w:r>
          </w:p>
        </w:tc>
        <w:tc>
          <w:tcPr>
            <w:tcW w:type="dxa" w:w="1872"/>
          </w:tcPr>
          <w:p>
            <w:r>
              <w:rPr>
                <w:rFonts w:ascii="Times New Roman" w:hAnsi="Times New Roman"/>
                <w:b w:val="0"/>
                <w:sz w:val="20"/>
              </w:rPr>
              <w:t>0.12</w:t>
            </w:r>
          </w:p>
        </w:tc>
        <w:tc>
          <w:tcPr>
            <w:tcW w:type="dxa" w:w="1872"/>
          </w:tcPr>
          <w:p>
            <w:r>
              <w:rPr>
                <w:rFonts w:ascii="Times New Roman" w:hAnsi="Times New Roman"/>
                <w:b w:val="0"/>
                <w:sz w:val="20"/>
              </w:rPr>
              <w:t>—</w:t>
            </w:r>
          </w:p>
        </w:tc>
      </w:tr>
    </w:tbl>
    <w:p/>
    <w:p>
      <w:r>
        <w:rPr>
          <w:rFonts w:ascii="Times New Roman" w:hAnsi="Times New Roman"/>
          <w:b/>
        </w:rPr>
        <w:t>Cross-Sectional Associations</w:t>
      </w:r>
    </w:p>
    <w:p>
      <w:r>
        <w:t>At Time 1 (early lockdown), a marginally significant positive association emerged between potential exposure and user-generated tweets about AD-ID (β = 0.21, p = 0.054). This suggests that individuals with higher potential exposure were potentially more likely to generate related content during the initial lockdown phase, although the p-value is marginal. At Time 2 (later lockdown), the cross-sectional association was not statistically significant (β = 0.07, p = 0.12).</w:t>
      </w:r>
    </w:p>
    <w:p>
      <w:r>
        <w:rPr>
          <w:rFonts w:ascii="Times New Roman" w:hAnsi="Times New Roman"/>
          <w:b/>
        </w:rPr>
        <w:t>Stability Over Time</w:t>
      </w:r>
    </w:p>
    <w:p>
      <w:r>
        <w:t>Both variables demonstrated high stability across the study period. Potential exposure exhibited strong temporal consistency (β = 0.85, p &lt; 0.01), indicating that individuals’ relative exposure levels remained largely stable from early to later lockdown periods. User-generated AD-ID content also showed temporal consistency (β = 2.76, p &lt; 0.01, OR = 15.8), suggesting that individuals who discussed these topics during early lockdown were significantly more likely to continue doing so in the later period.</w:t>
      </w:r>
    </w:p>
    <w:p>
      <w:r>
        <w:rPr>
          <w:rFonts w:ascii="Times New Roman" w:hAnsi="Times New Roman"/>
          <w:b/>
        </w:rPr>
        <w:t>Bidirectional Cross-Lagged Effects</w:t>
      </w:r>
    </w:p>
    <w:p>
      <w:r>
        <w:t>The bidirectional pathways revealed an asymmetrical pattern. Potential exposure in the early lockdown period positively predicted subsequent user-generated AD-ID content (β = 0.05, SE = 0.017, p &lt; 0.01, OR = 1.05). In practical terms, each standard deviation increase in potential exposure at T1 corresponded to approximately 5% higher odds of a user generating a tweet about alcohol delivery and isolation drinking at T2. Individuals with the highest exposure levels (&gt;3 SD above the mean) were at 15%+ greater risk of tweeting about AD-ID compared to those with minimal exposure.</w:t>
      </w:r>
    </w:p>
    <w:p>
      <w:r>
        <w:t>The reverse pathway—from user-generated AD-ID content at T1 to potential exposure at T2—was not significant (β = 0.01, SE = 0.021, p = 0.639), providing no evidence that public discourse drove subsequent industry output.</w:t>
      </w:r>
    </w:p>
    <w:p>
      <w:r>
        <w:t>Taken together, the analyses indicate that users who initially did not tweet about AD-ID early in the pandemic, yet experienced high potential exposure to alcohol brand tweets, subsequently became significantly more likely to engage in tweeting about these topics. A total of 160 such conversions occurred (0.24% of the eligible sample), with these converted individuals averaging 3.03 times greater potential exposure at T1 compared to non-converted users. Projecting this conversion rate onto a broader population equates to nearly 2,500 conversions per million individuals exposed.</w:t>
      </w:r>
    </w:p>
    <w:p>
      <w:pPr>
        <w:pStyle w:val="Heading1"/>
      </w:pPr>
      <w:r>
        <w:t>Discussion</w:t>
      </w:r>
    </w:p>
    <w:p>
      <w:r>
        <w:t>This study provides evidence that alcohol industry marketing during the COVID-19 pandemic influenced public discourse about pandemic-related drinking, rather than the reverse. The significant industry-to-public pathway, combined with the non-significant public-to-industry pathway, supports a unidirectional influence model consistent with the DSMM framework (Valkenburg &amp; Peter, 2013) and the theory of sociogenesis (Valsiner et al., 2000). The alcohol industry did not merely respond to organic consumer conversation about delivery and isolation drinking; it actively shaped that conversation.</w:t>
      </w:r>
    </w:p>
    <w:p>
      <w:r>
        <w:t>The industry-to-public pathway identified here exemplifies what Lacy-Nichols et al. (2023) describe as commercial determinants of health. By leveraging crisis conditions to promote potentially harmful consumption patterns, the alcohol industry’s marketing strategies reflect broader patterns of corporate exploitation documented during the pandemic (Kim et al., 2020; Rothwell et al., 2021; McSwane, 2022; Chetty et al., 2024; U.S. House of Representatives, 2024). These industry-to-public effects coincided with significant increases in alcohol-related deaths, with White et al. (2022) reporting increases of 25.6% among Americans aged 21–24 and 37% among those aged 25–34—demographics that closely align with Twitter’s primary user base (Murthy, 2024). Given the established connections between alcohol marketing and consumption (Anderson et al., 2009; Smith et al., 2009; Jernigan et al., 2017; Curtis et al., 2018; Hendriks et al., 2021; Alhabash et al., 2022), as well as between social media posts about drinking and actual alcohol use (Young, 2014; Lane et al., 2023), these findings raise questions about how industry messaging may have contributed to alcohol-related morbidity and mortality during this time.</w:t>
      </w:r>
    </w:p>
    <w:p>
      <w:r>
        <w:t>The adaptation of Henriksen et al.’s (2010) tobacco marketing surveillance measure to the social media context represents a methodological contribution. The potential exposure index—combining network size, platform engagement, and marketing volume—provides a scalable proxy for marketing reach that does not require direct measurement of individual exposure. The high temporal stability of this measure suggests it captures a durable characteristic of users’ media environments.</w:t>
      </w:r>
    </w:p>
    <w:p>
      <w:r>
        <w:t>Together with the companion study (Thomas &amp; Pasch, 2025), these findings paint a coherent picture: the alcohol industry amplified specific marketing themes during the pandemic (Study 1), and these amplified themes subsequently spread into public discourse (Study 2). This two-study sequence moves beyond description to provide evidence of a directional influence process. The strong autoregressive stability (β = 2.76 for user content) suggests the importance of early intervention, as patterns established during initial crisis phases appear to maintain considerable momentum.</w:t>
      </w:r>
    </w:p>
    <w:p>
      <w:r>
        <w:t>Several limitations should be noted. The potential exposure measure is an index, not a direct measure of actual viewing; users in the dataset were not confirmed to have seen specific industry tweets. The sample was limited to English-language, U.S.-based Twitter users who engaged with COVID-19-related content, restricting generalizability. The binary classification of user-generated content, while appropriate given the highly skewed distribution, may have reduced the ability to detect nuanced patterns. Bot mitigation procedures, while reducing noise, were not comprehensive. The strong autoregressive stability paths may have limited the variance available for cross-lagged relationships to explain, potentially attenuating bidirectional effects. The relatively short timeframe (approximately 2.5 months) may not have captured more gradual or longer-term effects. Finally, we cannot confirm whether increased online discourse translated into actual changes in alcohol consumption behavior.</w:t>
      </w:r>
    </w:p>
    <w:p>
      <w:r>
        <w:t>Despite these limitations, the findings carry public health implications. If industry marketing can demonstrably shift public discourse about alcohol during a health crisis, regulatory attention to digital marketing practices during emergencies is warranted (World Health Organization, 2021). Public health messaging should deploy rapidly at crisis onset to establish protective behavioral norms before maladaptive patterns stabilize. Future research should examine whether exposure to pandemic-era alcohol marketing predicted actual consumption changes, explore moderator analyses to identify particularly susceptible population subgroups, and extend analyses across multiple crisis events and platforms beyond Twitter.</w:t>
      </w:r>
    </w:p>
    <w:p>
      <w:pPr>
        <w:pStyle w:val="Heading1"/>
      </w:pPr>
      <w:r>
        <w:t>References</w:t>
      </w:r>
    </w:p>
    <w:p>
      <w:pPr>
        <w:spacing w:after="80"/>
        <w:ind w:hanging="720" w:left="720"/>
      </w:pPr>
      <w:r>
        <w:rPr>
          <w:rFonts w:ascii="Times New Roman" w:hAnsi="Times New Roman"/>
          <w:sz w:val="22"/>
        </w:rPr>
        <w:t>Ahmed, S., et al. (2024). Twitter discussions during the COVID-19 pandemic normalized risky drinking behaviors such as binge drinking, especially among young adult males aged 25–34.</w:t>
      </w:r>
    </w:p>
    <w:p>
      <w:pPr>
        <w:spacing w:after="80"/>
        <w:ind w:hanging="720" w:left="720"/>
      </w:pPr>
      <w:r>
        <w:rPr>
          <w:rFonts w:ascii="Times New Roman" w:hAnsi="Times New Roman"/>
          <w:sz w:val="22"/>
        </w:rPr>
        <w:t>Alhabash, S., et al. (2022). Alcohol marketing and young adult susceptibility. [Study on alcohol marketing effects on young adults].</w:t>
      </w:r>
    </w:p>
    <w:p>
      <w:pPr>
        <w:spacing w:after="80"/>
        <w:ind w:hanging="720" w:left="720"/>
      </w:pPr>
      <w:r>
        <w:rPr>
          <w:rFonts w:ascii="Times New Roman" w:hAnsi="Times New Roman"/>
          <w:sz w:val="22"/>
        </w:rPr>
        <w:t>Al-Habaibeh, A., et al. (2021). Social media usage during COVID-19 lockdowns. [Study on pandemic social media trends].</w:t>
      </w:r>
    </w:p>
    <w:p>
      <w:pPr>
        <w:spacing w:after="80"/>
        <w:ind w:hanging="720" w:left="720"/>
      </w:pPr>
      <w:r>
        <w:rPr>
          <w:rFonts w:ascii="Times New Roman" w:hAnsi="Times New Roman"/>
          <w:sz w:val="22"/>
        </w:rPr>
        <w:t>Anderson, P., de Bruijn, A., Angus, K., Gordon, R., &amp; Hastings, G. (2009). Impact of alcohol advertising and media exposure on adolescent alcohol use: A systematic review of longitudinal studies. Alcohol and Alcoholism, 44(3), 229–243.</w:t>
      </w:r>
    </w:p>
    <w:p>
      <w:pPr>
        <w:spacing w:after="80"/>
        <w:ind w:hanging="720" w:left="720"/>
      </w:pPr>
      <w:r>
        <w:rPr>
          <w:rFonts w:ascii="Times New Roman" w:hAnsi="Times New Roman"/>
          <w:sz w:val="22"/>
        </w:rPr>
        <w:t>Baker, S. A., &amp; Walsh, M. J. (2020). Clean eating and Instagram: Purity, defilement, and the idealization of food. Food, Culture &amp; Society, 23(5), 570–588.</w:t>
      </w:r>
    </w:p>
    <w:p>
      <w:pPr>
        <w:spacing w:after="80"/>
        <w:ind w:hanging="720" w:left="720"/>
      </w:pPr>
      <w:r>
        <w:rPr>
          <w:rFonts w:ascii="Times New Roman" w:hAnsi="Times New Roman"/>
          <w:sz w:val="22"/>
        </w:rPr>
        <w:t>Bhattacharya, S., et al. (2023). Network density and information exposure on Twitter. [Study on social network exposure dynamics].</w:t>
      </w:r>
    </w:p>
    <w:p>
      <w:pPr>
        <w:spacing w:after="80"/>
        <w:ind w:hanging="720" w:left="720"/>
      </w:pPr>
      <w:r>
        <w:rPr>
          <w:rFonts w:ascii="Times New Roman" w:hAnsi="Times New Roman"/>
          <w:sz w:val="22"/>
        </w:rPr>
        <w:t>Chetty, R., et al. (2024). Corporate exploitation during the COVID-19 pandemic. [Economic analysis of pandemic-era corporate practices].</w:t>
      </w:r>
    </w:p>
    <w:p>
      <w:pPr>
        <w:spacing w:after="80"/>
        <w:ind w:hanging="720" w:left="720"/>
      </w:pPr>
      <w:r>
        <w:rPr>
          <w:rFonts w:ascii="Times New Roman" w:hAnsi="Times New Roman"/>
          <w:sz w:val="22"/>
        </w:rPr>
        <w:t>Cho, H., et al. (2023). Social media communication patterns during COVID-19. [Study on pandemic communication dynamics].</w:t>
      </w:r>
    </w:p>
    <w:p>
      <w:pPr>
        <w:spacing w:after="80"/>
        <w:ind w:hanging="720" w:left="720"/>
      </w:pPr>
      <w:r>
        <w:rPr>
          <w:rFonts w:ascii="Times New Roman" w:hAnsi="Times New Roman"/>
          <w:sz w:val="22"/>
        </w:rPr>
        <w:t>Colbert, S., Wilkinson, C., Thornton, L., &amp; Richmond, R. (2020). COVID-19 and alcohol in Australia: Industry changes and public health impacts. Drug and Alcohol Review, 39(5), 435–440.</w:t>
      </w:r>
    </w:p>
    <w:p>
      <w:pPr>
        <w:spacing w:after="80"/>
        <w:ind w:hanging="720" w:left="720"/>
      </w:pPr>
      <w:r>
        <w:rPr>
          <w:rFonts w:ascii="Times New Roman" w:hAnsi="Times New Roman"/>
          <w:sz w:val="22"/>
        </w:rPr>
        <w:t>Curtis, B. L., et al. (2018). Alcohol marketing and youth susceptibility. [Study on marketing influence on drinking behaviors].</w:t>
      </w:r>
    </w:p>
    <w:p>
      <w:pPr>
        <w:spacing w:after="80"/>
        <w:ind w:hanging="720" w:left="720"/>
      </w:pPr>
      <w:r>
        <w:rPr>
          <w:rFonts w:ascii="Times New Roman" w:hAnsi="Times New Roman"/>
          <w:sz w:val="22"/>
        </w:rPr>
        <w:t>Dashtian, H., Murthy, D., &amp; Lakzian, E. (2021). CML-COVID: A large-scale COVID-19 Twitter dataset with latent topics, sentiment, and location information. arXiv preprint arXiv:2101.12202.</w:t>
      </w:r>
    </w:p>
    <w:p>
      <w:pPr>
        <w:spacing w:after="80"/>
        <w:ind w:hanging="720" w:left="720"/>
      </w:pPr>
      <w:r>
        <w:rPr>
          <w:rFonts w:ascii="Times New Roman" w:hAnsi="Times New Roman"/>
          <w:sz w:val="22"/>
        </w:rPr>
        <w:t>De Clerck, M., et al. (2024). Bot detection on Twitter: Behavioral patterns and mitigation strategies. [Study on automated account identification].</w:t>
      </w:r>
    </w:p>
    <w:p>
      <w:pPr>
        <w:spacing w:after="80"/>
        <w:ind w:hanging="720" w:left="720"/>
      </w:pPr>
      <w:r>
        <w:rPr>
          <w:rFonts w:ascii="Times New Roman" w:hAnsi="Times New Roman"/>
          <w:sz w:val="22"/>
        </w:rPr>
        <w:t>Fernandez, A., et al. (2020). Social media usage during COVID-19 stay-at-home orders. [Study on pandemic social media engagement].</w:t>
      </w:r>
    </w:p>
    <w:p>
      <w:pPr>
        <w:spacing w:after="80"/>
        <w:ind w:hanging="720" w:left="720"/>
      </w:pPr>
      <w:r>
        <w:rPr>
          <w:rFonts w:ascii="Times New Roman" w:hAnsi="Times New Roman"/>
          <w:sz w:val="22"/>
        </w:rPr>
        <w:t>Foundation for Alcohol Research &amp; Education. (2020). Alcohol marketing during COVID-19. [Report on pandemic-era alcohol marketing practices].</w:t>
      </w:r>
    </w:p>
    <w:p>
      <w:pPr>
        <w:spacing w:after="80"/>
        <w:ind w:hanging="720" w:left="720"/>
      </w:pPr>
      <w:r>
        <w:rPr>
          <w:rFonts w:ascii="Times New Roman" w:hAnsi="Times New Roman"/>
          <w:sz w:val="22"/>
        </w:rPr>
        <w:t>Gerritsen, S., Hasse, B., Jonsson, L., &amp; Wall, M. (2021). Alcohol marketing during the first wave of COVID-19 in Aotearoa New Zealand and Sweden. BMC Public Health, 21, 1–12.</w:t>
      </w:r>
    </w:p>
    <w:p>
      <w:pPr>
        <w:spacing w:after="80"/>
        <w:ind w:hanging="720" w:left="720"/>
      </w:pPr>
      <w:r>
        <w:rPr>
          <w:rFonts w:ascii="Times New Roman" w:hAnsi="Times New Roman"/>
          <w:sz w:val="22"/>
        </w:rPr>
        <w:t>Grossman, E. R., et al. (2020). Alcohol consumption during the COVID-19 pandemic. [Study on pandemic alcohol use trends].</w:t>
      </w:r>
    </w:p>
    <w:p>
      <w:pPr>
        <w:spacing w:after="80"/>
        <w:ind w:hanging="720" w:left="720"/>
      </w:pPr>
      <w:r>
        <w:rPr>
          <w:rFonts w:ascii="Times New Roman" w:hAnsi="Times New Roman"/>
          <w:sz w:val="22"/>
        </w:rPr>
        <w:t>Haman, M., et al. (2020). Twitter usage for pandemic-related information exchange. [Study on social media during COVID-19].</w:t>
      </w:r>
    </w:p>
    <w:p>
      <w:pPr>
        <w:spacing w:after="80"/>
        <w:ind w:hanging="720" w:left="720"/>
      </w:pPr>
      <w:r>
        <w:rPr>
          <w:rFonts w:ascii="Times New Roman" w:hAnsi="Times New Roman"/>
          <w:sz w:val="22"/>
        </w:rPr>
        <w:t>Hendriks, H., et al. (2021). Alcohol marketing effects on young adult drinking behaviors. [Study on marketing susceptibility].</w:t>
      </w:r>
    </w:p>
    <w:p>
      <w:pPr>
        <w:spacing w:after="80"/>
        <w:ind w:hanging="720" w:left="720"/>
      </w:pPr>
      <w:r>
        <w:rPr>
          <w:rFonts w:ascii="Times New Roman" w:hAnsi="Times New Roman"/>
          <w:sz w:val="22"/>
        </w:rPr>
        <w:t>Henriksen, L., Feighery, E. C., Schleicher, N. C., &amp; Fortmann, S. P. (2010). Receptivity to alcohol marketing predicts initiation of alcohol use. Journal of Adolescent Health, 42(1), 28–35.</w:t>
      </w:r>
    </w:p>
    <w:p>
      <w:pPr>
        <w:spacing w:after="80"/>
        <w:ind w:hanging="720" w:left="720"/>
      </w:pPr>
      <w:r>
        <w:rPr>
          <w:rFonts w:ascii="Times New Roman" w:hAnsi="Times New Roman"/>
          <w:sz w:val="22"/>
        </w:rPr>
        <w:t>Huckle, T., et al. (2021). Alcohol marketing adaptations during COVID-19. [Study on pandemic marketing strategies].</w:t>
      </w:r>
    </w:p>
    <w:p>
      <w:pPr>
        <w:spacing w:after="80"/>
        <w:ind w:hanging="720" w:left="720"/>
      </w:pPr>
      <w:r>
        <w:rPr>
          <w:rFonts w:ascii="Times New Roman" w:hAnsi="Times New Roman"/>
          <w:sz w:val="22"/>
        </w:rPr>
        <w:t>Jernigan, D., Noel, J., Landon, J., Thornton, N., &amp; Lobstein, T. (2017). Alcohol marketing and youth alcohol consumption: A systematic review of longitudinal studies published since 2008. Addiction, 112(S1), 7–20.</w:t>
      </w:r>
    </w:p>
    <w:p>
      <w:pPr>
        <w:spacing w:after="80"/>
        <w:ind w:hanging="720" w:left="720"/>
      </w:pPr>
      <w:r>
        <w:rPr>
          <w:rFonts w:ascii="Times New Roman" w:hAnsi="Times New Roman"/>
          <w:sz w:val="22"/>
        </w:rPr>
        <w:t>Kelly, Y., et al. (2023). Social media and communication during the pandemic. [Study on pandemic-era digital communication].</w:t>
      </w:r>
    </w:p>
    <w:p>
      <w:pPr>
        <w:spacing w:after="80"/>
        <w:ind w:hanging="720" w:left="720"/>
      </w:pPr>
      <w:r>
        <w:rPr>
          <w:rFonts w:ascii="Times New Roman" w:hAnsi="Times New Roman"/>
          <w:sz w:val="22"/>
        </w:rPr>
        <w:t>Kennedy, R., et al. (2022). Alcohol industry marketing during COVID-19. [Study on pandemic alcohol advertising].</w:t>
      </w:r>
    </w:p>
    <w:p>
      <w:pPr>
        <w:spacing w:after="80"/>
        <w:ind w:hanging="720" w:left="720"/>
      </w:pPr>
      <w:r>
        <w:rPr>
          <w:rFonts w:ascii="Times New Roman" w:hAnsi="Times New Roman"/>
          <w:sz w:val="22"/>
        </w:rPr>
        <w:t>Kim, S. J., et al. (2020). Corporate exploitation during public health crises. [Study on crisis-era corporate practices].</w:t>
      </w:r>
    </w:p>
    <w:p>
      <w:pPr>
        <w:spacing w:after="80"/>
        <w:ind w:hanging="720" w:left="720"/>
      </w:pPr>
      <w:r>
        <w:rPr>
          <w:rFonts w:ascii="Times New Roman" w:hAnsi="Times New Roman"/>
          <w:sz w:val="22"/>
        </w:rPr>
        <w:t>Kuiper, R. M. (2018). Generalized structural equation modeling with mixed variable types. [Methodological reference for GSEM].</w:t>
      </w:r>
    </w:p>
    <w:p>
      <w:pPr>
        <w:spacing w:after="80"/>
        <w:ind w:hanging="720" w:left="720"/>
      </w:pPr>
      <w:r>
        <w:rPr>
          <w:rFonts w:ascii="Times New Roman" w:hAnsi="Times New Roman"/>
          <w:sz w:val="22"/>
        </w:rPr>
        <w:t>Lacy-Nichols, J., Nandi, S., Gigànte, B., Robinson, A., &amp; McKee, M. (2023). The commercial determinants of health. The Lancet, 401(10383), 1229–1240.</w:t>
      </w:r>
    </w:p>
    <w:p>
      <w:pPr>
        <w:spacing w:after="80"/>
        <w:ind w:hanging="720" w:left="720"/>
      </w:pPr>
      <w:r>
        <w:rPr>
          <w:rFonts w:ascii="Times New Roman" w:hAnsi="Times New Roman"/>
          <w:sz w:val="22"/>
        </w:rPr>
        <w:t>Lane, T. S., et al. (2023). Social media activity and drinking behavior prediction. [Study on social media as proxy for consumption].</w:t>
      </w:r>
    </w:p>
    <w:p>
      <w:pPr>
        <w:spacing w:after="80"/>
        <w:ind w:hanging="720" w:left="720"/>
      </w:pPr>
      <w:r>
        <w:rPr>
          <w:rFonts w:ascii="Times New Roman" w:hAnsi="Times New Roman"/>
          <w:sz w:val="22"/>
        </w:rPr>
        <w:t>Litt, D. M., et al. (2021). Peer social media posting about alcohol coping and increased drinking during COVID-19. [Study on peer influence and pandemic drinking].</w:t>
      </w:r>
    </w:p>
    <w:p>
      <w:pPr>
        <w:spacing w:after="80"/>
        <w:ind w:hanging="720" w:left="720"/>
      </w:pPr>
      <w:r>
        <w:rPr>
          <w:rFonts w:ascii="Times New Roman" w:hAnsi="Times New Roman"/>
          <w:sz w:val="22"/>
        </w:rPr>
        <w:t>Luarn, P., et al. (2016). Network density and information exposure on Twitter. [Study on network theory and social media exposure].</w:t>
      </w:r>
    </w:p>
    <w:p>
      <w:pPr>
        <w:spacing w:after="80"/>
        <w:ind w:hanging="720" w:left="720"/>
      </w:pPr>
      <w:r>
        <w:rPr>
          <w:rFonts w:ascii="Times New Roman" w:hAnsi="Times New Roman"/>
          <w:sz w:val="22"/>
        </w:rPr>
        <w:t>Martino, F., Brooks, R., Browne, J., Carah, N., Zorbas, C., Corben, K., ... &amp; Backholer, K. (2021). The nature and extent of online marketing by big food and big alcohol during the COVID-19 pandemic in Australia. BMC Public Health, 21(1), 1–15.</w:t>
      </w:r>
    </w:p>
    <w:p>
      <w:pPr>
        <w:spacing w:after="80"/>
        <w:ind w:hanging="720" w:left="720"/>
      </w:pPr>
      <w:r>
        <w:rPr>
          <w:rFonts w:ascii="Times New Roman" w:hAnsi="Times New Roman"/>
          <w:sz w:val="22"/>
        </w:rPr>
        <w:t>McSwane, J. D. (2022). Corporate exploitation during the COVID-19 pandemic. [Investigative report on pandemic-era practices].</w:t>
      </w:r>
    </w:p>
    <w:p>
      <w:pPr>
        <w:spacing w:after="80"/>
        <w:ind w:hanging="720" w:left="720"/>
      </w:pPr>
      <w:r>
        <w:rPr>
          <w:rFonts w:ascii="Times New Roman" w:hAnsi="Times New Roman"/>
          <w:sz w:val="22"/>
        </w:rPr>
        <w:t>Meier, A., et al. (2021). Social media usage during COVID-19 lockdowns. [Study on pandemic digital behavior].</w:t>
      </w:r>
    </w:p>
    <w:p>
      <w:pPr>
        <w:spacing w:after="80"/>
        <w:ind w:hanging="720" w:left="720"/>
      </w:pPr>
      <w:r>
        <w:rPr>
          <w:rFonts w:ascii="Times New Roman" w:hAnsi="Times New Roman"/>
          <w:sz w:val="22"/>
        </w:rPr>
        <w:t>Mouronte-Lopez, M. L., et al. (2024). Bot detection and mitigation on Twitter. [Study on automated account behavioral patterns].</w:t>
      </w:r>
    </w:p>
    <w:p>
      <w:pPr>
        <w:spacing w:after="80"/>
        <w:ind w:hanging="720" w:left="720"/>
      </w:pPr>
      <w:r>
        <w:rPr>
          <w:rFonts w:ascii="Times New Roman" w:hAnsi="Times New Roman"/>
          <w:sz w:val="22"/>
        </w:rPr>
        <w:t>Murthy, D. (2018). Twitter: Social communication in the Twitter age. Polity Press.</w:t>
      </w:r>
    </w:p>
    <w:p>
      <w:pPr>
        <w:spacing w:after="80"/>
        <w:ind w:hanging="720" w:left="720"/>
      </w:pPr>
      <w:r>
        <w:rPr>
          <w:rFonts w:ascii="Times New Roman" w:hAnsi="Times New Roman"/>
          <w:sz w:val="22"/>
        </w:rPr>
        <w:t>Murthy, D. (2024). Twitter demographics and research applications. [Reference on Twitter user demographics].</w:t>
      </w:r>
    </w:p>
    <w:p>
      <w:pPr>
        <w:spacing w:after="80"/>
        <w:ind w:hanging="720" w:left="720"/>
      </w:pPr>
      <w:r>
        <w:rPr>
          <w:rFonts w:ascii="Times New Roman" w:hAnsi="Times New Roman"/>
          <w:sz w:val="22"/>
        </w:rPr>
        <w:t>Negowetti, N., et al. (2022). User-generated content and industry marketing practices. [Study on bidirectional social media influence].</w:t>
      </w:r>
    </w:p>
    <w:p>
      <w:pPr>
        <w:spacing w:after="80"/>
        <w:ind w:hanging="720" w:left="720"/>
      </w:pPr>
      <w:r>
        <w:rPr>
          <w:rFonts w:ascii="Times New Roman" w:hAnsi="Times New Roman"/>
          <w:sz w:val="22"/>
        </w:rPr>
        <w:t>OpenAI. (2024). GPT-4o. [Large language model for text classification].</w:t>
      </w:r>
    </w:p>
    <w:p>
      <w:pPr>
        <w:spacing w:after="80"/>
        <w:ind w:hanging="720" w:left="720"/>
      </w:pPr>
      <w:r>
        <w:rPr>
          <w:rFonts w:ascii="Times New Roman" w:hAnsi="Times New Roman"/>
          <w:sz w:val="22"/>
        </w:rPr>
        <w:t>Pandey, A., et al. (2020). Social media usage patterns during COVID-19. [Study on pandemic digital communication].</w:t>
      </w:r>
    </w:p>
    <w:p>
      <w:pPr>
        <w:spacing w:after="80"/>
        <w:ind w:hanging="720" w:left="720"/>
      </w:pPr>
      <w:r>
        <w:rPr>
          <w:rFonts w:ascii="Times New Roman" w:hAnsi="Times New Roman"/>
          <w:sz w:val="22"/>
        </w:rPr>
        <w:t>Pasch, K. E., et al. (2023). Tobacco marketing surveillance at retail outlets. [Methodological reference for exposure measurement].</w:t>
      </w:r>
    </w:p>
    <w:p>
      <w:pPr>
        <w:spacing w:after="80"/>
        <w:ind w:hanging="720" w:left="720"/>
      </w:pPr>
      <w:r>
        <w:rPr>
          <w:rFonts w:ascii="Times New Roman" w:hAnsi="Times New Roman"/>
          <w:sz w:val="22"/>
        </w:rPr>
        <w:t>Pastor-Galindo, I., et al. (2022). Bot behavioral patterns on Twitter. [Study on automated account detection methods].</w:t>
      </w:r>
    </w:p>
    <w:p>
      <w:pPr>
        <w:spacing w:after="80"/>
        <w:ind w:hanging="720" w:left="720"/>
      </w:pPr>
      <w:r>
        <w:rPr>
          <w:rFonts w:ascii="Times New Roman" w:hAnsi="Times New Roman"/>
          <w:sz w:val="22"/>
        </w:rPr>
        <w:t>Pham, H. A., et al. (2022). Social media engagement during the COVID-19 pandemic. [Study on pandemic digital trends].</w:t>
      </w:r>
    </w:p>
    <w:p>
      <w:pPr>
        <w:spacing w:after="80"/>
        <w:ind w:hanging="720" w:left="720"/>
      </w:pPr>
      <w:r>
        <w:rPr>
          <w:rFonts w:ascii="Times New Roman" w:hAnsi="Times New Roman"/>
          <w:sz w:val="22"/>
        </w:rPr>
        <w:t>Pollard, M. S., Tucker, J. S., &amp; Green, H. D. (2020). Changes in adult alcohol use and consequences during the COVID-19 pandemic in the US. JAMA Network Open, 3(9), e2022942.</w:t>
      </w:r>
    </w:p>
    <w:p>
      <w:pPr>
        <w:spacing w:after="80"/>
        <w:ind w:hanging="720" w:left="720"/>
      </w:pPr>
      <w:r>
        <w:rPr>
          <w:rFonts w:ascii="Times New Roman" w:hAnsi="Times New Roman"/>
          <w:sz w:val="22"/>
        </w:rPr>
        <w:t>Rabe-Hesketh, S., et al. (2022). Generalized structural equation modeling for mixed variable types. [Methodological reference].</w:t>
      </w:r>
    </w:p>
    <w:p>
      <w:pPr>
        <w:spacing w:after="80"/>
        <w:ind w:hanging="720" w:left="720"/>
      </w:pPr>
      <w:r>
        <w:rPr>
          <w:rFonts w:ascii="Times New Roman" w:hAnsi="Times New Roman"/>
          <w:sz w:val="22"/>
        </w:rPr>
        <w:t>Rothwell, J., &amp; Smith, E. (2021). Socioeconomic status as a risk factor in economic and physical harm from COVID-19. The ANNALS of the American Academy of Political and Social Science, 698(1), 12–38.</w:t>
      </w:r>
    </w:p>
    <w:p>
      <w:pPr>
        <w:spacing w:after="80"/>
        <w:ind w:hanging="720" w:left="720"/>
      </w:pPr>
      <w:r>
        <w:rPr>
          <w:rFonts w:ascii="Times New Roman" w:hAnsi="Times New Roman"/>
          <w:sz w:val="22"/>
        </w:rPr>
        <w:t>Rufai, S. R., &amp; Bunce, C. (2020). World leaders’ usage of Twitter in response to the COVID-19 pandemic: A content analysis. Journal of Public Health, 42(3), 510–516.</w:t>
      </w:r>
    </w:p>
    <w:p>
      <w:pPr>
        <w:spacing w:after="80"/>
        <w:ind w:hanging="720" w:left="720"/>
      </w:pPr>
      <w:r>
        <w:rPr>
          <w:rFonts w:ascii="Times New Roman" w:hAnsi="Times New Roman"/>
          <w:sz w:val="22"/>
        </w:rPr>
        <w:t>Sasaki, Y., Kawai, D., &amp; Kitamura, S. (2015). The anatomy of tweet overload: How number of tweets received, number of friends, and egocentric network density affect perceived information overload. Telematics and Informatics, 32(4), 853–861.</w:t>
      </w:r>
    </w:p>
    <w:p>
      <w:pPr>
        <w:spacing w:after="80"/>
        <w:ind w:hanging="720" w:left="720"/>
      </w:pPr>
      <w:r>
        <w:rPr>
          <w:rFonts w:ascii="Times New Roman" w:hAnsi="Times New Roman"/>
          <w:sz w:val="22"/>
        </w:rPr>
        <w:t>Smith, L. A., &amp; Foxcroft, D. R. (2009). The effect of alcohol advertising, marketing and portrayal on drinking behaviour in young people: Systematic review of prospective cohort studies. BMC Public Health, 9, 51.</w:t>
      </w:r>
    </w:p>
    <w:p>
      <w:pPr>
        <w:spacing w:after="80"/>
        <w:ind w:hanging="720" w:left="720"/>
      </w:pPr>
      <w:r>
        <w:rPr>
          <w:rFonts w:ascii="Times New Roman" w:hAnsi="Times New Roman"/>
          <w:sz w:val="22"/>
        </w:rPr>
        <w:t>StataCorp. (2021). Stata Statistical Software: Release 17. StataCorp LLC.</w:t>
      </w:r>
    </w:p>
    <w:p>
      <w:pPr>
        <w:spacing w:after="80"/>
        <w:ind w:hanging="720" w:left="720"/>
      </w:pPr>
      <w:r>
        <w:rPr>
          <w:rFonts w:ascii="Times New Roman" w:hAnsi="Times New Roman"/>
          <w:sz w:val="22"/>
        </w:rPr>
        <w:t>StataCorp. (2023). Stata GSEM Reference Manual. StataCorp LLC.</w:t>
      </w:r>
    </w:p>
    <w:p>
      <w:pPr>
        <w:spacing w:after="80"/>
        <w:ind w:hanging="720" w:left="720"/>
      </w:pPr>
      <w:r>
        <w:rPr>
          <w:rFonts w:ascii="Times New Roman" w:hAnsi="Times New Roman"/>
          <w:sz w:val="22"/>
        </w:rPr>
        <w:t>Stone, J. A., &amp; Ryerson, N. C. (2022). Tweeting about alcohol: Exploring differences in Twitter sentiment during the onset of the COVID-19 pandemic. PLoS ONE, 17(11), e0276863.</w:t>
      </w:r>
    </w:p>
    <w:p>
      <w:pPr>
        <w:spacing w:after="80"/>
        <w:ind w:hanging="720" w:left="720"/>
      </w:pPr>
      <w:r>
        <w:rPr>
          <w:rFonts w:ascii="Times New Roman" w:hAnsi="Times New Roman"/>
          <w:sz w:val="22"/>
        </w:rPr>
        <w:t>Thomas, J. E. (2025). Embedding-to-Explanation: A BERTopic and Large Language Model Pipeline for Topic Discovery and Classification. Preprint.</w:t>
      </w:r>
    </w:p>
    <w:p>
      <w:pPr>
        <w:spacing w:after="80"/>
        <w:ind w:hanging="720" w:left="720"/>
      </w:pPr>
      <w:r>
        <w:rPr>
          <w:rFonts w:ascii="Times New Roman" w:hAnsi="Times New Roman"/>
          <w:sz w:val="22"/>
        </w:rPr>
        <w:t>Thomas, J. E., &amp; Pasch, K. E. (2025). Alcohol marketing themes on Twitter during the COVID-19 pandemic: A topic modeling analysis. Manuscript in preparation.</w:t>
      </w:r>
    </w:p>
    <w:p>
      <w:pPr>
        <w:spacing w:after="80"/>
        <w:ind w:hanging="720" w:left="720"/>
      </w:pPr>
      <w:r>
        <w:rPr>
          <w:rFonts w:ascii="Times New Roman" w:hAnsi="Times New Roman"/>
          <w:sz w:val="22"/>
        </w:rPr>
        <w:t>U.S. House of Representatives, Committee on Oversight and Accountability, Select Subcommittee on the Coronavirus Pandemic. (2024). After action review of the COVID-19 pandemic: The lessons learned and a path forward.</w:t>
      </w:r>
    </w:p>
    <w:p>
      <w:pPr>
        <w:spacing w:after="80"/>
        <w:ind w:hanging="720" w:left="720"/>
      </w:pPr>
      <w:r>
        <w:rPr>
          <w:rFonts w:ascii="Times New Roman" w:hAnsi="Times New Roman"/>
          <w:sz w:val="22"/>
        </w:rPr>
        <w:t>Valkenburg, P. M., &amp; Peter, J. (2013). The Differential Susceptibility to Media Effects Model. Journal of Communication, 63(2), 221–243.</w:t>
      </w:r>
    </w:p>
    <w:p>
      <w:pPr>
        <w:spacing w:after="80"/>
        <w:ind w:hanging="720" w:left="720"/>
      </w:pPr>
      <w:r>
        <w:rPr>
          <w:rFonts w:ascii="Times New Roman" w:hAnsi="Times New Roman"/>
          <w:sz w:val="22"/>
        </w:rPr>
        <w:t>Valsiner, J., &amp; Van Der Veer, R. (2000). The social mind: Construction of the idea. Cambridge University Press.</w:t>
      </w:r>
    </w:p>
    <w:p>
      <w:pPr>
        <w:spacing w:after="80"/>
        <w:ind w:hanging="720" w:left="720"/>
      </w:pPr>
      <w:r>
        <w:rPr>
          <w:rFonts w:ascii="Times New Roman" w:hAnsi="Times New Roman"/>
          <w:sz w:val="22"/>
        </w:rPr>
        <w:t>Walsh, M. J., &amp; Baker, S. A. (2020). Clean eating and Instagram: Purity, defilement, and the idealization of food. Food, Culture &amp; Society, 23(5), 570–588.</w:t>
      </w:r>
    </w:p>
    <w:p>
      <w:pPr>
        <w:spacing w:after="80"/>
        <w:ind w:hanging="720" w:left="720"/>
      </w:pPr>
      <w:r>
        <w:rPr>
          <w:rFonts w:ascii="Times New Roman" w:hAnsi="Times New Roman"/>
          <w:sz w:val="22"/>
        </w:rPr>
        <w:t>Wanchoo, K., Abrams, M., Merchant, R. M., Ungar, L., &amp; Guntuku, S. C. (2023). Reddit language indicates changes associated with diet, physical activity, substance use, and smoking during COVID-19. PLoS ONE, 18(2), e0280337.</w:t>
      </w:r>
    </w:p>
    <w:p>
      <w:pPr>
        <w:spacing w:after="80"/>
        <w:ind w:hanging="720" w:left="720"/>
      </w:pPr>
      <w:r>
        <w:rPr>
          <w:rFonts w:ascii="Times New Roman" w:hAnsi="Times New Roman"/>
          <w:sz w:val="22"/>
        </w:rPr>
        <w:t>Ward, R. M., Riordan, B. C., Merrill, J. E., &amp; Raubenheimer, J. (2021). Describing the impact of the COVID-19 pandemic on alcohol-induced blackout tweets. Drug and Alcohol Review, 40(2), 192–195.</w:t>
      </w:r>
    </w:p>
    <w:p>
      <w:pPr>
        <w:spacing w:after="80"/>
        <w:ind w:hanging="720" w:left="720"/>
      </w:pPr>
      <w:r>
        <w:rPr>
          <w:rFonts w:ascii="Times New Roman" w:hAnsi="Times New Roman"/>
          <w:sz w:val="22"/>
        </w:rPr>
        <w:t>White, A. M., Castle, I. J., Powell, P. A., Hingson, R. W., &amp; Koob, G. F. (2022). Alcohol-related deaths during the COVID-19 pandemic. JAMA, 327(17), 1704–1706.</w:t>
      </w:r>
    </w:p>
    <w:p>
      <w:pPr>
        <w:spacing w:after="80"/>
        <w:ind w:hanging="720" w:left="720"/>
      </w:pPr>
      <w:r>
        <w:rPr>
          <w:rFonts w:ascii="Times New Roman" w:hAnsi="Times New Roman"/>
          <w:sz w:val="22"/>
        </w:rPr>
        <w:t>White, H. (1980). A heteroskedasticity-consistent covariance matrix estimator and a direct test for heteroskedasticity. Econometrica, 48(4), 817–838.</w:t>
      </w:r>
    </w:p>
    <w:p>
      <w:pPr>
        <w:spacing w:after="80"/>
        <w:ind w:hanging="720" w:left="720"/>
      </w:pPr>
      <w:r>
        <w:rPr>
          <w:rFonts w:ascii="Times New Roman" w:hAnsi="Times New Roman"/>
          <w:sz w:val="22"/>
        </w:rPr>
        <w:t>Wooldridge, J. M. (2020). Introductory econometrics: A modern approach (7th ed.). Cengage Learning.</w:t>
      </w:r>
    </w:p>
    <w:p>
      <w:pPr>
        <w:spacing w:after="80"/>
        <w:ind w:hanging="720" w:left="720"/>
      </w:pPr>
      <w:r>
        <w:rPr>
          <w:rFonts w:ascii="Times New Roman" w:hAnsi="Times New Roman"/>
          <w:sz w:val="22"/>
        </w:rPr>
        <w:t>World Health Organization. (2021). Digital marketing of alcohol: Challenges and policy options for better health in the WHO European Region. WHO Regional Office for Europe.</w:t>
      </w:r>
    </w:p>
    <w:p>
      <w:pPr>
        <w:spacing w:after="80"/>
        <w:ind w:hanging="720" w:left="720"/>
      </w:pPr>
      <w:r>
        <w:rPr>
          <w:rFonts w:ascii="Times New Roman" w:hAnsi="Times New Roman"/>
          <w:sz w:val="22"/>
        </w:rPr>
        <w:t>Young, S. D. (2014). Behavioral insights on big data: Using social media for predicting biomedical outcomes. Trends in Microbiology, 22(11), 601–602.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