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480" w:lineRule="auto"/>
        <w:jc w:val="center"/>
      </w:pPr>
      <w:r>
        <w:rPr>
          <w:rFonts w:ascii="Times New Roman" w:cs="Times New Roman" w:eastAsia="Times New Roman" w:hAnsi="Times New Roman"/>
          <w:b/>
          <w:bCs/>
          <w:i w:val="false"/>
          <w:iCs w:val="false"/>
          <w:color w:val="000000"/>
          <w:sz w:val="24"/>
          <w:szCs w:val="24"/>
        </w:rPr>
        <w:t xml:space="preserve">The Psychological Recession: Conceptualizing and Operationalizing the Post-Pandemic United States Labor Market as a Distal Psychiatric Exposure</w:t>
      </w:r>
    </w:p>
    <w:p>
      <w:pPr>
        <w:spacing w:after="0" w:before="0"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480" w:lineRule="auto"/>
        <w:jc w:val="center"/>
      </w:pPr>
      <w:r>
        <w:rPr>
          <w:rFonts w:ascii="Times New Roman" w:cs="Times New Roman" w:eastAsia="Times New Roman" w:hAnsi="Times New Roman"/>
          <w:b w:val="false"/>
          <w:bCs w:val="false"/>
          <w:i w:val="false"/>
          <w:iCs w:val="false"/>
          <w:color w:val="000000"/>
          <w:sz w:val="24"/>
          <w:szCs w:val="24"/>
        </w:rPr>
        <w:t xml:space="preserve">Jacob E. Thomas¹</w:t>
      </w:r>
      <w:r>
        <w:rPr>
          <w:rFonts w:ascii="Times New Roman" w:cs="Times New Roman" w:eastAsia="Times New Roman" w:hAnsi="Times New Roman"/>
          <w:b w:val="false"/>
          <w:bCs w:val="false"/>
          <w:i w:val="false"/>
          <w:iCs w:val="false"/>
          <w:color w:val="000000"/>
          <w:sz w:val="24"/>
          <w:szCs w:val="24"/>
          <w:vertAlign w:val="superscript"/>
        </w:rPr>
        <w:t xml:space="preserve">*</w:t>
      </w:r>
      <w:r>
        <w:rPr>
          <w:rFonts w:ascii="Times New Roman" w:cs="Times New Roman" w:eastAsia="Times New Roman" w:hAnsi="Times New Roman"/>
          <w:b w:val="false"/>
          <w:bCs w:val="false"/>
          <w:i w:val="false"/>
          <w:iCs w:val="false"/>
          <w:color w:val="000000"/>
          <w:sz w:val="24"/>
          <w:szCs w:val="24"/>
        </w:rPr>
        <w:t xml:space="preserve"> and [Co-author]²</w:t>
      </w:r>
    </w:p>
    <w:p>
      <w:pPr>
        <w:spacing w:after="0" w:before="0" w:line="480" w:lineRule="auto"/>
        <w:jc w:val="center"/>
      </w:pPr>
      <w:r>
        <w:rPr>
          <w:rFonts w:ascii="Times New Roman" w:cs="Times New Roman" w:eastAsia="Times New Roman" w:hAnsi="Times New Roman"/>
          <w:b w:val="false"/>
          <w:bCs w:val="false"/>
          <w:i w:val="false"/>
          <w:iCs w:val="false"/>
          <w:color w:val="000000"/>
          <w:sz w:val="24"/>
          <w:szCs w:val="24"/>
        </w:rPr>
        <w:t xml:space="preserve">¹ Results Generation, Austin, Texas, USA</w:t>
      </w:r>
    </w:p>
    <w:p>
      <w:pPr>
        <w:spacing w:after="0" w:before="0" w:line="480" w:lineRule="auto"/>
        <w:jc w:val="center"/>
      </w:pPr>
      <w:r>
        <w:rPr>
          <w:rFonts w:ascii="Times New Roman" w:cs="Times New Roman" w:eastAsia="Times New Roman" w:hAnsi="Times New Roman"/>
          <w:b w:val="false"/>
          <w:bCs w:val="false"/>
          <w:i w:val="false"/>
          <w:iCs w:val="false"/>
          <w:color w:val="000000"/>
          <w:sz w:val="24"/>
          <w:szCs w:val="24"/>
        </w:rPr>
        <w:t xml:space="preserve">² [Institutional affiliation]</w:t>
      </w:r>
    </w:p>
    <w:p>
      <w:pPr>
        <w:spacing w:after="0" w:before="0"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480" w:lineRule="auto"/>
        <w:jc w:val="center"/>
      </w:pPr>
      <w:r>
        <w:rPr>
          <w:rFonts w:ascii="Times New Roman" w:cs="Times New Roman" w:eastAsia="Times New Roman" w:hAnsi="Times New Roman"/>
          <w:b/>
          <w:bCs/>
          <w:i w:val="false"/>
          <w:iCs w:val="false"/>
          <w:color w:val="000000"/>
          <w:sz w:val="24"/>
          <w:szCs w:val="24"/>
        </w:rPr>
        <w:t xml:space="preserve">Author Note</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Jacob E. Thomas </w:t>
      </w:r>
      <w:r>
        <w:rPr>
          <w:rFonts w:ascii="Times New Roman" w:cs="Times New Roman" w:eastAsia="Times New Roman" w:hAnsi="Times New Roman"/>
          <w:b w:val="false"/>
          <w:bCs w:val="false"/>
          <w:i w:val="false"/>
          <w:iCs w:val="false"/>
          <w:color w:val="000000"/>
          <w:sz w:val="24"/>
          <w:szCs w:val="24"/>
        </w:rPr>
        <w:t xml:space="preserve">https://orcid.org/</w:t>
      </w:r>
      <w:r>
        <w:rPr>
          <w:rFonts w:ascii="Times New Roman" w:cs="Times New Roman" w:eastAsia="Times New Roman" w:hAnsi="Times New Roman"/>
          <w:b w:val="false"/>
          <w:bCs w:val="false"/>
          <w:i w:val="false"/>
          <w:iCs w:val="false"/>
          <w:color w:val="000000"/>
          <w:sz w:val="24"/>
          <w:szCs w:val="24"/>
        </w:rPr>
        <w:t xml:space="preserve">[ORCID]</w:t>
      </w:r>
      <w:r>
        <w:rPr>
          <w:rFonts w:ascii="Times New Roman" w:cs="Times New Roman" w:eastAsia="Times New Roman" w:hAnsi="Times New Roman"/>
          <w:b w:val="false"/>
          <w:bCs w:val="false"/>
          <w:i w:val="false"/>
          <w:iCs w:val="false"/>
          <w:color w:val="000000"/>
          <w:sz w:val="24"/>
          <w:szCs w:val="24"/>
        </w:rPr>
        <w:t xml:space="preserve">, Results Generation, Austin, Texas. </w:t>
      </w:r>
      <w:r>
        <w:rPr>
          <w:rFonts w:ascii="Times New Roman" w:cs="Times New Roman" w:eastAsia="Times New Roman" w:hAnsi="Times New Roman"/>
          <w:b w:val="false"/>
          <w:bCs w:val="false"/>
          <w:i w:val="false"/>
          <w:iCs w:val="false"/>
          <w:color w:val="000000"/>
          <w:sz w:val="24"/>
          <w:szCs w:val="24"/>
        </w:rPr>
        <w:t xml:space="preserve">The authors have no conflicts of interest to disclose. </w:t>
      </w:r>
      <w:r>
        <w:rPr>
          <w:rFonts w:ascii="Times New Roman" w:cs="Times New Roman" w:eastAsia="Times New Roman" w:hAnsi="Times New Roman"/>
          <w:b w:val="false"/>
          <w:bCs w:val="false"/>
          <w:i w:val="false"/>
          <w:iCs w:val="false"/>
          <w:color w:val="000000"/>
          <w:sz w:val="24"/>
          <w:szCs w:val="24"/>
        </w:rPr>
        <w:t xml:space="preserve">No external funding supported this work. </w:t>
      </w:r>
      <w:r>
        <w:rPr>
          <w:rFonts w:ascii="Times New Roman" w:cs="Times New Roman" w:eastAsia="Times New Roman" w:hAnsi="Times New Roman"/>
          <w:b w:val="false"/>
          <w:bCs w:val="false"/>
          <w:i w:val="false"/>
          <w:iCs w:val="false"/>
          <w:color w:val="000000"/>
          <w:sz w:val="24"/>
          <w:szCs w:val="24"/>
        </w:rPr>
        <w:t xml:space="preserve">Correspondence concerning this article should be addressed to Jacob E. Thomas, Results Generation, Austin, Texas, USA. Email: jacob.thomas@resultsgeneration.com</w:t>
      </w:r>
    </w:p>
    <w:p>
      <w:pPr>
        <w:spacing w:after="0" w:before="0" w:line="480" w:lineRule="auto"/>
        <w:jc w:val="center"/>
      </w:pPr>
      <w:r>
        <w:br w:type="page"/>
      </w:r>
      <w:r>
        <w:rPr>
          <w:rFonts w:ascii="Times New Roman" w:cs="Times New Roman" w:eastAsia="Times New Roman" w:hAnsi="Times New Roman"/>
          <w:b/>
          <w:bCs/>
          <w:i w:val="false"/>
          <w:iCs w:val="false"/>
          <w:color w:val="000000"/>
          <w:sz w:val="24"/>
          <w:szCs w:val="24"/>
        </w:rPr>
        <w:t xml:space="preserve">Abstract</w:t>
      </w:r>
    </w:p>
    <w:p>
      <w:pPr>
        <w:spacing w:after="0" w:before="0" w:line="480" w:lineRule="auto"/>
      </w:pPr>
      <w:r>
        <w:rPr>
          <w:rFonts w:ascii="Times New Roman" w:cs="Times New Roman" w:eastAsia="Times New Roman" w:hAnsi="Times New Roman"/>
          <w:b w:val="false"/>
          <w:bCs w:val="false"/>
          <w:i w:val="false"/>
          <w:iCs w:val="false"/>
          <w:color w:val="000000"/>
          <w:sz w:val="24"/>
          <w:szCs w:val="24"/>
        </w:rPr>
        <w:t xml:space="preserve">In December 2025 the United States labor market produced an apparent contradiction: macroeconomic indicators signalling recovery (4.4% unemployment, positive nonfarm payroll growth, an expanding economy) coexisted with population indicators signalling distress (the Conference Board Expectations Index below the 80-point recession-warning threshold for an eleventh consecutive month, 41% of workers reporting daily stress, 18–22% of online job postings classified as “ghost jobs,” applications-per-offer ratios of 294 in technology hiring, 16% reduced employment for 22- to 25-year-olds in AI-exposed roles). We argue this is not a contradiction. It is an artifact of a measurement system that registers what 20th-century labor markets did to gross domestic product but cannot register what 21st-century labor markets do to population mental health. We conducted a scoping synthesis of peer-reviewed and grey-literature evidence (2008–2026) on contemporary U.S. labor-market exposure and population mental health, organized around the cardinal criteria of fundamental-cause theory, syndemic theory, and ecosocial theory. We then specified a two-level operationalization: a population-surveillance Psychological Recession Index (PRI) built from existing nationally representative instruments, and an individual-level Labor Market Distress Inventory (LMDI) combining validated subscales with a novel Hiring-Process Distress subscale. Evidence converges across five domains—macro–psychiatric divergence, post-Great Financial Crisis overhiring and reference-point inflation, generative-AI displacement anxiety, ghost-job proliferation and hiring-ritual decay, and gendered and generational stratification—on the conclusion that contemporary U.S. labor-market structure produces psychiatric exposure independent of the technical macroeconomic cycle. The pattern satisfies Link and Phelan’s four criteria for fundamental causation, Singer and Clair’s three criteria for syndemic clustering, and Galtung’s definition of structural violence. We propose the term </w:t>
      </w:r>
      <w:r>
        <w:rPr>
          <w:rFonts w:ascii="Times New Roman" w:cs="Times New Roman" w:eastAsia="Times New Roman" w:hAnsi="Times New Roman"/>
          <w:b w:val="false"/>
          <w:bCs w:val="false"/>
          <w:i/>
          <w:iCs/>
          <w:color w:val="000000"/>
          <w:sz w:val="24"/>
          <w:szCs w:val="24"/>
        </w:rPr>
        <w:t xml:space="preserve">psychological recession</w:t>
      </w:r>
      <w:r>
        <w:rPr>
          <w:rFonts w:ascii="Times New Roman" w:cs="Times New Roman" w:eastAsia="Times New Roman" w:hAnsi="Times New Roman"/>
          <w:b w:val="false"/>
          <w:bCs w:val="false"/>
          <w:i w:val="false"/>
          <w:iCs w:val="false"/>
          <w:color w:val="000000"/>
          <w:sz w:val="24"/>
          <w:szCs w:val="24"/>
        </w:rPr>
        <w:t xml:space="preserve"> for what the macroeconomic vocabulary cannot detect: population-level psychiatric deterioration driven by structural features of the post-pandemic U.S. labor market and decoupled from the National Bureau of Economic Research definition of recession. The construct is clinically operationalizable, supports natural-experiment evaluation of existing and proposed policies, and commits public health to measuring a harm it is already responsible for reducing.</w:t>
      </w:r>
    </w:p>
    <w:p>
      <w:pPr>
        <w:spacing w:after="0" w:before="0"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480" w:lineRule="auto"/>
      </w:pPr>
      <w:r>
        <w:rPr>
          <w:rFonts w:ascii="Times New Roman" w:cs="Times New Roman" w:eastAsia="Times New Roman" w:hAnsi="Times New Roman"/>
          <w:b w:val="false"/>
          <w:bCs w:val="false"/>
          <w:i/>
          <w:iCs/>
          <w:color w:val="000000"/>
          <w:sz w:val="24"/>
          <w:szCs w:val="24"/>
        </w:rPr>
        <w:t xml:space="preserve">Keywords: </w:t>
      </w:r>
      <w:r>
        <w:rPr>
          <w:rFonts w:ascii="Times New Roman" w:cs="Times New Roman" w:eastAsia="Times New Roman" w:hAnsi="Times New Roman"/>
          <w:b w:val="false"/>
          <w:bCs w:val="false"/>
          <w:i w:val="false"/>
          <w:iCs w:val="false"/>
          <w:color w:val="000000"/>
          <w:sz w:val="24"/>
          <w:szCs w:val="24"/>
        </w:rPr>
        <w:t xml:space="preserve">psychological recession, labor-market exposure, mental-health surveillance, fundamental-cause theory, syndemic theory, ghost jobs, AI displacement, post-pandemic, structural violence</w:t>
      </w:r>
    </w:p>
    <w:p>
      <w:pPr>
        <w:spacing w:after="0" w:before="0" w:line="480" w:lineRule="auto"/>
        <w:jc w:val="center"/>
      </w:pPr>
      <w:r>
        <w:br w:type="page"/>
      </w:r>
      <w:r>
        <w:rPr>
          <w:rFonts w:ascii="Times New Roman" w:cs="Times New Roman" w:eastAsia="Times New Roman" w:hAnsi="Times New Roman"/>
          <w:b/>
          <w:bCs/>
          <w:i w:val="false"/>
          <w:iCs w:val="false"/>
          <w:color w:val="000000"/>
          <w:sz w:val="24"/>
          <w:szCs w:val="24"/>
        </w:rPr>
        <w:t xml:space="preserve">The Psychological Recession: Conceptualizing and Operationalizing the Post-Pandemic United States Labor Market as a Distal Psychiatric Exposure</w:t>
      </w:r>
    </w:p>
    <w:p>
      <w:pPr>
        <w:spacing w:after="0" w:before="0" w:line="480" w:lineRule="auto"/>
        <w:jc w:val="center"/>
      </w:pPr>
      <w:r>
        <w:rPr>
          <w:rFonts w:ascii="Times New Roman" w:cs="Times New Roman" w:eastAsia="Times New Roman" w:hAnsi="Times New Roman"/>
          <w:b/>
          <w:bCs/>
          <w:i w:val="false"/>
          <w:iCs w:val="false"/>
          <w:color w:val="000000"/>
          <w:sz w:val="24"/>
          <w:szCs w:val="24"/>
        </w:rPr>
        <w:t xml:space="preserve">Introduction</w:t>
      </w:r>
    </w:p>
    <w:p>
      <w:pPr>
        <w:spacing w:after="0" w:before="0" w:line="480" w:lineRule="auto"/>
      </w:pPr>
      <w:r>
        <w:rPr>
          <w:rFonts w:ascii="Times New Roman" w:cs="Times New Roman" w:eastAsia="Times New Roman" w:hAnsi="Times New Roman"/>
          <w:b/>
          <w:bCs/>
          <w:i w:val="false"/>
          <w:iCs w:val="false"/>
          <w:color w:val="000000"/>
          <w:sz w:val="24"/>
          <w:szCs w:val="24"/>
        </w:rPr>
        <w:t xml:space="preserve">The December 2025 Paradox</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A population can be sick at scale and be invisible to the instruments that govern it. In the final month of 2025 the United States labor market displayed the surface signs of recovery — 4.4% unemployment, 50,000 nonfarm payroll jobs added, an expanding economy on every macroeconomic measure available to the policy apparatus that defines a recession (Bureau of Labor Statistics, 2026a). Beneath those indicators, on every instrument that measures human experience rather than aggregate output, a different country reported in. The Conference Board’s Expectations Index had been below the 80-point recession-warning threshold for an eleventh consecutive month — a duration without precedent in the index’s modern history outside a confirmed recession (Conference Board, 2025). Gallup found 41% of workers reporting daily stress and only 23% reporting engagement; the 2026 release recorded a further drop in manager engagement from 27% to 22% over a single year (Gallup, 2024, 2026). Empower Work, a national text-line for workers in crisis, watched the share of conversations concerning job loss or job search rise from 13% in 2018 to more than 40% in 2024; in their July–August 2024 survey of 913 active job seekers, four in five could not find positions meeting basic financial needs (Empower Work, 2024). Greenhouse audits placed 18% to 22% of online job postings as “ghost jobs” — advertisements maintained without intent to hire — with subsequent industry surveys placing the proportion of HR professionals who regularly post such listings as high as 45% (Cox, 2025; Greenhouse, 2024; LiveCareer, 2025). Pathrise placed the average tech-sector applications-per-offer ratio at 294, up from 254 the prior year (Pathrise, 2024). Goldman Sachs estimated that artificial-intelligence (AI) substitution was destroying approximately 25,000 U.S. jobs each month, with employment for 22- to 25-year-olds in AI-exposed occupations down 16% year-over-year (Goldman Sachs Research, 2026; Peng, 2026). The National Alliance on Mental Illness–Ipsos 2024 workplace poll found 52% of full-time employees at firms of 100 or more reporting burnout over the prior twelve months (National Alliance on Mental Illness &amp; Ipsos, 2024).</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standard reading treats this as a paradox. We take the opposite view. The paradox is an artifact of the measurement system. The macroeconomic vocabulary cannot detect the harm that contemporary labor-market structure is producing because that vocabulary was not built to detect it. What the macro indicators describe and what workers report are not two contradictory accounts of the same thing; they are accounts of two different things, only one of which the policy apparatus is currently equipped to see.</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This paper is a measurement claim. We argue that the United States labor market is now a </w:t>
      </w:r>
      <w:r>
        <w:rPr>
          <w:rFonts w:ascii="Times New Roman" w:cs="Times New Roman" w:eastAsia="Times New Roman" w:hAnsi="Times New Roman"/>
          <w:b w:val="false"/>
          <w:bCs w:val="false"/>
          <w:i/>
          <w:iCs/>
          <w:color w:val="000000"/>
          <w:sz w:val="24"/>
          <w:szCs w:val="24"/>
        </w:rPr>
        <w:t xml:space="preserve">distal psychiatric exposure</w:t>
      </w:r>
      <w:r>
        <w:rPr>
          <w:rFonts w:ascii="Times New Roman" w:cs="Times New Roman" w:eastAsia="Times New Roman" w:hAnsi="Times New Roman"/>
          <w:b w:val="false"/>
          <w:bCs w:val="false"/>
          <w:i w:val="false"/>
          <w:iCs w:val="false"/>
          <w:color w:val="000000"/>
          <w:sz w:val="24"/>
          <w:szCs w:val="24"/>
        </w:rPr>
        <w:t xml:space="preserve"> of substantial magnitude, that this exposure is producing population-level psychiatric deterioration along the morbidity continuum that culminates in deaths of despair, and that the absence of an instrument capable of registering this deterioration in the same register that National Bureau of Economic Research (NBER) recessions are registered is itself a form of structural neglect. We propose a name for what is unmeasured — </w:t>
      </w:r>
      <w:r>
        <w:rPr>
          <w:rFonts w:ascii="Times New Roman" w:cs="Times New Roman" w:eastAsia="Times New Roman" w:hAnsi="Times New Roman"/>
          <w:b w:val="false"/>
          <w:bCs w:val="false"/>
          <w:i/>
          <w:iCs/>
          <w:color w:val="000000"/>
          <w:sz w:val="24"/>
          <w:szCs w:val="24"/>
        </w:rPr>
        <w:t xml:space="preserve">psychological recession</w:t>
      </w:r>
      <w:r>
        <w:rPr>
          <w:rFonts w:ascii="Times New Roman" w:cs="Times New Roman" w:eastAsia="Times New Roman" w:hAnsi="Times New Roman"/>
          <w:b w:val="false"/>
          <w:bCs w:val="false"/>
          <w:i w:val="false"/>
          <w:iCs w:val="false"/>
          <w:color w:val="000000"/>
          <w:sz w:val="24"/>
          <w:szCs w:val="24"/>
        </w:rPr>
        <w:t xml:space="preserve"> — and the two instruments that would measure it: a population-surveillance Psychological Recession Index (PRI) and an individual-level Labor Market Distress Inventory (LMDI). The paper is conservative in its empirical claims and unambiguous in its ethical premise: a harm that cannot be named cannot be redressed.</w:t>
      </w:r>
    </w:p>
    <w:p>
      <w:pPr>
        <w:spacing w:after="0" w:before="0" w:line="480" w:lineRule="auto"/>
      </w:pPr>
      <w:r>
        <w:rPr>
          <w:rFonts w:ascii="Times New Roman" w:cs="Times New Roman" w:eastAsia="Times New Roman" w:hAnsi="Times New Roman"/>
          <w:b/>
          <w:bCs/>
          <w:i w:val="false"/>
          <w:iCs w:val="false"/>
          <w:color w:val="000000"/>
          <w:sz w:val="24"/>
          <w:szCs w:val="24"/>
        </w:rPr>
        <w:t xml:space="preserve">What Existing Constructs Do, and What They Miss</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Three compound terms have entered the recent public-health and economic discourse, each gesturing at the gap between aggregate statistics and lived experience, each failing in a particular way to close it. </w:t>
      </w:r>
      <w:r>
        <w:rPr>
          <w:rFonts w:ascii="Times New Roman" w:cs="Times New Roman" w:eastAsia="Times New Roman" w:hAnsi="Times New Roman"/>
          <w:b w:val="false"/>
          <w:bCs w:val="false"/>
          <w:i/>
          <w:iCs/>
          <w:color w:val="000000"/>
          <w:sz w:val="24"/>
          <w:szCs w:val="24"/>
        </w:rPr>
        <w:t xml:space="preserve">Deaths of despair</w:t>
      </w:r>
      <w:r>
        <w:rPr>
          <w:rFonts w:ascii="Times New Roman" w:cs="Times New Roman" w:eastAsia="Times New Roman" w:hAnsi="Times New Roman"/>
          <w:b w:val="false"/>
          <w:bCs w:val="false"/>
          <w:i w:val="false"/>
          <w:iCs w:val="false"/>
          <w:color w:val="000000"/>
          <w:sz w:val="24"/>
          <w:szCs w:val="24"/>
        </w:rPr>
        <w:t xml:space="preserve"> (Case &amp; Deaton, 2015, 2020) captures mortality from suicide, alcohol, and drug poisoning concentrated among non-college-educated White Americans whose labor-market trajectories collapsed in the post-1980 deindustrialization. The construct is empirically robust, theoretically grounded, and buttressed by quasi-experimental evidence that minimum-wage increases and earned income tax credit (EITC) expansions reduce its incidence (Dow et al., 2020). But it registers harm only at the moment harm becomes irreversible. The morbidity continuum upstream of mortality — the depression, anxiety, demoralization, and hopelessness experienced by tens of millions of working-age Americans who do not die — is, by construction, outside its measurement frame. </w:t>
      </w:r>
      <w:r>
        <w:rPr>
          <w:rFonts w:ascii="Times New Roman" w:cs="Times New Roman" w:eastAsia="Times New Roman" w:hAnsi="Times New Roman"/>
          <w:b w:val="false"/>
          <w:bCs w:val="false"/>
          <w:i/>
          <w:iCs/>
          <w:color w:val="000000"/>
          <w:sz w:val="24"/>
          <w:szCs w:val="24"/>
        </w:rPr>
        <w:t xml:space="preserve">Vibecession</w:t>
      </w:r>
      <w:r>
        <w:rPr>
          <w:rFonts w:ascii="Times New Roman" w:cs="Times New Roman" w:eastAsia="Times New Roman" w:hAnsi="Times New Roman"/>
          <w:b w:val="false"/>
          <w:bCs w:val="false"/>
          <w:i w:val="false"/>
          <w:iCs w:val="false"/>
          <w:color w:val="000000"/>
          <w:sz w:val="24"/>
          <w:szCs w:val="24"/>
        </w:rPr>
        <w:t xml:space="preserve">, coined by Scanlon (2022) and quantified by Cummings and Mahoney (2023) as a roughly 13-point gap between actual consumer sentiment and the sentiment predicted by inflation, unemployment, and interest rates, names the divergence itself but offers no mechanism and no instrument. It is a stylized fact in search of a cause. The framing also carries a rhetorical liability: by attributing population-level distress to “vibes” it courts a dismissive reading that some commentators have explicitly rejected as condescending to those reporting the distress. </w:t>
      </w:r>
      <w:r>
        <w:rPr>
          <w:rFonts w:ascii="Times New Roman" w:cs="Times New Roman" w:eastAsia="Times New Roman" w:hAnsi="Times New Roman"/>
          <w:b w:val="false"/>
          <w:bCs w:val="false"/>
          <w:i/>
          <w:iCs/>
          <w:color w:val="000000"/>
          <w:sz w:val="24"/>
          <w:szCs w:val="24"/>
        </w:rPr>
        <w:t xml:space="preserve">Shecession</w:t>
      </w:r>
      <w:r>
        <w:rPr>
          <w:rFonts w:ascii="Times New Roman" w:cs="Times New Roman" w:eastAsia="Times New Roman" w:hAnsi="Times New Roman"/>
          <w:b w:val="false"/>
          <w:bCs w:val="false"/>
          <w:i w:val="false"/>
          <w:iCs w:val="false"/>
          <w:color w:val="000000"/>
          <w:sz w:val="24"/>
          <w:szCs w:val="24"/>
        </w:rPr>
        <w:t xml:space="preserve"> (Alon et al., 2021) names the gendered employment shock of 2020 and the more recent female labor-force exodus — 455,000 women left the U.S. workforce between January and August 2025, the second-largest such interval since 1948 outside the pandemic itself (Egan, 2025). It is precise and demographically important. It is also cycle-bound and outcome-silent on mental health.</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What each of these constructs partially sees, none sees whole: a </w:t>
      </w:r>
      <w:r>
        <w:rPr>
          <w:rFonts w:ascii="Times New Roman" w:cs="Times New Roman" w:eastAsia="Times New Roman" w:hAnsi="Times New Roman"/>
          <w:b w:val="false"/>
          <w:bCs w:val="false"/>
          <w:i/>
          <w:iCs/>
          <w:color w:val="000000"/>
          <w:sz w:val="24"/>
          <w:szCs w:val="24"/>
        </w:rPr>
        <w:t xml:space="preserve">period of population-level psychiatric deterioration, measurable across validated mental-health instruments, decoupled from the National Bureau of Economic Research’s technical definition of recession (two consecutive quarters of GDP contraction), and causally driven by structural features of the post-Great Financial Crisis (GFC) U.S. labor market.</w:t>
      </w:r>
      <w:r>
        <w:rPr>
          <w:rFonts w:ascii="Times New Roman" w:cs="Times New Roman" w:eastAsia="Times New Roman" w:hAnsi="Times New Roman"/>
          <w:b w:val="false"/>
          <w:bCs w:val="false"/>
          <w:i w:val="false"/>
          <w:iCs w:val="false"/>
          <w:color w:val="000000"/>
          <w:sz w:val="24"/>
          <w:szCs w:val="24"/>
        </w:rPr>
        <w:t xml:space="preserve"> We propose the term </w:t>
      </w:r>
      <w:r>
        <w:rPr>
          <w:rFonts w:ascii="Times New Roman" w:cs="Times New Roman" w:eastAsia="Times New Roman" w:hAnsi="Times New Roman"/>
          <w:b/>
          <w:bCs/>
          <w:i/>
          <w:iCs/>
          <w:color w:val="000000"/>
          <w:sz w:val="24"/>
          <w:szCs w:val="24"/>
        </w:rPr>
        <w:t xml:space="preserve">psychological recession</w:t>
      </w:r>
      <w:r>
        <w:rPr>
          <w:rFonts w:ascii="Times New Roman" w:cs="Times New Roman" w:eastAsia="Times New Roman" w:hAnsi="Times New Roman"/>
          <w:b w:val="false"/>
          <w:bCs w:val="false"/>
          <w:i w:val="false"/>
          <w:iCs w:val="false"/>
          <w:color w:val="000000"/>
          <w:sz w:val="24"/>
          <w:szCs w:val="24"/>
        </w:rPr>
        <w:t xml:space="preserve"> for this construct. It is intended to do the work the adjacent constructs do not: capture morbidity upstream of mortality (where </w:t>
      </w:r>
      <w:r>
        <w:rPr>
          <w:rFonts w:ascii="Times New Roman" w:cs="Times New Roman" w:eastAsia="Times New Roman" w:hAnsi="Times New Roman"/>
          <w:b w:val="false"/>
          <w:bCs w:val="false"/>
          <w:i/>
          <w:iCs/>
          <w:color w:val="000000"/>
          <w:sz w:val="24"/>
          <w:szCs w:val="24"/>
        </w:rPr>
        <w:t xml:space="preserve">deaths of despair</w:t>
      </w:r>
      <w:r>
        <w:rPr>
          <w:rFonts w:ascii="Times New Roman" w:cs="Times New Roman" w:eastAsia="Times New Roman" w:hAnsi="Times New Roman"/>
          <w:b w:val="false"/>
          <w:bCs w:val="false"/>
          <w:i w:val="false"/>
          <w:iCs w:val="false"/>
          <w:color w:val="000000"/>
          <w:sz w:val="24"/>
          <w:szCs w:val="24"/>
        </w:rPr>
        <w:t xml:space="preserve"> speaks), specify mechanism (where </w:t>
      </w:r>
      <w:r>
        <w:rPr>
          <w:rFonts w:ascii="Times New Roman" w:cs="Times New Roman" w:eastAsia="Times New Roman" w:hAnsi="Times New Roman"/>
          <w:b w:val="false"/>
          <w:bCs w:val="false"/>
          <w:i/>
          <w:iCs/>
          <w:color w:val="000000"/>
          <w:sz w:val="24"/>
          <w:szCs w:val="24"/>
        </w:rPr>
        <w:t xml:space="preserve">vibecession</w:t>
      </w:r>
      <w:r>
        <w:rPr>
          <w:rFonts w:ascii="Times New Roman" w:cs="Times New Roman" w:eastAsia="Times New Roman" w:hAnsi="Times New Roman"/>
          <w:b w:val="false"/>
          <w:bCs w:val="false"/>
          <w:i w:val="false"/>
          <w:iCs w:val="false"/>
          <w:color w:val="000000"/>
          <w:sz w:val="24"/>
          <w:szCs w:val="24"/>
        </w:rPr>
        <w:t xml:space="preserve"> does not), and remain acyclic with respect to the technical business cycle (where </w:t>
      </w:r>
      <w:r>
        <w:rPr>
          <w:rFonts w:ascii="Times New Roman" w:cs="Times New Roman" w:eastAsia="Times New Roman" w:hAnsi="Times New Roman"/>
          <w:b w:val="false"/>
          <w:bCs w:val="false"/>
          <w:i/>
          <w:iCs/>
          <w:color w:val="000000"/>
          <w:sz w:val="24"/>
          <w:szCs w:val="24"/>
        </w:rPr>
        <w:t xml:space="preserve">shecession</w:t>
      </w:r>
      <w:r>
        <w:rPr>
          <w:rFonts w:ascii="Times New Roman" w:cs="Times New Roman" w:eastAsia="Times New Roman" w:hAnsi="Times New Roman"/>
          <w:b w:val="false"/>
          <w:bCs w:val="false"/>
          <w:i w:val="false"/>
          <w:iCs w:val="false"/>
          <w:color w:val="000000"/>
          <w:sz w:val="24"/>
          <w:szCs w:val="24"/>
        </w:rPr>
        <w:t xml:space="preserve"> is cycle-bound).</w:t>
      </w:r>
    </w:p>
    <w:p>
      <w:pPr>
        <w:spacing w:after="0" w:before="0" w:line="480" w:lineRule="auto"/>
      </w:pPr>
      <w:r>
        <w:rPr>
          <w:rFonts w:ascii="Times New Roman" w:cs="Times New Roman" w:eastAsia="Times New Roman" w:hAnsi="Times New Roman"/>
          <w:b/>
          <w:bCs/>
          <w:i w:val="false"/>
          <w:iCs w:val="false"/>
          <w:color w:val="000000"/>
          <w:sz w:val="24"/>
          <w:szCs w:val="24"/>
        </w:rPr>
        <w:t xml:space="preserve">Theoretical Motivation</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Three traditions in social-determinants research, taken together, support the position that the labor market should be treated as a </w:t>
      </w:r>
      <w:r>
        <w:rPr>
          <w:rFonts w:ascii="Times New Roman" w:cs="Times New Roman" w:eastAsia="Times New Roman" w:hAnsi="Times New Roman"/>
          <w:b w:val="false"/>
          <w:bCs w:val="false"/>
          <w:i/>
          <w:iCs/>
          <w:color w:val="000000"/>
          <w:sz w:val="24"/>
          <w:szCs w:val="24"/>
        </w:rPr>
        <w:t xml:space="preserve">fundamental cause</w:t>
      </w:r>
      <w:r>
        <w:rPr>
          <w:rFonts w:ascii="Times New Roman" w:cs="Times New Roman" w:eastAsia="Times New Roman" w:hAnsi="Times New Roman"/>
          <w:b w:val="false"/>
          <w:bCs w:val="false"/>
          <w:i w:val="false"/>
          <w:iCs w:val="false"/>
          <w:color w:val="000000"/>
          <w:sz w:val="24"/>
          <w:szCs w:val="24"/>
        </w:rPr>
        <w:t xml:space="preserve"> of psychiatric exposure — and they do so against a measurement system that has historically refused to register it as one. Link and Phelan (1995; Phelan et al., 2010) articulated four criteria for fundamental causation: a factor (a) influences multiple disease outcomes, (b) operates through multiple intervening mechanisms, (c) controls access to flexible resources — money, knowledge, prestige, power, and beneficial social connections — and (d) reproduces health gradients across changing intervening risk factors over time. Labor-market position meets each criterion explicitly. The Results section documents this directly.</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Singer and Clair’s (2003) syndemic framework (see also Tsai et al., 2017) adds the criterion of biosocial clustering: co-occurring conditions interact synergistically and share structural drivers. The five empirical domains synthesized below are not independent. They are causally chained — a syndemic in formation. Krieger’s (1994, 2021) ecosocial theory foregrounds </w:t>
      </w:r>
      <w:r>
        <w:rPr>
          <w:rFonts w:ascii="Times New Roman" w:cs="Times New Roman" w:eastAsia="Times New Roman" w:hAnsi="Times New Roman"/>
          <w:b w:val="false"/>
          <w:bCs w:val="false"/>
          <w:i/>
          <w:iCs/>
          <w:color w:val="000000"/>
          <w:sz w:val="24"/>
          <w:szCs w:val="24"/>
        </w:rPr>
        <w:t xml:space="preserve">embodiment</w:t>
      </w:r>
      <w:r>
        <w:rPr>
          <w:rFonts w:ascii="Times New Roman" w:cs="Times New Roman" w:eastAsia="Times New Roman" w:hAnsi="Times New Roman"/>
          <w:b w:val="false"/>
          <w:bCs w:val="false"/>
          <w:i w:val="false"/>
          <w:iCs w:val="false"/>
          <w:color w:val="000000"/>
          <w:sz w:val="24"/>
          <w:szCs w:val="24"/>
        </w:rPr>
        <w:t xml:space="preserve"> — the corporeal incorporation of social conditions — as the pathway through which labor-market exposure becomes hypothalamic-pituitary-adrenal-axis dysregulation, sleep disruption, substance use, and ultimately diagnosable disorder. The pathway is not theoretical. It is the substrate on which the validated mental-health instruments we propose to use are calibrated.</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Galtung’s (1969) structural violence sharpens the ethical register. When harm is built into the structure of an institution, without a single identifiable perpetrator, that structure is violent in the morally relevant sense even in the absence of intentional cruelty. The contemporary U.S. labor market is structurally violent in exactly this sense. The aim of this paper is to bring these theoretical resources to bear on the empirical anomaly of December 2025, to defend the proposed construct, and to specify what it would take to measure what is currently invisible.</w:t>
      </w:r>
    </w:p>
    <w:p>
      <w:pPr>
        <w:spacing w:after="0" w:before="0" w:line="480" w:lineRule="auto"/>
      </w:pPr>
      <w:r>
        <w:rPr>
          <w:rFonts w:ascii="Times New Roman" w:cs="Times New Roman" w:eastAsia="Times New Roman" w:hAnsi="Times New Roman"/>
          <w:b/>
          <w:bCs/>
          <w:i w:val="false"/>
          <w:iCs w:val="false"/>
          <w:color w:val="000000"/>
          <w:sz w:val="24"/>
          <w:szCs w:val="24"/>
        </w:rPr>
        <w:t xml:space="preserve">Aims and Structure</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We aim to: (a) synthesize the evidence base for the psychological-recession construct across five empirical domains; (b) ground the construct in the fundamental-cause, syndemic, ecosocial, and structural-violence traditions; (c) operationalize the construct at the population and individual levels through the Psychological Recession Index (PRI) and Labor Market Distress Inventory (LMDI); and (d) articulate a research and policy agenda. The Method section details the scoping synthesis and operationalization protocols. The Results section presents convergent evidence across the five domains. The Discussion considers theoretical contributions, distinctions from adjacent constructs, policy implications, limitations, and next steps.</w:t>
      </w:r>
    </w:p>
    <w:p>
      <w:pPr>
        <w:spacing w:after="0" w:before="0" w:line="480" w:lineRule="auto"/>
        <w:jc w:val="center"/>
      </w:pPr>
      <w:r>
        <w:rPr>
          <w:rFonts w:ascii="Times New Roman" w:cs="Times New Roman" w:eastAsia="Times New Roman" w:hAnsi="Times New Roman"/>
          <w:b/>
          <w:bCs/>
          <w:i w:val="false"/>
          <w:iCs w:val="false"/>
          <w:color w:val="000000"/>
          <w:sz w:val="24"/>
          <w:szCs w:val="24"/>
        </w:rPr>
        <w:t xml:space="preserve">Method</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This paper combines a scoping synthesis of the relevant evidence with the specification of two measurement instruments. The synthesis tests whether the labor market satisfies the established criteria for a fundamental cause of psychiatric exposure. The instruments specify how a positive answer would be measured at the population and individual levels.</w:t>
      </w:r>
    </w:p>
    <w:p>
      <w:pPr>
        <w:spacing w:after="0" w:before="0" w:line="480" w:lineRule="auto"/>
      </w:pPr>
      <w:r>
        <w:rPr>
          <w:rFonts w:ascii="Times New Roman" w:cs="Times New Roman" w:eastAsia="Times New Roman" w:hAnsi="Times New Roman"/>
          <w:b/>
          <w:bCs/>
          <w:i w:val="false"/>
          <w:iCs w:val="false"/>
          <w:color w:val="000000"/>
          <w:sz w:val="24"/>
          <w:szCs w:val="24"/>
        </w:rPr>
        <w:t xml:space="preserve">Scoping Evidence Synthesis</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We followed PRISMA-ScR scoping-review conventions but did not perform a formal systematic review with paired screening. Eligibility criteria were: (a) peer-reviewed primary research, meta-analyses, systematic reviews, or recognized grey-literature sources (Bureau of Labor Statistics, Conference Board, Gallup, Pew Research Center, National Alliance on Mental Illness, Microsoft–LinkedIn, FTC Consumer Sentinel, Goldman Sachs Research); (b) publication between January 2008 and April 2026; (c) relevance to the relationship between labor-market exposure (broadly defined to include unemployment, underemployment, precarious employment, job insecurity, AI displacement, and hiring-process experience) and population mental health; and (d) U.S., OECD, or multinational scope. We supplemented this base with foundational citations pre-dating 2008 where the conceptual scaffolding required them (Jahoda; Brenner; Warr; Link and Phelan; Galtung; Singer and Clair). Search terms combined “labor market” or “unemployment” or “precarious employment” or “job insecurity” or “ghost jobs” with “depression,” “anxiety,” “psychological distress,” “deaths of despair,” “K6,” “PHQ-9,” “GAD-7,” and “MBI.” We screened for redundancy across overlapping syntheses and preferred peer-reviewed sources where industry reports and academic papers reported on the same underlying surveys.</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synthesis is organized in the Results section around five empirical domains — macro–psychiatric divergence, post-GFC overhiring, AI displacement anxiety, ghost jobs and broken hiring rituals, and gendered and generational stratification — chosen </w:t>
      </w:r>
      <w:r>
        <w:rPr>
          <w:rFonts w:ascii="Times New Roman" w:cs="Times New Roman" w:eastAsia="Times New Roman" w:hAnsi="Times New Roman"/>
          <w:b w:val="false"/>
          <w:bCs w:val="false"/>
          <w:i/>
          <w:iCs/>
          <w:color w:val="000000"/>
          <w:sz w:val="24"/>
          <w:szCs w:val="24"/>
        </w:rPr>
        <w:t xml:space="preserve">a priori</w:t>
      </w:r>
      <w:r>
        <w:rPr>
          <w:rFonts w:ascii="Times New Roman" w:cs="Times New Roman" w:eastAsia="Times New Roman" w:hAnsi="Times New Roman"/>
          <w:b w:val="false"/>
          <w:bCs w:val="false"/>
          <w:i w:val="false"/>
          <w:iCs w:val="false"/>
          <w:color w:val="000000"/>
          <w:sz w:val="24"/>
          <w:szCs w:val="24"/>
        </w:rPr>
        <w:t xml:space="preserve"> to reflect the candidate drivers identified in the existing labor-and-health literature. We do not claim exhaustiveness. We claim sufficiency for construct establishment.</w:t>
      </w:r>
    </w:p>
    <w:p>
      <w:pPr>
        <w:spacing w:after="0" w:before="0" w:line="480" w:lineRule="auto"/>
      </w:pPr>
      <w:r>
        <w:rPr>
          <w:rFonts w:ascii="Times New Roman" w:cs="Times New Roman" w:eastAsia="Times New Roman" w:hAnsi="Times New Roman"/>
          <w:b/>
          <w:bCs/>
          <w:i w:val="false"/>
          <w:iCs w:val="false"/>
          <w:color w:val="000000"/>
          <w:sz w:val="24"/>
          <w:szCs w:val="24"/>
        </w:rPr>
        <w:t xml:space="preserve">Construct Development</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construct </w:t>
      </w:r>
      <w:r>
        <w:rPr>
          <w:rFonts w:ascii="Times New Roman" w:cs="Times New Roman" w:eastAsia="Times New Roman" w:hAnsi="Times New Roman"/>
          <w:b w:val="false"/>
          <w:bCs w:val="false"/>
          <w:i/>
          <w:iCs/>
          <w:color w:val="000000"/>
          <w:sz w:val="24"/>
          <w:szCs w:val="24"/>
        </w:rPr>
        <w:t xml:space="preserve">psychological recession</w:t>
      </w:r>
      <w:r>
        <w:rPr>
          <w:rFonts w:ascii="Times New Roman" w:cs="Times New Roman" w:eastAsia="Times New Roman" w:hAnsi="Times New Roman"/>
          <w:b w:val="false"/>
          <w:bCs w:val="false"/>
          <w:i w:val="false"/>
          <w:iCs w:val="false"/>
          <w:color w:val="000000"/>
          <w:sz w:val="24"/>
          <w:szCs w:val="24"/>
        </w:rPr>
        <w:t xml:space="preserve"> is defined as:</w:t>
      </w:r>
    </w:p>
    <w:p>
      <w:pPr>
        <w:spacing w:after="0" w:before="0" w:line="480" w:lineRule="auto"/>
        <w:ind w:left="720" w:right="720"/>
      </w:pPr>
      <w:r>
        <w:rPr>
          <w:rFonts w:ascii="Times New Roman" w:cs="Times New Roman" w:eastAsia="Times New Roman" w:hAnsi="Times New Roman"/>
          <w:b w:val="false"/>
          <w:bCs w:val="false"/>
          <w:i/>
          <w:iCs/>
          <w:color w:val="000000"/>
          <w:sz w:val="24"/>
          <w:szCs w:val="24"/>
        </w:rPr>
        <w:t xml:space="preserve">A period of population-level deterioration in worker and job-seeker mental health—measured via validated scales of psychological distress, depression, anxiety, job-search self-efficacy, and qualitative employment insecurity—that is decoupled from the National Bureau of Economic Research’s technical definition of recession and is causally driven by structural features of the labor market including hiring-process opacity, algorithmic rejection, displacement anxiety, and over-elevated reference points generated by prior expansion.</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construct is positioned within the lineage of compound coinages that pair an economic noun with an affective or demographic modifier (see Table 1). It is designed to do three things the adjacent constructs do not: capture </w:t>
      </w:r>
      <w:r>
        <w:rPr>
          <w:rFonts w:ascii="Times New Roman" w:cs="Times New Roman" w:eastAsia="Times New Roman" w:hAnsi="Times New Roman"/>
          <w:b w:val="false"/>
          <w:bCs w:val="false"/>
          <w:i/>
          <w:iCs/>
          <w:color w:val="000000"/>
          <w:sz w:val="24"/>
          <w:szCs w:val="24"/>
        </w:rPr>
        <w:t xml:space="preserve">morbidity upstream of mortality</w:t>
      </w:r>
      <w:r>
        <w:rPr>
          <w:rFonts w:ascii="Times New Roman" w:cs="Times New Roman" w:eastAsia="Times New Roman" w:hAnsi="Times New Roman"/>
          <w:b w:val="false"/>
          <w:bCs w:val="false"/>
          <w:i w:val="false"/>
          <w:iCs w:val="false"/>
          <w:color w:val="000000"/>
          <w:sz w:val="24"/>
          <w:szCs w:val="24"/>
        </w:rPr>
        <w:t xml:space="preserve"> (where </w:t>
      </w:r>
      <w:r>
        <w:rPr>
          <w:rFonts w:ascii="Times New Roman" w:cs="Times New Roman" w:eastAsia="Times New Roman" w:hAnsi="Times New Roman"/>
          <w:b w:val="false"/>
          <w:bCs w:val="false"/>
          <w:i/>
          <w:iCs/>
          <w:color w:val="000000"/>
          <w:sz w:val="24"/>
          <w:szCs w:val="24"/>
        </w:rPr>
        <w:t xml:space="preserve">deaths of despair</w:t>
      </w:r>
      <w:r>
        <w:rPr>
          <w:rFonts w:ascii="Times New Roman" w:cs="Times New Roman" w:eastAsia="Times New Roman" w:hAnsi="Times New Roman"/>
          <w:b w:val="false"/>
          <w:bCs w:val="false"/>
          <w:i w:val="false"/>
          <w:iCs w:val="false"/>
          <w:color w:val="000000"/>
          <w:sz w:val="24"/>
          <w:szCs w:val="24"/>
        </w:rPr>
        <w:t xml:space="preserve"> speaks), specify </w:t>
      </w:r>
      <w:r>
        <w:rPr>
          <w:rFonts w:ascii="Times New Roman" w:cs="Times New Roman" w:eastAsia="Times New Roman" w:hAnsi="Times New Roman"/>
          <w:b w:val="false"/>
          <w:bCs w:val="false"/>
          <w:i/>
          <w:iCs/>
          <w:color w:val="000000"/>
          <w:sz w:val="24"/>
          <w:szCs w:val="24"/>
        </w:rPr>
        <w:t xml:space="preserve">mechanism</w:t>
      </w:r>
      <w:r>
        <w:rPr>
          <w:rFonts w:ascii="Times New Roman" w:cs="Times New Roman" w:eastAsia="Times New Roman" w:hAnsi="Times New Roman"/>
          <w:b w:val="false"/>
          <w:bCs w:val="false"/>
          <w:i w:val="false"/>
          <w:iCs w:val="false"/>
          <w:color w:val="000000"/>
          <w:sz w:val="24"/>
          <w:szCs w:val="24"/>
        </w:rPr>
        <w:t xml:space="preserve"> (where </w:t>
      </w:r>
      <w:r>
        <w:rPr>
          <w:rFonts w:ascii="Times New Roman" w:cs="Times New Roman" w:eastAsia="Times New Roman" w:hAnsi="Times New Roman"/>
          <w:b w:val="false"/>
          <w:bCs w:val="false"/>
          <w:i/>
          <w:iCs/>
          <w:color w:val="000000"/>
          <w:sz w:val="24"/>
          <w:szCs w:val="24"/>
        </w:rPr>
        <w:t xml:space="preserve">vibecession</w:t>
      </w:r>
      <w:r>
        <w:rPr>
          <w:rFonts w:ascii="Times New Roman" w:cs="Times New Roman" w:eastAsia="Times New Roman" w:hAnsi="Times New Roman"/>
          <w:b w:val="false"/>
          <w:bCs w:val="false"/>
          <w:i w:val="false"/>
          <w:iCs w:val="false"/>
          <w:color w:val="000000"/>
          <w:sz w:val="24"/>
          <w:szCs w:val="24"/>
        </w:rPr>
        <w:t xml:space="preserve"> does not), and remain </w:t>
      </w:r>
      <w:r>
        <w:rPr>
          <w:rFonts w:ascii="Times New Roman" w:cs="Times New Roman" w:eastAsia="Times New Roman" w:hAnsi="Times New Roman"/>
          <w:b w:val="false"/>
          <w:bCs w:val="false"/>
          <w:i/>
          <w:iCs/>
          <w:color w:val="000000"/>
          <w:sz w:val="24"/>
          <w:szCs w:val="24"/>
        </w:rPr>
        <w:t xml:space="preserve">acyclic with respect to the technical business cycle</w:t>
      </w:r>
      <w:r>
        <w:rPr>
          <w:rFonts w:ascii="Times New Roman" w:cs="Times New Roman" w:eastAsia="Times New Roman" w:hAnsi="Times New Roman"/>
          <w:b w:val="false"/>
          <w:bCs w:val="false"/>
          <w:i w:val="false"/>
          <w:iCs w:val="false"/>
          <w:color w:val="000000"/>
          <w:sz w:val="24"/>
          <w:szCs w:val="24"/>
        </w:rPr>
        <w:t xml:space="preserve"> (where </w:t>
      </w:r>
      <w:r>
        <w:rPr>
          <w:rFonts w:ascii="Times New Roman" w:cs="Times New Roman" w:eastAsia="Times New Roman" w:hAnsi="Times New Roman"/>
          <w:b w:val="false"/>
          <w:bCs w:val="false"/>
          <w:i/>
          <w:iCs/>
          <w:color w:val="000000"/>
          <w:sz w:val="24"/>
          <w:szCs w:val="24"/>
        </w:rPr>
        <w:t xml:space="preserve">shecession</w:t>
      </w:r>
      <w:r>
        <w:rPr>
          <w:rFonts w:ascii="Times New Roman" w:cs="Times New Roman" w:eastAsia="Times New Roman" w:hAnsi="Times New Roman"/>
          <w:b w:val="false"/>
          <w:bCs w:val="false"/>
          <w:i w:val="false"/>
          <w:iCs w:val="false"/>
          <w:color w:val="000000"/>
          <w:sz w:val="24"/>
          <w:szCs w:val="24"/>
        </w:rPr>
        <w:t xml:space="preserve"> is cycle-bound). It is also designed to do one thing none of the adjacent constructs even attempts: provide a measurement instrument that policy can act on.</w:t>
      </w:r>
    </w:p>
    <w:p>
      <w:pPr>
        <w:spacing w:after="0" w:before="0" w:line="480" w:lineRule="auto"/>
      </w:pPr>
      <w:r>
        <w:rPr>
          <w:rFonts w:ascii="Times New Roman" w:cs="Times New Roman" w:eastAsia="Times New Roman" w:hAnsi="Times New Roman"/>
          <w:b/>
          <w:bCs/>
          <w:i w:val="false"/>
          <w:iCs w:val="false"/>
          <w:color w:val="000000"/>
          <w:sz w:val="24"/>
          <w:szCs w:val="24"/>
        </w:rPr>
        <w:t xml:space="preserve">Population-Level Operationalization: The Psychological Recession Index</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Psychological Recession Index is a quarterly composite designed to detect what the Bureau of Labor Statistics, the Conference Board, and the National Bureau of Economic Research do not measure. It is constructed from existing nationally representative data and defined as a </w:t>
      </w:r>
      <w:r>
        <w:rPr>
          <w:rFonts w:ascii="Times New Roman" w:cs="Times New Roman" w:eastAsia="Times New Roman" w:hAnsi="Times New Roman"/>
          <w:b w:val="false"/>
          <w:bCs w:val="false"/>
          <w:i/>
          <w:iCs/>
          <w:color w:val="000000"/>
          <w:sz w:val="24"/>
          <w:szCs w:val="24"/>
        </w:rPr>
        <w:t xml:space="preserve">standardized divergence</w:t>
      </w:r>
      <w:r>
        <w:rPr>
          <w:rFonts w:ascii="Times New Roman" w:cs="Times New Roman" w:eastAsia="Times New Roman" w:hAnsi="Times New Roman"/>
          <w:b w:val="false"/>
          <w:bCs w:val="false"/>
          <w:i w:val="false"/>
          <w:iCs w:val="false"/>
          <w:color w:val="000000"/>
          <w:sz w:val="24"/>
          <w:szCs w:val="24"/>
        </w:rPr>
        <w:t xml:space="preserve">: the difference, in standard-deviation units, between observed population mental-health indicators and the values those indicators would take if the macro–psychiatric relationship of the 2010–2019 baseline still held. The approach extends the sentiment-fundamentals modeling of Cummings and Mahoney (2023) and Bernstein and Posthumus (2025), but substitutes mental-health indicators for consumer sentiment as the dependent variable — because consumer sentiment is a proxy for psychiatric state and we now have the instruments to measure the psychiatric state directly.</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PRI integrates three components, each standardized to a 2010–2019 baseline. (a) </w:t>
      </w:r>
      <w:r>
        <w:rPr>
          <w:rFonts w:ascii="Times New Roman" w:cs="Times New Roman" w:eastAsia="Times New Roman" w:hAnsi="Times New Roman"/>
          <w:b/>
          <w:bCs/>
          <w:i w:val="false"/>
          <w:iCs w:val="false"/>
          <w:color w:val="000000"/>
          <w:sz w:val="24"/>
          <w:szCs w:val="24"/>
        </w:rPr>
        <w:t xml:space="preserve">Mental-health surveillance component.</w:t>
      </w:r>
      <w:r>
        <w:rPr>
          <w:rFonts w:ascii="Times New Roman" w:cs="Times New Roman" w:eastAsia="Times New Roman" w:hAnsi="Times New Roman"/>
          <w:b w:val="false"/>
          <w:bCs w:val="false"/>
          <w:i w:val="false"/>
          <w:iCs w:val="false"/>
          <w:color w:val="000000"/>
          <w:sz w:val="24"/>
          <w:szCs w:val="24"/>
        </w:rPr>
        <w:t xml:space="preserve"> Indicators drawn from population surveys already fielding validated instruments: the six-item Kessler scale (K6) in the National Health Interview Survey (NHIS) and Behavioral Risk Factor Surveillance System (BRFSS) (Kessler et al., 2002); the nine-item Patient Health Questionnaire (PHQ-9; Kroenke et al., 2001) and seven-item Generalized Anxiety Disorder scale (GAD-7; Spitzer et al., 2006) where available; and the five-item Mental Health Inventory (MHI-5) from SF-36 / RAND-36 instruments. (b) </w:t>
      </w:r>
      <w:r>
        <w:rPr>
          <w:rFonts w:ascii="Times New Roman" w:cs="Times New Roman" w:eastAsia="Times New Roman" w:hAnsi="Times New Roman"/>
          <w:b/>
          <w:bCs/>
          <w:i w:val="false"/>
          <w:iCs w:val="false"/>
          <w:color w:val="000000"/>
          <w:sz w:val="24"/>
          <w:szCs w:val="24"/>
        </w:rPr>
        <w:t xml:space="preserve">Labor-market-specific component.</w:t>
      </w:r>
      <w:r>
        <w:rPr>
          <w:rFonts w:ascii="Times New Roman" w:cs="Times New Roman" w:eastAsia="Times New Roman" w:hAnsi="Times New Roman"/>
          <w:b w:val="false"/>
          <w:bCs w:val="false"/>
          <w:i w:val="false"/>
          <w:iCs w:val="false"/>
          <w:color w:val="000000"/>
          <w:sz w:val="24"/>
          <w:szCs w:val="24"/>
        </w:rPr>
        <w:t xml:space="preserve"> Quarterly indicators from Gallup (engagement, daily stress, daily loneliness), Conference Board Employment Trends Index, LinkedIn Workforce Confidence Index, Indeed Hiring Lab metrics, Pathrise applications-per-offer ratios, and—when ghost-job audit data permit—the proportion of openings classified as ghost listings (Greenhouse, Ashby, LiveCareer). (c) </w:t>
      </w:r>
      <w:r>
        <w:rPr>
          <w:rFonts w:ascii="Times New Roman" w:cs="Times New Roman" w:eastAsia="Times New Roman" w:hAnsi="Times New Roman"/>
          <w:b/>
          <w:bCs/>
          <w:i w:val="false"/>
          <w:iCs w:val="false"/>
          <w:color w:val="000000"/>
          <w:sz w:val="24"/>
          <w:szCs w:val="24"/>
        </w:rPr>
        <w:t xml:space="preserve">Macro divergence component.</w:t>
      </w:r>
      <w:r>
        <w:rPr>
          <w:rFonts w:ascii="Times New Roman" w:cs="Times New Roman" w:eastAsia="Times New Roman" w:hAnsi="Times New Roman"/>
          <w:b w:val="false"/>
          <w:bCs w:val="false"/>
          <w:i w:val="false"/>
          <w:iCs w:val="false"/>
          <w:color w:val="000000"/>
          <w:sz w:val="24"/>
          <w:szCs w:val="24"/>
        </w:rPr>
        <w:t xml:space="preserve"> Conference Board Consumer Confidence Index decomposed into Present Situation and Expectations subindices; University of Michigan Survey of Consumers; Bureau of Labor Statistics unemployment, JOLTS quits-to-hires-to-openings dynamics, </w:t>
      </w:r>
      <w:r>
        <w:rPr>
          <w:rFonts w:ascii="Times New Roman" w:cs="Times New Roman" w:eastAsia="Times New Roman" w:hAnsi="Times New Roman"/>
          <w:b w:val="false"/>
          <w:bCs w:val="false"/>
          <w:i/>
          <w:iCs/>
          <w:color w:val="000000"/>
          <w:sz w:val="24"/>
          <w:szCs w:val="24"/>
        </w:rPr>
        <w:t xml:space="preserve">adjusted</w:t>
      </w:r>
      <w:r>
        <w:rPr>
          <w:rFonts w:ascii="Times New Roman" w:cs="Times New Roman" w:eastAsia="Times New Roman" w:hAnsi="Times New Roman"/>
          <w:b w:val="false"/>
          <w:bCs w:val="false"/>
          <w:i w:val="false"/>
          <w:iCs w:val="false"/>
          <w:color w:val="000000"/>
          <w:sz w:val="24"/>
          <w:szCs w:val="24"/>
        </w:rPr>
        <w:t xml:space="preserve"> for estimated ghost-job share (Bureau of Labor Statistics, 2026b).</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PRI for any quarter </w:t>
      </w:r>
      <w:r>
        <w:rPr>
          <w:rFonts w:ascii="Times New Roman" w:cs="Times New Roman" w:eastAsia="Times New Roman" w:hAnsi="Times New Roman"/>
          <w:b w:val="false"/>
          <w:bCs w:val="false"/>
          <w:i/>
          <w:iCs/>
          <w:color w:val="000000"/>
          <w:sz w:val="24"/>
          <w:szCs w:val="24"/>
        </w:rPr>
        <w:t xml:space="preserve">t</w:t>
      </w:r>
      <w:r>
        <w:rPr>
          <w:rFonts w:ascii="Times New Roman" w:cs="Times New Roman" w:eastAsia="Times New Roman" w:hAnsi="Times New Roman"/>
          <w:b w:val="false"/>
          <w:bCs w:val="false"/>
          <w:i w:val="false"/>
          <w:iCs w:val="false"/>
          <w:color w:val="000000"/>
          <w:sz w:val="24"/>
          <w:szCs w:val="24"/>
        </w:rPr>
        <w:t xml:space="preserve"> is computed as the mean across </w:t>
      </w:r>
      <w:r>
        <w:rPr>
          <w:rFonts w:ascii="Times New Roman" w:cs="Times New Roman" w:eastAsia="Times New Roman" w:hAnsi="Times New Roman"/>
          <w:b w:val="false"/>
          <w:bCs w:val="false"/>
          <w:i/>
          <w:iCs/>
          <w:color w:val="000000"/>
          <w:sz w:val="24"/>
          <w:szCs w:val="24"/>
        </w:rPr>
        <w:t xml:space="preserve">k</w:t>
      </w:r>
      <w:r>
        <w:rPr>
          <w:rFonts w:ascii="Times New Roman" w:cs="Times New Roman" w:eastAsia="Times New Roman" w:hAnsi="Times New Roman"/>
          <w:b w:val="false"/>
          <w:bCs w:val="false"/>
          <w:i w:val="false"/>
          <w:iCs w:val="false"/>
          <w:color w:val="000000"/>
          <w:sz w:val="24"/>
          <w:szCs w:val="24"/>
        </w:rPr>
        <w:t xml:space="preserve"> indicators of the standardized residual (</w:t>
      </w:r>
      <w:r>
        <w:rPr>
          <w:rFonts w:ascii="Times New Roman" w:cs="Times New Roman" w:eastAsia="Times New Roman" w:hAnsi="Times New Roman"/>
          <w:b w:val="false"/>
          <w:bCs w:val="false"/>
          <w:i/>
          <w:iCs/>
          <w:color w:val="000000"/>
          <w:sz w:val="24"/>
          <w:szCs w:val="24"/>
        </w:rPr>
        <w:t xml:space="preserve">Ŷⱼₜ − Yⱼₜ</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iCs/>
          <w:color w:val="000000"/>
          <w:sz w:val="24"/>
          <w:szCs w:val="24"/>
        </w:rPr>
        <w:t xml:space="preserve">σⱼ</w:t>
      </w:r>
      <w:r>
        <w:rPr>
          <w:rFonts w:ascii="Times New Roman" w:cs="Times New Roman" w:eastAsia="Times New Roman" w:hAnsi="Times New Roman"/>
          <w:b w:val="false"/>
          <w:bCs w:val="false"/>
          <w:i w:val="false"/>
          <w:iCs w:val="false"/>
          <w:color w:val="000000"/>
          <w:sz w:val="24"/>
          <w:szCs w:val="24"/>
        </w:rPr>
        <w:t xml:space="preserve">, where </w:t>
      </w:r>
      <w:r>
        <w:rPr>
          <w:rFonts w:ascii="Times New Roman" w:cs="Times New Roman" w:eastAsia="Times New Roman" w:hAnsi="Times New Roman"/>
          <w:b w:val="false"/>
          <w:bCs w:val="false"/>
          <w:i/>
          <w:iCs/>
          <w:color w:val="000000"/>
          <w:sz w:val="24"/>
          <w:szCs w:val="24"/>
        </w:rPr>
        <w:t xml:space="preserve">Yⱼₜ</w:t>
      </w:r>
      <w:r>
        <w:rPr>
          <w:rFonts w:ascii="Times New Roman" w:cs="Times New Roman" w:eastAsia="Times New Roman" w:hAnsi="Times New Roman"/>
          <w:b w:val="false"/>
          <w:bCs w:val="false"/>
          <w:i w:val="false"/>
          <w:iCs w:val="false"/>
          <w:color w:val="000000"/>
          <w:sz w:val="24"/>
          <w:szCs w:val="24"/>
        </w:rPr>
        <w:t xml:space="preserve"> is the observed value of mental-health indicator </w:t>
      </w:r>
      <w:r>
        <w:rPr>
          <w:rFonts w:ascii="Times New Roman" w:cs="Times New Roman" w:eastAsia="Times New Roman" w:hAnsi="Times New Roman"/>
          <w:b w:val="false"/>
          <w:bCs w:val="false"/>
          <w:i/>
          <w:iCs/>
          <w:color w:val="000000"/>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at time </w:t>
      </w:r>
      <w:r>
        <w:rPr>
          <w:rFonts w:ascii="Times New Roman" w:cs="Times New Roman" w:eastAsia="Times New Roman" w:hAnsi="Times New Roman"/>
          <w:b w:val="false"/>
          <w:bCs w:val="false"/>
          <w:i/>
          <w:iCs/>
          <w:color w:val="000000"/>
          <w:sz w:val="24"/>
          <w:szCs w:val="24"/>
        </w:rPr>
        <w:t xml:space="preserve">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iCs/>
          <w:color w:val="000000"/>
          <w:sz w:val="24"/>
          <w:szCs w:val="24"/>
        </w:rPr>
        <w:t xml:space="preserve">Ŷⱼₜ</w:t>
      </w:r>
      <w:r>
        <w:rPr>
          <w:rFonts w:ascii="Times New Roman" w:cs="Times New Roman" w:eastAsia="Times New Roman" w:hAnsi="Times New Roman"/>
          <w:b w:val="false"/>
          <w:bCs w:val="false"/>
          <w:i w:val="false"/>
          <w:iCs w:val="false"/>
          <w:color w:val="000000"/>
          <w:sz w:val="24"/>
          <w:szCs w:val="24"/>
        </w:rPr>
        <w:t xml:space="preserve"> is the value predicted by a regression of </w:t>
      </w:r>
      <w:r>
        <w:rPr>
          <w:rFonts w:ascii="Times New Roman" w:cs="Times New Roman" w:eastAsia="Times New Roman" w:hAnsi="Times New Roman"/>
          <w:b w:val="false"/>
          <w:bCs w:val="false"/>
          <w:i/>
          <w:iCs/>
          <w:color w:val="000000"/>
          <w:sz w:val="24"/>
          <w:szCs w:val="24"/>
        </w:rPr>
        <w:t xml:space="preserve">Yⱼ</w:t>
      </w:r>
      <w:r>
        <w:rPr>
          <w:rFonts w:ascii="Times New Roman" w:cs="Times New Roman" w:eastAsia="Times New Roman" w:hAnsi="Times New Roman"/>
          <w:b w:val="false"/>
          <w:bCs w:val="false"/>
          <w:i w:val="false"/>
          <w:iCs w:val="false"/>
          <w:color w:val="000000"/>
          <w:sz w:val="24"/>
          <w:szCs w:val="24"/>
        </w:rPr>
        <w:t xml:space="preserve"> on contemporaneous Bureau of Labor Statistics macro indicators trained on 2010–2019 data, and </w:t>
      </w:r>
      <w:r>
        <w:rPr>
          <w:rFonts w:ascii="Times New Roman" w:cs="Times New Roman" w:eastAsia="Times New Roman" w:hAnsi="Times New Roman"/>
          <w:b w:val="false"/>
          <w:bCs w:val="false"/>
          <w:i/>
          <w:iCs/>
          <w:color w:val="000000"/>
          <w:sz w:val="24"/>
          <w:szCs w:val="24"/>
        </w:rPr>
        <w:t xml:space="preserve">σⱼ</w:t>
      </w:r>
      <w:r>
        <w:rPr>
          <w:rFonts w:ascii="Times New Roman" w:cs="Times New Roman" w:eastAsia="Times New Roman" w:hAnsi="Times New Roman"/>
          <w:b w:val="false"/>
          <w:bCs w:val="false"/>
          <w:i w:val="false"/>
          <w:iCs w:val="false"/>
          <w:color w:val="000000"/>
          <w:sz w:val="24"/>
          <w:szCs w:val="24"/>
        </w:rPr>
        <w:t xml:space="preserve"> is the standard deviation of the residual in the training period. Positive values indicate mental health worse than expected from the macro state — the residual that the macroeconomic vocabulary cannot account for. We intend the PRI as a quarterly public dashboard analogous to the Conference Board’s Consumer Confidence release: the same cadence, the same audience, a different signal.</w:t>
      </w:r>
    </w:p>
    <w:p>
      <w:pPr>
        <w:spacing w:after="0" w:before="0" w:line="480" w:lineRule="auto"/>
        <w:ind w:firstLine="720"/>
      </w:pPr>
      <w:r>
        <w:rPr>
          <w:rFonts w:ascii="Times New Roman" w:cs="Times New Roman" w:eastAsia="Times New Roman" w:hAnsi="Times New Roman"/>
          <w:b/>
          <w:bCs/>
          <w:i/>
          <w:iCs/>
          <w:color w:val="000000"/>
          <w:sz w:val="24"/>
          <w:szCs w:val="24"/>
        </w:rPr>
        <w:t xml:space="preserve">Current empirical implementation.</w:t>
      </w:r>
      <w:r>
        <w:rPr>
          <w:rFonts w:ascii="Times New Roman" w:cs="Times New Roman" w:eastAsia="Times New Roman" w:hAnsi="Times New Roman"/>
          <w:b w:val="false"/>
          <w:bCs w:val="false"/>
          <w:i w:val="false"/>
          <w:iCs w:val="false"/>
          <w:color w:val="000000"/>
          <w:sz w:val="24"/>
          <w:szCs w:val="24"/>
        </w:rPr>
        <w:t xml:space="preserve"> To demonstrate the construct’s estimability with existing public data, we fit a first operational version using three Bureau of Labor Statistics series (UNRATE, PAYEMS, JOLTS Job Openings) and two psychiatric proxies: the University of Michigan Survey of Consumers (UMCSENT) as a documented mental-health correlate covering the full period (Bernstein &amp; Posthumus, 2025; Cummings &amp; Mahoney, 2023), and the U.S. Census Bureau / CDC Household Pulse Survey indicators of anxiety or depression (modified PHQ-2 + GAD-2, biweekly waves 2020–present) anchored against the 2019 National Health Interview Survey value of 10.8% (Vahratian et al., 2021). Macro indicators were aggregated to quarterly means; the sentiment-on-macro regression </w:t>
      </w:r>
      <w:r>
        <w:rPr>
          <w:rFonts w:ascii="Times New Roman" w:cs="Times New Roman" w:eastAsia="Times New Roman" w:hAnsi="Times New Roman"/>
          <w:b w:val="false"/>
          <w:bCs w:val="false"/>
          <w:i/>
          <w:iCs/>
          <w:color w:val="000000"/>
          <w:sz w:val="24"/>
          <w:szCs w:val="24"/>
        </w:rPr>
        <w:t xml:space="preserve">UMCSENT = β₀ + β₁ · UNRATE + β₂ · Δ%PAYEMS_yoy + β₃ · log(JTSJOL)</w:t>
      </w:r>
      <w:r>
        <w:rPr>
          <w:rFonts w:ascii="Times New Roman" w:cs="Times New Roman" w:eastAsia="Times New Roman" w:hAnsi="Times New Roman"/>
          <w:b w:val="false"/>
          <w:bCs w:val="false"/>
          <w:i w:val="false"/>
          <w:iCs w:val="false"/>
          <w:color w:val="000000"/>
          <w:sz w:val="24"/>
          <w:szCs w:val="24"/>
        </w:rPr>
        <w:t xml:space="preserve"> was estimated by ordinary least squares on the 36-quarter 2010Q1–2019Q4 training window. The fit was statistically tight (adjusted R² = 0.907, F(3,32) = 115.4, </w:t>
      </w:r>
      <w:r>
        <w:rPr>
          <w:rFonts w:ascii="Times New Roman" w:cs="Times New Roman" w:eastAsia="Times New Roman" w:hAnsi="Times New Roman"/>
          <w:b w:val="false"/>
          <w:bCs w:val="false"/>
          <w:i/>
          <w:iCs/>
          <w:color w:val="000000"/>
          <w:sz w:val="24"/>
          <w:szCs w:val="24"/>
        </w:rPr>
        <w:t xml:space="preserve">p</w:t>
      </w:r>
      <w:r>
        <w:rPr>
          <w:rFonts w:ascii="Times New Roman" w:cs="Times New Roman" w:eastAsia="Times New Roman" w:hAnsi="Times New Roman"/>
          <w:b w:val="false"/>
          <w:bCs w:val="false"/>
          <w:i w:val="false"/>
          <w:iCs w:val="false"/>
          <w:color w:val="000000"/>
          <w:sz w:val="24"/>
          <w:szCs w:val="24"/>
        </w:rPr>
        <w:t xml:space="preserve"> &lt; .001, residual σ = 3.09 sentiment-index points), and the unemployment coefficient was −8.78 (SE = 2.03, </w:t>
      </w:r>
      <w:r>
        <w:rPr>
          <w:rFonts w:ascii="Times New Roman" w:cs="Times New Roman" w:eastAsia="Times New Roman" w:hAnsi="Times New Roman"/>
          <w:b w:val="false"/>
          <w:bCs w:val="false"/>
          <w:i/>
          <w:iCs/>
          <w:color w:val="000000"/>
          <w:sz w:val="24"/>
          <w:szCs w:val="24"/>
        </w:rPr>
        <w:t xml:space="preserve">p</w:t>
      </w:r>
      <w:r>
        <w:rPr>
          <w:rFonts w:ascii="Times New Roman" w:cs="Times New Roman" w:eastAsia="Times New Roman" w:hAnsi="Times New Roman"/>
          <w:b w:val="false"/>
          <w:bCs w:val="false"/>
          <w:i w:val="false"/>
          <w:iCs w:val="false"/>
          <w:color w:val="000000"/>
          <w:sz w:val="24"/>
          <w:szCs w:val="24"/>
        </w:rPr>
        <w:t xml:space="preserve"> &lt; .001). Out-of-sample predictions were generated through 2026Q1; standardized residuals constitute the sentiment-based PRI component. The HPS-based component was computed as (observed % − 10.8%) / 1.5 pp, where 1.5 percentage points is a conservative baseline standard deviation reflecting pre-pandemic year-to-year variation in equivalent K6-based prevalence. The composite PRI is the mean of available standardized components. Empirical results are presented in Figure 1 and Results §3.6.</w:t>
      </w:r>
    </w:p>
    <w:p>
      <w:pPr>
        <w:spacing w:after="0" w:before="0" w:line="480" w:lineRule="auto"/>
      </w:pPr>
      <w:r>
        <w:rPr>
          <w:rFonts w:ascii="Times New Roman" w:cs="Times New Roman" w:eastAsia="Times New Roman" w:hAnsi="Times New Roman"/>
          <w:b/>
          <w:bCs/>
          <w:i w:val="false"/>
          <w:iCs w:val="false"/>
          <w:color w:val="000000"/>
          <w:sz w:val="24"/>
          <w:szCs w:val="24"/>
        </w:rPr>
        <w:t xml:space="preserve">Individual-Level Operationalization: The Labor Market Distress Inventory</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Labor Market Distress Inventory operationalizes the construct at the individual level. It is a short composite instrument designed for embedment in panel studies (PSID, NHIS, CPS supplements; internationally SHARE, ELSA, HILDA, German PASS) and for primary-care screening. The LMDI combines four validated subscales with one new subscale, each addressing a specific exposure pathway.</w:t>
      </w:r>
    </w:p>
    <w:p>
      <w:pPr>
        <w:spacing w:after="0" w:before="0" w:line="480" w:lineRule="auto"/>
        <w:ind w:left="720" w:hanging="360"/>
      </w:pPr>
      <w:r>
        <w:rPr>
          <w:rFonts w:ascii="Times New Roman" w:cs="Times New Roman" w:eastAsia="Times New Roman" w:hAnsi="Times New Roman"/>
          <w:b/>
          <w:bCs/>
          <w:i/>
          <w:iCs/>
          <w:color w:val="000000"/>
          <w:sz w:val="24"/>
          <w:szCs w:val="24"/>
        </w:rPr>
        <w:t xml:space="preserve">General distress.</w:t>
      </w:r>
      <w:r>
        <w:rPr>
          <w:rFonts w:ascii="Times New Roman" w:cs="Times New Roman" w:eastAsia="Times New Roman" w:hAnsi="Times New Roman"/>
          <w:b w:val="false"/>
          <w:bCs w:val="false"/>
          <w:i w:val="false"/>
          <w:iCs w:val="false"/>
          <w:color w:val="000000"/>
          <w:sz w:val="24"/>
          <w:szCs w:val="24"/>
        </w:rPr>
        <w:t xml:space="preserve"> The four-item K6 short form (Kessler et al., 2002).</w:t>
      </w:r>
    </w:p>
    <w:p>
      <w:pPr>
        <w:spacing w:after="0" w:before="0" w:line="480" w:lineRule="auto"/>
        <w:ind w:left="720" w:hanging="360"/>
      </w:pPr>
      <w:r>
        <w:rPr>
          <w:rFonts w:ascii="Times New Roman" w:cs="Times New Roman" w:eastAsia="Times New Roman" w:hAnsi="Times New Roman"/>
          <w:b/>
          <w:bCs/>
          <w:i/>
          <w:iCs/>
          <w:color w:val="000000"/>
          <w:sz w:val="24"/>
          <w:szCs w:val="24"/>
        </w:rPr>
        <w:t xml:space="preserve">Quantitative job insecurity.</w:t>
      </w:r>
      <w:r>
        <w:rPr>
          <w:rFonts w:ascii="Times New Roman" w:cs="Times New Roman" w:eastAsia="Times New Roman" w:hAnsi="Times New Roman"/>
          <w:b w:val="false"/>
          <w:bCs w:val="false"/>
          <w:i w:val="false"/>
          <w:iCs w:val="false"/>
          <w:color w:val="000000"/>
          <w:sz w:val="24"/>
          <w:szCs w:val="24"/>
        </w:rPr>
        <w:t xml:space="preserve"> Four items from Hellgren et al. (1999) capturing perceived likelihood of involuntary job loss.</w:t>
      </w:r>
    </w:p>
    <w:p>
      <w:pPr>
        <w:spacing w:after="0" w:before="0" w:line="480" w:lineRule="auto"/>
        <w:ind w:left="720" w:hanging="360"/>
      </w:pPr>
      <w:r>
        <w:rPr>
          <w:rFonts w:ascii="Times New Roman" w:cs="Times New Roman" w:eastAsia="Times New Roman" w:hAnsi="Times New Roman"/>
          <w:b/>
          <w:bCs/>
          <w:i/>
          <w:iCs/>
          <w:color w:val="000000"/>
          <w:sz w:val="24"/>
          <w:szCs w:val="24"/>
        </w:rPr>
        <w:t xml:space="preserve">Qualitative job insecurity.</w:t>
      </w:r>
      <w:r>
        <w:rPr>
          <w:rFonts w:ascii="Times New Roman" w:cs="Times New Roman" w:eastAsia="Times New Roman" w:hAnsi="Times New Roman"/>
          <w:b w:val="false"/>
          <w:bCs w:val="false"/>
          <w:i w:val="false"/>
          <w:iCs w:val="false"/>
          <w:color w:val="000000"/>
          <w:sz w:val="24"/>
          <w:szCs w:val="24"/>
        </w:rPr>
        <w:t xml:space="preserve"> Four items adapted from De Witte and the QJIM validation work (Sverke et al., 2002) capturing perceived deterioration of job conditions.</w:t>
      </w:r>
    </w:p>
    <w:p>
      <w:pPr>
        <w:spacing w:after="0" w:before="0" w:line="480" w:lineRule="auto"/>
        <w:ind w:left="720" w:hanging="360"/>
      </w:pPr>
      <w:r>
        <w:rPr>
          <w:rFonts w:ascii="Times New Roman" w:cs="Times New Roman" w:eastAsia="Times New Roman" w:hAnsi="Times New Roman"/>
          <w:b/>
          <w:bCs/>
          <w:i/>
          <w:iCs/>
          <w:color w:val="000000"/>
          <w:sz w:val="24"/>
          <w:szCs w:val="24"/>
        </w:rPr>
        <w:t xml:space="preserve">Latent-deprivation status.</w:t>
      </w:r>
      <w:r>
        <w:rPr>
          <w:rFonts w:ascii="Times New Roman" w:cs="Times New Roman" w:eastAsia="Times New Roman" w:hAnsi="Times New Roman"/>
          <w:b w:val="false"/>
          <w:bCs w:val="false"/>
          <w:i w:val="false"/>
          <w:iCs w:val="false"/>
          <w:color w:val="000000"/>
          <w:sz w:val="24"/>
          <w:szCs w:val="24"/>
        </w:rPr>
        <w:t xml:space="preserve"> Four items from the Latent and Manifest Benefits (LaMB) short form (Muller et al., 2005) for respondents currently or recently unemployed, operationalizing Jahoda’s five latent functions of employment (time structure, social contact, collective purpose, status, activity).</w:t>
      </w:r>
    </w:p>
    <w:p>
      <w:pPr>
        <w:spacing w:after="0" w:before="0" w:line="480" w:lineRule="auto"/>
        <w:ind w:left="720" w:hanging="360"/>
      </w:pPr>
      <w:r>
        <w:rPr>
          <w:rFonts w:ascii="Times New Roman" w:cs="Times New Roman" w:eastAsia="Times New Roman" w:hAnsi="Times New Roman"/>
          <w:b/>
          <w:bCs/>
          <w:i/>
          <w:iCs/>
          <w:color w:val="000000"/>
          <w:sz w:val="24"/>
          <w:szCs w:val="24"/>
        </w:rPr>
        <w:t xml:space="preserve">Hiring-Process Distress (HPD) subscale (new, requiring validation).</w:t>
      </w:r>
      <w:r>
        <w:rPr>
          <w:rFonts w:ascii="Times New Roman" w:cs="Times New Roman" w:eastAsia="Times New Roman" w:hAnsi="Times New Roman"/>
          <w:b w:val="false"/>
          <w:bCs w:val="false"/>
          <w:i w:val="false"/>
          <w:iCs w:val="false"/>
          <w:color w:val="000000"/>
          <w:sz w:val="24"/>
          <w:szCs w:val="24"/>
        </w:rPr>
        <w:t xml:space="preserve"> Six items developed from the qualitative themes of Empower Work’s 2024 worker survey (Empower Work, 2024) and Greenhouse’s 2024 State of Job Hunting report (Greenhouse, 2024), covering application fatigue, ghost-job suspicion, post-interview ghosting, applicant-tracking-system (ATS) rejection cumulative experience, AI-displacement worry, and perceived process opacity.</w:t>
      </w:r>
    </w:p>
    <w:p>
      <w:pPr>
        <w:spacing w:after="0" w:before="0" w:line="480" w:lineRule="auto"/>
      </w:pPr>
      <w:r>
        <w:rPr>
          <w:rFonts w:ascii="Times New Roman" w:cs="Times New Roman" w:eastAsia="Times New Roman" w:hAnsi="Times New Roman"/>
          <w:b/>
          <w:bCs/>
          <w:i w:val="false"/>
          <w:iCs w:val="false"/>
          <w:color w:val="000000"/>
          <w:sz w:val="24"/>
          <w:szCs w:val="24"/>
        </w:rPr>
        <w:t xml:space="preserve">Validation Strategy</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LMDI validation will follow standard psychometric protocols: exploratory and confirmatory factor analysis (EFA/CFA) on a calibration sample (target </w:t>
      </w:r>
      <w:r>
        <w:rPr>
          <w:rFonts w:ascii="Times New Roman" w:cs="Times New Roman" w:eastAsia="Times New Roman" w:hAnsi="Times New Roman"/>
          <w:b w:val="false"/>
          <w:bCs w:val="false"/>
          <w:i/>
          <w:iCs/>
          <w:color w:val="000000"/>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1,500), with target-rotation specification consistent with the five-subscale structure; multi-group measurement invariance testing across employment status (employed, underemployed, unemployed), age decade, gender, and race/ethnicity; convergent validity against the PHQ-9, GAD-7, and Maslach Burnout Inventory–General Survey (MBI-GS; Maslach &amp; Jackson, 1981); discriminant validity against the Satisfaction with Life Scale and the Career Adapt-Abilities Scale (Savickas &amp; Porfeli, 2012); and predictive validity over a twelve-month follow-up for job-search persistence, re-employment, depressive-episode incidence (Composite International Diagnostic Interview short form), and psychotropic prescription claims where linkable. Cross-cultural validation will adapt established translation–back-translation protocols and replicate the invariance testing in HILDA (Australia) and PASS (Germany) panels.</w:t>
      </w:r>
    </w:p>
    <w:p>
      <w:pPr>
        <w:spacing w:after="0" w:before="0" w:line="480" w:lineRule="auto"/>
        <w:jc w:val="center"/>
      </w:pPr>
      <w:r>
        <w:rPr>
          <w:rFonts w:ascii="Times New Roman" w:cs="Times New Roman" w:eastAsia="Times New Roman" w:hAnsi="Times New Roman"/>
          <w:b/>
          <w:bCs/>
          <w:i w:val="false"/>
          <w:iCs w:val="false"/>
          <w:color w:val="000000"/>
          <w:sz w:val="24"/>
          <w:szCs w:val="24"/>
        </w:rPr>
        <w:t xml:space="preserve">Results</w:t>
      </w:r>
    </w:p>
    <w:p>
      <w:pPr>
        <w:spacing w:after="0" w:before="0" w:line="480" w:lineRule="auto"/>
      </w:pPr>
      <w:r>
        <w:rPr>
          <w:rFonts w:ascii="Times New Roman" w:cs="Times New Roman" w:eastAsia="Times New Roman" w:hAnsi="Times New Roman"/>
          <w:b/>
          <w:bCs/>
          <w:i w:val="false"/>
          <w:iCs w:val="false"/>
          <w:color w:val="000000"/>
          <w:sz w:val="24"/>
          <w:szCs w:val="24"/>
        </w:rPr>
        <w:t xml:space="preserve">The Macro–Psychiatric Divergence</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first claim — that population mental health is deteriorating in ways the macroeconomic indicators do not detect — is supported by the December 2025 data and the trajectories that lead to it. Bureau of Labor Statistics data placed unemployment at 4.4% with 50,000 nonfarm payroll jobs added in December 2025 (Bureau of Labor Statistics, 2026a). In the same month the Conference Board Consumer Confidence Index fell to 89.1 with the Expectations subindex below 80 for an eleventh consecutive month — a duration without precedent in the index’s modern history outside a confirmed recession (Conference Board, 2025). The University of Michigan Survey of Consumers showed a parallel trajectory. The divergence is not reducible to inflation: even after Bernstein and Posthumus’s (2025) recalibration of the sentiment–fundamentals equation accounts for price-level shock memory, a residual gap of approximately 7 points persists, larger among workers reporting AI exposure and active job search.</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Worker-experience data confirm the divergence. Gallup’s 2024 </w:t>
      </w:r>
      <w:r>
        <w:rPr>
          <w:rFonts w:ascii="Times New Roman" w:cs="Times New Roman" w:eastAsia="Times New Roman" w:hAnsi="Times New Roman"/>
          <w:b w:val="false"/>
          <w:bCs w:val="false"/>
          <w:i/>
          <w:iCs/>
          <w:color w:val="000000"/>
          <w:sz w:val="24"/>
          <w:szCs w:val="24"/>
        </w:rPr>
        <w:t xml:space="preserve">State of the Global Workplace</w:t>
      </w:r>
      <w:r>
        <w:rPr>
          <w:rFonts w:ascii="Times New Roman" w:cs="Times New Roman" w:eastAsia="Times New Roman" w:hAnsi="Times New Roman"/>
          <w:b w:val="false"/>
          <w:bCs w:val="false"/>
          <w:i w:val="false"/>
          <w:iCs w:val="false"/>
          <w:color w:val="000000"/>
          <w:sz w:val="24"/>
          <w:szCs w:val="24"/>
        </w:rPr>
        <w:t xml:space="preserve"> placed daily stress at 41% globally and worker engagement at 23%, with U.S./Canada engagement at 33% (Gallup, 2024); the 2026 release recorded a five-percentage-point decline in manager engagement (27% → 22%) over a single year (Gallup, 2026). The National Alliance on Mental Illness–Ipsos 2024 workplace poll (</w:t>
      </w:r>
      <w:r>
        <w:rPr>
          <w:rFonts w:ascii="Times New Roman" w:cs="Times New Roman" w:eastAsia="Times New Roman" w:hAnsi="Times New Roman"/>
          <w:b w:val="false"/>
          <w:bCs w:val="false"/>
          <w:i/>
          <w:iCs/>
          <w:color w:val="000000"/>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2,062 full-time employees at firms ≥ 100) found 52% reporting burnout in the prior year and 37% so overwhelmed that work performance was impaired (National Alliance on Mental Illness &amp; Ipsos, 2024). Generational stratification was substantial: burnout was reported by 84% of Generation Z, 74% of Millennials, and 47% of Baby Boomers across overlapping synthesis estimates.</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pattern satisfies the empirical anchor required for the construct. A non-trivial fraction of variance in worker mental health is not predicted by the contemporaneous macro state. That unpredicted variance is, by definition, the residual where the psychological recession lives.</w:t>
      </w:r>
    </w:p>
    <w:p>
      <w:pPr>
        <w:spacing w:after="0" w:before="0" w:line="480" w:lineRule="auto"/>
      </w:pPr>
      <w:r>
        <w:rPr>
          <w:rFonts w:ascii="Times New Roman" w:cs="Times New Roman" w:eastAsia="Times New Roman" w:hAnsi="Times New Roman"/>
          <w:b/>
          <w:bCs/>
          <w:i w:val="false"/>
          <w:iCs w:val="false"/>
          <w:color w:val="000000"/>
          <w:sz w:val="24"/>
          <w:szCs w:val="24"/>
        </w:rPr>
        <w:t xml:space="preserve">Post-GFC Overhiring and Reference-Point Inflation</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second claim is that the technology-sector hiring cycle has installed reference points that the contemporary labor market necessarily violates, and that this violation is itself a psychiatric exposure. Layoff trackers recorded approximately 93,000 technology-sector layoffs in 2022, between 200,000 and 263,000 in 2023, decline through 2024, approximately 246,000 in 2025 by one count, and 95,878 in the first four months of 2026 alone — equivalent to roughly 872 workers per day (Crunchbase News, 2026; TrueUp, 2026). Public statements from Salesforce, Alphabet, and Meta explicitly framed these reductions as corrections to multi-year overhiring during the 2019–2022 pandemic-era expansion, when headcount at large technology firms roughly doubled.</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mental-health consequence is indirect but consequential. The hedonic-adaptation and reference-point literature predicts that compensation, status, and identity expectations calibrated during a period of hyperexpansion — Big Tech total compensation routinely exceeding $300,000, perks culture, the social-media-mediated identity of working at a recognizable technology employer — function as anchors against which the contemporary labor market necessarily disappoints. The disappointment is structural, not personal. Mousteri et al. (2018) document that even short unemployment spells produce measurable scarring on post-50 quality of life and life satisfaction across European countries; Arulampalam (2001) documents a 6% wage penalty on re-entry and 14% lower wages three years post-spell. Goldman Sachs’s April 2026 analysis of 40 years of U.S. data placed real-earnings loss at approximately 10 percentage points 10 years after technology displacement, with the largest effects for workers under 30 (Goldman Sachs Research, 2026).</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reference-point mechanism is testable. The prediction is that workers entering the labor market during periods of perceived contraction relative to recent expansion — rather than during periods of absolute contraction — will show elevated K6 and GAD-7 scores, conditional on actual employment status. If the prediction holds, reference-point inflation is doing psychiatric work that no macro indicator currently registers.</w:t>
      </w:r>
    </w:p>
    <w:p>
      <w:pPr>
        <w:spacing w:after="0" w:before="0" w:line="480" w:lineRule="auto"/>
      </w:pPr>
      <w:r>
        <w:rPr>
          <w:rFonts w:ascii="Times New Roman" w:cs="Times New Roman" w:eastAsia="Times New Roman" w:hAnsi="Times New Roman"/>
          <w:b/>
          <w:bCs/>
          <w:i w:val="false"/>
          <w:iCs w:val="false"/>
          <w:color w:val="000000"/>
          <w:sz w:val="24"/>
          <w:szCs w:val="24"/>
        </w:rPr>
        <w:t xml:space="preserve">Generative AI Displacement Anxiety</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third claim is that AI displacement is producing psychiatric exposure ahead of, and in excess of, the actual displacement it has so far caused. Pew Research (October 2024, </w:t>
      </w:r>
      <w:r>
        <w:rPr>
          <w:rFonts w:ascii="Times New Roman" w:cs="Times New Roman" w:eastAsia="Times New Roman" w:hAnsi="Times New Roman"/>
          <w:b w:val="false"/>
          <w:bCs w:val="false"/>
          <w:i/>
          <w:iCs/>
          <w:color w:val="000000"/>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5,273 employed U.S. adults) found 52% worried about future workplace AI, 33% feeling overwhelmed, and only 6% expecting more job opportunities as a long-run result of AI (Pew Research Center, 2025). Microsoft and LinkedIn’s 2024 </w:t>
      </w:r>
      <w:r>
        <w:rPr>
          <w:rFonts w:ascii="Times New Roman" w:cs="Times New Roman" w:eastAsia="Times New Roman" w:hAnsi="Times New Roman"/>
          <w:b w:val="false"/>
          <w:bCs w:val="false"/>
          <w:i/>
          <w:iCs/>
          <w:color w:val="000000"/>
          <w:sz w:val="24"/>
          <w:szCs w:val="24"/>
        </w:rPr>
        <w:t xml:space="preserve">Work Trend Index</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iCs/>
          <w:color w:val="000000"/>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31,000 across 31 countries) found 75% of knowledge workers using AI at work, 53% fearing that AI use makes them seem expendable, and 52% hesitating to disclose AI use on critical tasks (Microsoft &amp; LinkedIn, 2024). The Stanford 2026 AI Index placed global nervousness about AI products at 52% (Stanford HAI, 2026). Goldman’s April 2026 analysis estimated AI substitution at approximately 25,000 U.S. jobs per month, partially offset by approximately 9,000 augmentation jobs, for net displacement of approximately 16,000 (Peng, 2026); employment for 22- to 25-year-olds in AI-exposed occupations was 16% below the prior year.</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Acemoglu and Restrepo task-based framework (2019, 2022) provides the structural logic: when automation displaces workers from routine tasks faster than productivity effects generate new tasks elsewhere, the resulting “excessive automation” depresses wages and employment in affected occupational categories. Their 2025 work on automation and rent dissipation (Acemoglu &amp; Restrepo, 2025) extends the framework to the AI case. The Carnegie California (2025) survey identified a specific signature in this anxiety: high concern about inequality and labor-market disruption coexists with relatively low concern about personal job loss — consistent with generalized rather than individually targeted anticipation. Dahlin’s (2024) “AI exceptionalism” critique notes that displacement concerns are disproportionately voiced about white-collar workers but felt most acutely by those already vulnerable to workplace discrimination.</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Anticipatory displacement anxiety is the cognitive content of qualitative job insecurity, for which Sverke et al.’s (2002) meta-analytic effect sizes — and those of Hellgren et al. (1999) — indicate substantial associations with depression, anxiety, and burnout. The psychiatric harm of AI displacement is, in other words, already arriving. It is arriving as anxiety in advance of the displacement itself.</w:t>
      </w:r>
    </w:p>
    <w:p>
      <w:pPr>
        <w:spacing w:after="0" w:before="0" w:line="480" w:lineRule="auto"/>
      </w:pPr>
      <w:r>
        <w:rPr>
          <w:rFonts w:ascii="Times New Roman" w:cs="Times New Roman" w:eastAsia="Times New Roman" w:hAnsi="Times New Roman"/>
          <w:b/>
          <w:bCs/>
          <w:i w:val="false"/>
          <w:iCs w:val="false"/>
          <w:color w:val="000000"/>
          <w:sz w:val="24"/>
          <w:szCs w:val="24"/>
        </w:rPr>
        <w:t xml:space="preserve">Ghost Jobs and Broken Hiring Rituals</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fourth claim — and the one for which the empirical record has matured most rapidly — is that contemporary hiring processes have decayed into a form of administrative structural violence. The signature is the proliferation of openings posted without intent to hire, alongside the parallel decay of the procedural rituals (timely response, status updates, candidate communication) that historically governed the hiring transaction. The process pathology compounds. The average global time-to-hire reached approximately 44 days in 2023 and continued to rise (Cronofy, 2024; Recruiterflow, 2024); 60% of U.S. companies reported increased time-to-hire in 2024; multi-stage interview processes typically extended to 5–8 rounds versus a traditional 2–3; 81% of hiring managers reported decision paralysis; and 26% of seekers rejected offers due to poor communication during lengthy processes. The Pathrise 2024 analysis placed the average tech-sector applications-per-offer ratio at 294, up from 254 the prior year (Pathrise, 2024); LinkedIn processes approximately 11,000 applications per minute. Empower Work, a national text-line support service for workers in crisis, watched job-loss and job-search topics rise from 13% of conversations in 2018 to more than 40% in 2024; their July–August 2024 worker survey (</w:t>
      </w:r>
      <w:r>
        <w:rPr>
          <w:rFonts w:ascii="Times New Roman" w:cs="Times New Roman" w:eastAsia="Times New Roman" w:hAnsi="Times New Roman"/>
          <w:b w:val="false"/>
          <w:bCs w:val="false"/>
          <w:i/>
          <w:iCs/>
          <w:color w:val="000000"/>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913) found that four in five workers actively searching could not find positions meeting basic financial needs, with widespread despair, anxiety, and depression in extended search (Empower Work, 2024).</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mental-health relevance is direct. Repeated rejection without explanation, opacity of selection criteria, and protracted process duration are the procedural correlates of </w:t>
      </w:r>
      <w:r>
        <w:rPr>
          <w:rFonts w:ascii="Times New Roman" w:cs="Times New Roman" w:eastAsia="Times New Roman" w:hAnsi="Times New Roman"/>
          <w:b w:val="false"/>
          <w:bCs w:val="false"/>
          <w:i/>
          <w:iCs/>
          <w:color w:val="000000"/>
          <w:sz w:val="24"/>
          <w:szCs w:val="24"/>
        </w:rPr>
        <w:t xml:space="preserve">learned helplessness</w:t>
      </w:r>
      <w:r>
        <w:rPr>
          <w:rFonts w:ascii="Times New Roman" w:cs="Times New Roman" w:eastAsia="Times New Roman" w:hAnsi="Times New Roman"/>
          <w:b w:val="false"/>
          <w:bCs w:val="false"/>
          <w:i w:val="false"/>
          <w:iCs w:val="false"/>
          <w:color w:val="000000"/>
          <w:sz w:val="24"/>
          <w:szCs w:val="24"/>
        </w:rPr>
        <w:t xml:space="preserve"> in the original Seligman paradigm. They are also the experiential signature of Galtung’s (1969) structural violence in its administrative form — harm built into the structure of an institution, with no identifiable single perpetrator. The Hiring-Process Distress (HPD) subscale proposed in the Method section is designed to detect this exposure directly.</w:t>
      </w:r>
    </w:p>
    <w:p>
      <w:pPr>
        <w:spacing w:after="0" w:before="0" w:line="480" w:lineRule="auto"/>
      </w:pPr>
      <w:r>
        <w:rPr>
          <w:rFonts w:ascii="Times New Roman" w:cs="Times New Roman" w:eastAsia="Times New Roman" w:hAnsi="Times New Roman"/>
          <w:b/>
          <w:bCs/>
          <w:i w:val="false"/>
          <w:iCs w:val="false"/>
          <w:color w:val="000000"/>
          <w:sz w:val="24"/>
          <w:szCs w:val="24"/>
        </w:rPr>
        <w:t xml:space="preserve">Gendered and Generational Stratification</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fifth claim is that the four prior drivers are not equally distributed; the dose is stratified by gender and generation. The COVID-19 recession was correctly named a </w:t>
      </w:r>
      <w:r>
        <w:rPr>
          <w:rFonts w:ascii="Times New Roman" w:cs="Times New Roman" w:eastAsia="Times New Roman" w:hAnsi="Times New Roman"/>
          <w:b w:val="false"/>
          <w:bCs w:val="false"/>
          <w:i/>
          <w:iCs/>
          <w:color w:val="000000"/>
          <w:sz w:val="24"/>
          <w:szCs w:val="24"/>
        </w:rPr>
        <w:t xml:space="preserve">shecession</w:t>
      </w:r>
      <w:r>
        <w:rPr>
          <w:rFonts w:ascii="Times New Roman" w:cs="Times New Roman" w:eastAsia="Times New Roman" w:hAnsi="Times New Roman"/>
          <w:b w:val="false"/>
          <w:bCs w:val="false"/>
          <w:i w:val="false"/>
          <w:iCs w:val="false"/>
          <w:color w:val="000000"/>
          <w:sz w:val="24"/>
          <w:szCs w:val="24"/>
        </w:rPr>
        <w:t xml:space="preserve"> (Alon et al., 2021); an October 2025 CNN analysis of Bureau of Labor Statistics data found that 455,000 women left the U.S. labor force between January and August 2025 — the second-largest eight-month exodus on record since 1948, exceeded only by the pandemic itself (Egan, 2025). Maternal mental-health effects are well documented (Zamarro and Prados at USC report elevated psychological distress among mothers of elementary-school-age and younger children). The 2024 National Alliance on Mental Illness–Ipsos data showed 54% of mid-level employees reporting burnout, with rates highest among women and parents (National Alliance on Mental Illness &amp; Ipsos, 2024).</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Generational stratification compounds the gender pattern. The 84% Generation Z burnout figure — and the Goldman finding of 16% reduced employment for 22- to 25-year-olds in AI-exposed roles (Goldman Sachs Research, 2026; Peng, 2026) — identify the population entering the labor market in 2023–2026 as bearing disproportionate exposure to all four prior drivers simultaneously. They enter against pandemic-era reference points, into an AI-displacement leading edge, through ghost-job-saturated hiring processes, with macro indicators that fail to register their experience. The Goldman 40-year-data analysis projects an approximately 10-percentage-point real-earnings penalty over the subsequent decade (Goldman Sachs Research, 2026). The exposure begins at labor-market entry and propagates forward across the working life.</w:t>
      </w:r>
    </w:p>
    <w:p>
      <w:pPr>
        <w:spacing w:after="0" w:before="0" w:line="480" w:lineRule="auto"/>
      </w:pPr>
      <w:r>
        <w:rPr>
          <w:rFonts w:ascii="Times New Roman" w:cs="Times New Roman" w:eastAsia="Times New Roman" w:hAnsi="Times New Roman"/>
          <w:b/>
          <w:bCs/>
          <w:i w:val="false"/>
          <w:iCs w:val="false"/>
          <w:color w:val="000000"/>
          <w:sz w:val="24"/>
          <w:szCs w:val="24"/>
        </w:rPr>
        <w:t xml:space="preserve">Convergent Pattern</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five empirical domains are not independent. They are causally chained. Post-GFC overhiring set reference points that current contraction now violates. AI displacement provides the medium-term anticipatory threat against which those violated reference points are read. Ghost jobs convert the procedural experience of search into chronic structural-violence exposure. Gender and generation determine the dose. The convergence satisfies Singer and Clair’s (2003) syndemic criteria: the conditions co-occur, interact synergistically (job-search stress amplifies AI anxiety amplifies post-rejection demoralization), and share structural drivers (post-GFC labor-market consolidation, hiring-process platformization, generative-AI deployment).</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convergence also satisfies Link and Phelan’s (1995; Phelan et al., 2010) fundamental-cause criteria (see Figure 2). Labor-market position (a) influences multiple mental-health outcomes — depression, anxiety, burnout, deaths of despair; (b) operates through multiple intervening mechanisms — income, time structure, social contact, reference points, hiring-process exposure; (c) controls access to the flexible resources of money, knowledge, prestige, power, and social connections; and (d) reproduces psychiatric gradients across changing intervening mechanisms. The specific mechanism of “ghost jobs” did not exist in 1980. The gradient nevertheless reproduces.</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Figure 1 displays the divergence empirically. The PRI specified in the Method section, estimated on publicly available data, registers values approximately one standard deviation above the 2010–2019 baseline beginning in 2021 and accelerating thereafter; the composite mean for the post-2021 period is +11.8 standard deviations and the latest reading (2026Q1) is +10.8 standard deviations. The baseline macro–sentiment relationship in 2010–2019 was statistically tight (OLS R² = 0.915 with unemployment, year-over-year payroll growth, and log job openings on the right-hand side), and the Household Pulse Survey psychiatric series provides an independent confirmation that the divergence is not an artifact of the sentiment proxy: HPS anxiety-or-depression has run roughly three times the pre-pandemic NHIS 2019 anchor since the survey began. The signature is detectable. The instrument required to detect it does not yet exist as a public-facing release. That is the gap this paper proposes to close.</w:t>
      </w:r>
    </w:p>
    <w:p>
      <w:pPr>
        <w:spacing w:after="0" w:before="0" w:line="480" w:lineRule="auto"/>
        <w:jc w:val="center"/>
      </w:pPr>
      <w:r>
        <w:rPr>
          <w:rFonts w:ascii="Times New Roman" w:cs="Times New Roman" w:eastAsia="Times New Roman" w:hAnsi="Times New Roman"/>
          <w:b/>
          <w:bCs/>
          <w:i w:val="false"/>
          <w:iCs w:val="false"/>
          <w:color w:val="000000"/>
          <w:sz w:val="24"/>
          <w:szCs w:val="24"/>
        </w:rPr>
        <w:t xml:space="preserve">Discussion</w:t>
      </w:r>
    </w:p>
    <w:p>
      <w:pPr>
        <w:spacing w:after="0" w:before="0" w:line="480" w:lineRule="auto"/>
      </w:pPr>
      <w:r>
        <w:rPr>
          <w:rFonts w:ascii="Times New Roman" w:cs="Times New Roman" w:eastAsia="Times New Roman" w:hAnsi="Times New Roman"/>
          <w:b/>
          <w:bCs/>
          <w:i w:val="false"/>
          <w:iCs w:val="false"/>
          <w:color w:val="000000"/>
          <w:sz w:val="24"/>
          <w:szCs w:val="24"/>
        </w:rPr>
        <w:t xml:space="preserve">Principal Findings</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We have argued, on convergent evidence across five empirical domains and three theoretical traditions, that the contemporary United States labor market constitutes a distal psychiatric exposure of substantial magnitude, decoupled from the technical macroeconomic cycle, and that public mental health should treat it as such. We have proposed the term </w:t>
      </w:r>
      <w:r>
        <w:rPr>
          <w:rFonts w:ascii="Times New Roman" w:cs="Times New Roman" w:eastAsia="Times New Roman" w:hAnsi="Times New Roman"/>
          <w:b w:val="false"/>
          <w:bCs w:val="false"/>
          <w:i/>
          <w:iCs/>
          <w:color w:val="000000"/>
          <w:sz w:val="24"/>
          <w:szCs w:val="24"/>
        </w:rPr>
        <w:t xml:space="preserve">psychological recession</w:t>
      </w:r>
      <w:r>
        <w:rPr>
          <w:rFonts w:ascii="Times New Roman" w:cs="Times New Roman" w:eastAsia="Times New Roman" w:hAnsi="Times New Roman"/>
          <w:b w:val="false"/>
          <w:bCs w:val="false"/>
          <w:i w:val="false"/>
          <w:iCs w:val="false"/>
          <w:color w:val="000000"/>
          <w:sz w:val="24"/>
          <w:szCs w:val="24"/>
        </w:rPr>
        <w:t xml:space="preserve"> for the construct; we have specified a two-level operationalization (PRI at the population level, LMDI at the individual level); and we have outlined a validation strategy. The argument is conservative in one important respect: it does not require any single one of the proposed mechanisms to be true in isolation. Reference-point inflation, AI displacement anxiety, ghost-job exposure, and gendered and generational stratification are individually testable and jointly sufficient. If any subset is established, the construct stands.</w:t>
      </w:r>
    </w:p>
    <w:p>
      <w:pPr>
        <w:spacing w:after="0" w:before="0" w:line="480" w:lineRule="auto"/>
      </w:pPr>
      <w:r>
        <w:rPr>
          <w:rFonts w:ascii="Times New Roman" w:cs="Times New Roman" w:eastAsia="Times New Roman" w:hAnsi="Times New Roman"/>
          <w:b/>
          <w:bCs/>
          <w:i w:val="false"/>
          <w:iCs w:val="false"/>
          <w:color w:val="000000"/>
          <w:sz w:val="24"/>
          <w:szCs w:val="24"/>
        </w:rPr>
        <w:t xml:space="preserve">Theoretical Contributions</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construct does three things that the adjacent constructs do not. First, it specifies an outcome variable — population mental health, measurable on existing validated instruments — rather than an affect (vibes, not measurable) or an endpoint (mortality, the tail of a distribution most of whose mass is morbidity). Second, it specifies a mechanism class — structural features of the post-GFC labor market — rather than a mechanism-agnostic stylized fact (sentiment–fundamentals divergence). Third, it preserves the </w:t>
      </w:r>
      <w:r>
        <w:rPr>
          <w:rFonts w:ascii="Times New Roman" w:cs="Times New Roman" w:eastAsia="Times New Roman" w:hAnsi="Times New Roman"/>
          <w:b w:val="false"/>
          <w:bCs w:val="false"/>
          <w:i/>
          <w:iCs/>
          <w:color w:val="000000"/>
          <w:sz w:val="24"/>
          <w:szCs w:val="24"/>
        </w:rPr>
        <w:t xml:space="preserve">recession</w:t>
      </w:r>
      <w:r>
        <w:rPr>
          <w:rFonts w:ascii="Times New Roman" w:cs="Times New Roman" w:eastAsia="Times New Roman" w:hAnsi="Times New Roman"/>
          <w:b w:val="false"/>
          <w:bCs w:val="false"/>
          <w:i w:val="false"/>
          <w:iCs w:val="false"/>
          <w:color w:val="000000"/>
          <w:sz w:val="24"/>
          <w:szCs w:val="24"/>
        </w:rPr>
        <w:t xml:space="preserve"> register that the public uses to navigate economic suffering while explicitly decoupling from the National Bureau of Economic Research technical definition. The decoupling is the conceptual move that resolves what the Introduction called the December 2025 paradox: the United States is not in macroeconomic recession; the population is, on validated psychiatric instruments, in something that behaves like one.</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construct extends three converging research programs. It extends the </w:t>
      </w:r>
      <w:r>
        <w:rPr>
          <w:rFonts w:ascii="Times New Roman" w:cs="Times New Roman" w:eastAsia="Times New Roman" w:hAnsi="Times New Roman"/>
          <w:b w:val="false"/>
          <w:bCs w:val="false"/>
          <w:i/>
          <w:iCs/>
          <w:color w:val="000000"/>
          <w:sz w:val="24"/>
          <w:szCs w:val="24"/>
        </w:rPr>
        <w:t xml:space="preserve">Lancet</w:t>
      </w:r>
      <w:r>
        <w:rPr>
          <w:rFonts w:ascii="Times New Roman" w:cs="Times New Roman" w:eastAsia="Times New Roman" w:hAnsi="Times New Roman"/>
          <w:b w:val="false"/>
          <w:bCs w:val="false"/>
          <w:i w:val="false"/>
          <w:iCs w:val="false"/>
          <w:color w:val="000000"/>
          <w:sz w:val="24"/>
          <w:szCs w:val="24"/>
        </w:rPr>
        <w:t xml:space="preserve"> 2023 work-and-health series (LaMontagne et al., 2023; Rugulies et al., 2023) from “work as a social determinant of health” to “labor-market structure as a fundamental cause of psychiatric exposure.” It extends the precarious-employment literature (Irvine &amp; Rose, 2024; Rönnblad et al., 2019; Thern et al., 2023) from the subgroup of workers in formally precarious arrangements to the population-level exposure of workers and job seekers in nominally non-precarious arrangements who nevertheless face ghost jobs, ATS-rejection cascades, and displacement anxiety. It extends the deaths-of-despair program (Case &amp; Deaton, 2015, 2020) backward along the morbidity continuum, into the population that experiences cumulative labor-market distress without (yet) progressing to fatal outcomes. And it extends the </w:t>
      </w:r>
      <w:r>
        <w:rPr>
          <w:rFonts w:ascii="Times New Roman" w:cs="Times New Roman" w:eastAsia="Times New Roman" w:hAnsi="Times New Roman"/>
          <w:b w:val="false"/>
          <w:bCs w:val="false"/>
          <w:i/>
          <w:iCs/>
          <w:color w:val="000000"/>
          <w:sz w:val="24"/>
          <w:szCs w:val="24"/>
        </w:rPr>
        <w:t xml:space="preserve">Lancet</w:t>
      </w:r>
      <w:r>
        <w:rPr>
          <w:rFonts w:ascii="Times New Roman" w:cs="Times New Roman" w:eastAsia="Times New Roman" w:hAnsi="Times New Roman"/>
          <w:b w:val="false"/>
          <w:bCs w:val="false"/>
          <w:i w:val="false"/>
          <w:iCs w:val="false"/>
          <w:color w:val="000000"/>
          <w:sz w:val="24"/>
          <w:szCs w:val="24"/>
        </w:rPr>
        <w:t xml:space="preserve"> Commission on Global Mental Health and Sustainable Development (Patel et al., 2018) into a labor-market register that the original Commission flagged but did not fully develop.</w:t>
      </w:r>
    </w:p>
    <w:p>
      <w:pPr>
        <w:spacing w:after="0" w:before="0" w:line="480" w:lineRule="auto"/>
      </w:pPr>
      <w:r>
        <w:rPr>
          <w:rFonts w:ascii="Times New Roman" w:cs="Times New Roman" w:eastAsia="Times New Roman" w:hAnsi="Times New Roman"/>
          <w:b/>
          <w:bCs/>
          <w:i w:val="false"/>
          <w:iCs w:val="false"/>
          <w:color w:val="000000"/>
          <w:sz w:val="24"/>
          <w:szCs w:val="24"/>
        </w:rPr>
        <w:t xml:space="preserve">Distinctions From Adjacent Constructs</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construct must be distinguished from three adjacent terms (see Table 1). </w:t>
      </w:r>
      <w:r>
        <w:rPr>
          <w:rFonts w:ascii="Times New Roman" w:cs="Times New Roman" w:eastAsia="Times New Roman" w:hAnsi="Times New Roman"/>
          <w:b w:val="false"/>
          <w:bCs w:val="false"/>
          <w:i/>
          <w:iCs/>
          <w:color w:val="000000"/>
          <w:sz w:val="24"/>
          <w:szCs w:val="24"/>
        </w:rPr>
        <w:t xml:space="preserve">Deaths of despair</w:t>
      </w:r>
      <w:r>
        <w:rPr>
          <w:rFonts w:ascii="Times New Roman" w:cs="Times New Roman" w:eastAsia="Times New Roman" w:hAnsi="Times New Roman"/>
          <w:b w:val="false"/>
          <w:bCs w:val="false"/>
          <w:i w:val="false"/>
          <w:iCs w:val="false"/>
          <w:color w:val="000000"/>
          <w:sz w:val="24"/>
          <w:szCs w:val="24"/>
        </w:rPr>
        <w:t xml:space="preserve"> is downstream and demographically narrower; the psychological recession is upstream and population-general. </w:t>
      </w:r>
      <w:r>
        <w:rPr>
          <w:rFonts w:ascii="Times New Roman" w:cs="Times New Roman" w:eastAsia="Times New Roman" w:hAnsi="Times New Roman"/>
          <w:b w:val="false"/>
          <w:bCs w:val="false"/>
          <w:i/>
          <w:iCs/>
          <w:color w:val="000000"/>
          <w:sz w:val="24"/>
          <w:szCs w:val="24"/>
        </w:rPr>
        <w:t xml:space="preserve">Vibecession</w:t>
      </w:r>
      <w:r>
        <w:rPr>
          <w:rFonts w:ascii="Times New Roman" w:cs="Times New Roman" w:eastAsia="Times New Roman" w:hAnsi="Times New Roman"/>
          <w:b w:val="false"/>
          <w:bCs w:val="false"/>
          <w:i w:val="false"/>
          <w:iCs w:val="false"/>
          <w:color w:val="000000"/>
          <w:sz w:val="24"/>
          <w:szCs w:val="24"/>
        </w:rPr>
        <w:t xml:space="preserve"> is sentiment-focused and mechanism-agnostic; the psychological recession is outcome-focused and mechanism-specific. </w:t>
      </w:r>
      <w:r>
        <w:rPr>
          <w:rFonts w:ascii="Times New Roman" w:cs="Times New Roman" w:eastAsia="Times New Roman" w:hAnsi="Times New Roman"/>
          <w:b w:val="false"/>
          <w:bCs w:val="false"/>
          <w:i/>
          <w:iCs/>
          <w:color w:val="000000"/>
          <w:sz w:val="24"/>
          <w:szCs w:val="24"/>
        </w:rPr>
        <w:t xml:space="preserve">Shecession</w:t>
      </w:r>
      <w:r>
        <w:rPr>
          <w:rFonts w:ascii="Times New Roman" w:cs="Times New Roman" w:eastAsia="Times New Roman" w:hAnsi="Times New Roman"/>
          <w:b w:val="false"/>
          <w:bCs w:val="false"/>
          <w:i w:val="false"/>
          <w:iCs w:val="false"/>
          <w:color w:val="000000"/>
          <w:sz w:val="24"/>
          <w:szCs w:val="24"/>
        </w:rPr>
        <w:t xml:space="preserve"> is gender-specific and cycle-bound; the psychological recession is gender-stratified but population-general and acyclic. None of the adjacent constructs should be discarded — each captures a real phenomenon — but none is sufficient to explain the December 2025 paradox or to support the measurement infrastructure the paradox requires.</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A potential alternative explanation deserves explicit consideration: that what we call a psychological recession is in fact a lagged inflation memory, in which a one-time price-level shock (cumulative U.S. inflation 2021–2024 substantially above the 2010–2019 trend) has produced persistent reductions in perceived purchasing power that sentiment indices register more sensitively than mental-health instruments. We do not regard this hypothesis as falsifying. Even after Bernstein and Posthumus’s (2025) recalibration accounts for price-level shock memory, a residual sentiment–fundamentals gap persists; and the mental-health, engagement, ghost-job, and AI-anxiety data we have synthesized cannot be reduced to price levels. We expect inflation memory to be one component of the psychological recession, not its full account.</w:t>
      </w:r>
    </w:p>
    <w:p>
      <w:pPr>
        <w:spacing w:after="0" w:before="0" w:line="480" w:lineRule="auto"/>
      </w:pPr>
      <w:r>
        <w:rPr>
          <w:rFonts w:ascii="Times New Roman" w:cs="Times New Roman" w:eastAsia="Times New Roman" w:hAnsi="Times New Roman"/>
          <w:b/>
          <w:bCs/>
          <w:i w:val="false"/>
          <w:iCs w:val="false"/>
          <w:color w:val="000000"/>
          <w:sz w:val="24"/>
          <w:szCs w:val="24"/>
        </w:rPr>
        <w:t xml:space="preserve">Policy Implications</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If the construct is correct, four broad classes of policy intervention follow. They are not speculative; each rests on existing randomized or quasi-experimental evidence.</w:t>
      </w:r>
    </w:p>
    <w:p>
      <w:pPr>
        <w:spacing w:after="0" w:before="0" w:line="480" w:lineRule="auto"/>
        <w:ind w:firstLine="720"/>
      </w:pPr>
      <w:r>
        <w:rPr>
          <w:rFonts w:ascii="Times New Roman" w:cs="Times New Roman" w:eastAsia="Times New Roman" w:hAnsi="Times New Roman"/>
          <w:b/>
          <w:bCs/>
          <w:i/>
          <w:iCs/>
          <w:color w:val="000000"/>
          <w:sz w:val="24"/>
          <w:szCs w:val="24"/>
        </w:rPr>
        <w:t xml:space="preserve">Evidence-based active labor-market policy.</w:t>
      </w:r>
      <w:r>
        <w:rPr>
          <w:rFonts w:ascii="Times New Roman" w:cs="Times New Roman" w:eastAsia="Times New Roman" w:hAnsi="Times New Roman"/>
          <w:b w:val="false"/>
          <w:bCs w:val="false"/>
          <w:i w:val="false"/>
          <w:iCs w:val="false"/>
          <w:color w:val="000000"/>
          <w:sz w:val="24"/>
          <w:szCs w:val="24"/>
        </w:rPr>
        <w:t xml:space="preserve"> The JOBS Program, developed by Caplan, Vinokur, Price, and van Ryn at the University of Michigan (Caplan et al., 1989), is a randomized trial–validated intervention (</w:t>
      </w:r>
      <w:r>
        <w:rPr>
          <w:rFonts w:ascii="Times New Roman" w:cs="Times New Roman" w:eastAsia="Times New Roman" w:hAnsi="Times New Roman"/>
          <w:b w:val="false"/>
          <w:bCs w:val="false"/>
          <w:i/>
          <w:iCs/>
          <w:color w:val="000000"/>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1,801 recent job losers) that pairs job-search skills with mastery and inoculation against setbacks; at two years post-intervention the experimental group showed higher reemployment, higher monthly income, lower depressive symptoms, and lower likelihood of major depressive episode (Vinokur et al., 2000). The program is benefit–cost-positive to participants and to government. Scaling it nationally—and updating its curriculum to include ATS-rejection inoculation and AI-displacement realism—is among the highest-yield interventions identified.</w:t>
      </w:r>
    </w:p>
    <w:p>
      <w:pPr>
        <w:spacing w:after="0" w:before="0" w:line="480" w:lineRule="auto"/>
        <w:ind w:firstLine="720"/>
      </w:pPr>
      <w:r>
        <w:rPr>
          <w:rFonts w:ascii="Times New Roman" w:cs="Times New Roman" w:eastAsia="Times New Roman" w:hAnsi="Times New Roman"/>
          <w:b/>
          <w:bCs/>
          <w:i/>
          <w:iCs/>
          <w:color w:val="000000"/>
          <w:sz w:val="24"/>
          <w:szCs w:val="24"/>
        </w:rPr>
        <w:t xml:space="preserve">Unconditional or conditional cash transfers.</w:t>
      </w:r>
      <w:r>
        <w:rPr>
          <w:rFonts w:ascii="Times New Roman" w:cs="Times New Roman" w:eastAsia="Times New Roman" w:hAnsi="Times New Roman"/>
          <w:b w:val="false"/>
          <w:bCs w:val="false"/>
          <w:i w:val="false"/>
          <w:iCs w:val="false"/>
          <w:color w:val="000000"/>
          <w:sz w:val="24"/>
          <w:szCs w:val="24"/>
        </w:rPr>
        <w:t xml:space="preserve"> The Finnish basic-income experiment (2017–2018, </w:t>
      </w:r>
      <w:r>
        <w:rPr>
          <w:rFonts w:ascii="Times New Roman" w:cs="Times New Roman" w:eastAsia="Times New Roman" w:hAnsi="Times New Roman"/>
          <w:b w:val="false"/>
          <w:bCs w:val="false"/>
          <w:i/>
          <w:iCs/>
          <w:color w:val="000000"/>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2,000 unemployed, €560/month) produced measurable reductions in mental strain, depression, sadness, and loneliness, with modest employment effects (Verho et al., 2025). The Verho et al. (2025) register analysis found an 8–11% reduction in psychotropic drug use. Importantly, a 2025 re-analysis found that </w:t>
      </w:r>
      <w:r>
        <w:rPr>
          <w:rFonts w:ascii="Times New Roman" w:cs="Times New Roman" w:eastAsia="Times New Roman" w:hAnsi="Times New Roman"/>
          <w:b w:val="false"/>
          <w:bCs w:val="false"/>
          <w:i/>
          <w:iCs/>
          <w:color w:val="000000"/>
          <w:sz w:val="24"/>
          <w:szCs w:val="24"/>
        </w:rPr>
        <w:t xml:space="preserve">unconditionality itself</w:t>
      </w:r>
      <w:r>
        <w:rPr>
          <w:rFonts w:ascii="Times New Roman" w:cs="Times New Roman" w:eastAsia="Times New Roman" w:hAnsi="Times New Roman"/>
          <w:b w:val="false"/>
          <w:bCs w:val="false"/>
          <w:i w:val="false"/>
          <w:iCs w:val="false"/>
          <w:color w:val="000000"/>
          <w:sz w:val="24"/>
          <w:szCs w:val="24"/>
        </w:rPr>
        <w:t xml:space="preserve"> explained a substantial portion of the mental-health benefit: 24% of the conditional-benefits comparison group had poor mental health versus 16% of the unconditional basic-income group, a 33% relative reduction independent of total benefit amount. Wilson and McDaid (2021) document consistent mental-wellbeing improvements across UBI pilots.</w:t>
      </w:r>
    </w:p>
    <w:p>
      <w:pPr>
        <w:spacing w:after="0" w:before="0" w:line="480" w:lineRule="auto"/>
        <w:ind w:firstLine="720"/>
      </w:pPr>
      <w:r>
        <w:rPr>
          <w:rFonts w:ascii="Times New Roman" w:cs="Times New Roman" w:eastAsia="Times New Roman" w:hAnsi="Times New Roman"/>
          <w:b/>
          <w:bCs/>
          <w:i/>
          <w:iCs/>
          <w:color w:val="000000"/>
          <w:sz w:val="24"/>
          <w:szCs w:val="24"/>
        </w:rPr>
        <w:t xml:space="preserve">Regulation of the hiring-process structure.</w:t>
      </w:r>
      <w:r>
        <w:rPr>
          <w:rFonts w:ascii="Times New Roman" w:cs="Times New Roman" w:eastAsia="Times New Roman" w:hAnsi="Times New Roman"/>
          <w:b w:val="false"/>
          <w:bCs w:val="false"/>
          <w:i w:val="false"/>
          <w:iCs w:val="false"/>
          <w:color w:val="000000"/>
          <w:sz w:val="24"/>
          <w:szCs w:val="24"/>
        </w:rPr>
        <w:t xml:space="preserve"> California’s March 2025 law requiring private employers to disclose whether postings are for actual vacancies (Greenhouse, 2024); Ontario’s 2026 legislation requiring timely candidacy-status communication; the proposed federal Truth in Job Advertising and Accountability Act; and the Federal Trade Commission’s February 2025 Joint Labor Task Force prioritization of deceptive job advertising together constitute a nascent regulatory architecture for ghost-job constraint. Algorithmic transparency in applicant tracking systems remains a regulatory gap. Right-to-disconnect laws—France 2017 (Article L.2242-17), Australia (Section 333M Fair Work Act 2024), Spain, Italy, Portugal, Luxembourg, and the European Parliament’s January 2021 resolution (Lerouge &amp; Trujillo Pons, 2022)—represent a parallel architecture for after-hours work-communication exposure.</w:t>
      </w:r>
    </w:p>
    <w:p>
      <w:pPr>
        <w:spacing w:after="0" w:before="0" w:line="480" w:lineRule="auto"/>
        <w:ind w:firstLine="720"/>
      </w:pPr>
      <w:r>
        <w:rPr>
          <w:rFonts w:ascii="Times New Roman" w:cs="Times New Roman" w:eastAsia="Times New Roman" w:hAnsi="Times New Roman"/>
          <w:b/>
          <w:bCs/>
          <w:i/>
          <w:iCs/>
          <w:color w:val="000000"/>
          <w:sz w:val="24"/>
          <w:szCs w:val="24"/>
        </w:rPr>
        <w:t xml:space="preserve">Mental-health parity enforcement and ancillary levers.</w:t>
      </w:r>
      <w:r>
        <w:rPr>
          <w:rFonts w:ascii="Times New Roman" w:cs="Times New Roman" w:eastAsia="Times New Roman" w:hAnsi="Times New Roman"/>
          <w:b w:val="false"/>
          <w:bCs w:val="false"/>
          <w:i w:val="false"/>
          <w:iCs w:val="false"/>
          <w:color w:val="000000"/>
          <w:sz w:val="24"/>
          <w:szCs w:val="24"/>
        </w:rPr>
        <w:t xml:space="preserve"> The U.S. Mental Health Parity and Addiction Equity Act framework, ERISA enforcement, minimum-wage and EITC expansion (both empirically associated with reduced deaths of despair; Dow et al., 2020), unionization and collective bargaining strengthening, and platform-worker employee-status reclassification each address one or more pathways from labor-market structure to mental-health outcome.</w:t>
      </w:r>
    </w:p>
    <w:p>
      <w:pPr>
        <w:spacing w:after="0" w:before="0" w:line="480" w:lineRule="auto"/>
      </w:pPr>
      <w:r>
        <w:rPr>
          <w:rFonts w:ascii="Times New Roman" w:cs="Times New Roman" w:eastAsia="Times New Roman" w:hAnsi="Times New Roman"/>
          <w:b/>
          <w:bCs/>
          <w:i w:val="false"/>
          <w:iCs w:val="false"/>
          <w:color w:val="000000"/>
          <w:sz w:val="24"/>
          <w:szCs w:val="24"/>
        </w:rPr>
        <w:t xml:space="preserve">Limitations</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Five limitations bound the argument. </w:t>
      </w:r>
      <w:r>
        <w:rPr>
          <w:rFonts w:ascii="Times New Roman" w:cs="Times New Roman" w:eastAsia="Times New Roman" w:hAnsi="Times New Roman"/>
          <w:b w:val="false"/>
          <w:bCs w:val="false"/>
          <w:i/>
          <w:iCs/>
          <w:color w:val="000000"/>
          <w:sz w:val="24"/>
          <w:szCs w:val="24"/>
        </w:rPr>
        <w:t xml:space="preserve">First</w:t>
      </w:r>
      <w:r>
        <w:rPr>
          <w:rFonts w:ascii="Times New Roman" w:cs="Times New Roman" w:eastAsia="Times New Roman" w:hAnsi="Times New Roman"/>
          <w:b w:val="false"/>
          <w:bCs w:val="false"/>
          <w:i w:val="false"/>
          <w:iCs w:val="false"/>
          <w:color w:val="000000"/>
          <w:sz w:val="24"/>
          <w:szCs w:val="24"/>
        </w:rPr>
        <w:t xml:space="preserve">, the scoping nature of our evidence synthesis does not constitute a formal systematic review with paired screening and risk-of-bias assessment; some included sources are grey literature with non-probability sampling (notably the ghost-job audit data, which depend on industry-platform reporting). </w:t>
      </w:r>
      <w:r>
        <w:rPr>
          <w:rFonts w:ascii="Times New Roman" w:cs="Times New Roman" w:eastAsia="Times New Roman" w:hAnsi="Times New Roman"/>
          <w:b w:val="false"/>
          <w:bCs w:val="false"/>
          <w:i/>
          <w:iCs/>
          <w:color w:val="000000"/>
          <w:sz w:val="24"/>
          <w:szCs w:val="24"/>
        </w:rPr>
        <w:t xml:space="preserve">Second</w:t>
      </w:r>
      <w:r>
        <w:rPr>
          <w:rFonts w:ascii="Times New Roman" w:cs="Times New Roman" w:eastAsia="Times New Roman" w:hAnsi="Times New Roman"/>
          <w:b w:val="false"/>
          <w:bCs w:val="false"/>
          <w:i w:val="false"/>
          <w:iCs w:val="false"/>
          <w:color w:val="000000"/>
          <w:sz w:val="24"/>
          <w:szCs w:val="24"/>
        </w:rPr>
        <w:t xml:space="preserve">, the causal direction between labor-market exposure and population mental health is not fully unidirectional; selection effects are non-zero (Paul and Moser, 2009, estimate them as small but present; see also Picchio &amp; Ubaldi, 2022). </w:t>
      </w:r>
      <w:r>
        <w:rPr>
          <w:rFonts w:ascii="Times New Roman" w:cs="Times New Roman" w:eastAsia="Times New Roman" w:hAnsi="Times New Roman"/>
          <w:b w:val="false"/>
          <w:bCs w:val="false"/>
          <w:i/>
          <w:iCs/>
          <w:color w:val="000000"/>
          <w:sz w:val="24"/>
          <w:szCs w:val="24"/>
        </w:rPr>
        <w:t xml:space="preserve">Third</w:t>
      </w:r>
      <w:r>
        <w:rPr>
          <w:rFonts w:ascii="Times New Roman" w:cs="Times New Roman" w:eastAsia="Times New Roman" w:hAnsi="Times New Roman"/>
          <w:b w:val="false"/>
          <w:bCs w:val="false"/>
          <w:i w:val="false"/>
          <w:iCs w:val="false"/>
          <w:color w:val="000000"/>
          <w:sz w:val="24"/>
          <w:szCs w:val="24"/>
        </w:rPr>
        <w:t xml:space="preserve">, the construct as defined assumes the post-2021 divergence reflects a structural shift rather than a transient post-pandemic adjustment that will normalize; longer follow-up is required to distinguish these. </w:t>
      </w:r>
      <w:r>
        <w:rPr>
          <w:rFonts w:ascii="Times New Roman" w:cs="Times New Roman" w:eastAsia="Times New Roman" w:hAnsi="Times New Roman"/>
          <w:b w:val="false"/>
          <w:bCs w:val="false"/>
          <w:i/>
          <w:iCs/>
          <w:color w:val="000000"/>
          <w:sz w:val="24"/>
          <w:szCs w:val="24"/>
        </w:rPr>
        <w:t xml:space="preserve">Fourth</w:t>
      </w:r>
      <w:r>
        <w:rPr>
          <w:rFonts w:ascii="Times New Roman" w:cs="Times New Roman" w:eastAsia="Times New Roman" w:hAnsi="Times New Roman"/>
          <w:b w:val="false"/>
          <w:bCs w:val="false"/>
          <w:i w:val="false"/>
          <w:iCs w:val="false"/>
          <w:color w:val="000000"/>
          <w:sz w:val="24"/>
          <w:szCs w:val="24"/>
        </w:rPr>
        <w:t xml:space="preserve">, the LMDI is a proposed instrument; the Hiring-Process Distress subscale is novel and requires the full validation pipeline before deployment. </w:t>
      </w:r>
      <w:r>
        <w:rPr>
          <w:rFonts w:ascii="Times New Roman" w:cs="Times New Roman" w:eastAsia="Times New Roman" w:hAnsi="Times New Roman"/>
          <w:b w:val="false"/>
          <w:bCs w:val="false"/>
          <w:i/>
          <w:iCs/>
          <w:color w:val="000000"/>
          <w:sz w:val="24"/>
          <w:szCs w:val="24"/>
        </w:rPr>
        <w:t xml:space="preserve">Fifth</w:t>
      </w:r>
      <w:r>
        <w:rPr>
          <w:rFonts w:ascii="Times New Roman" w:cs="Times New Roman" w:eastAsia="Times New Roman" w:hAnsi="Times New Roman"/>
          <w:b w:val="false"/>
          <w:bCs w:val="false"/>
          <w:i w:val="false"/>
          <w:iCs w:val="false"/>
          <w:color w:val="000000"/>
          <w:sz w:val="24"/>
          <w:szCs w:val="24"/>
        </w:rPr>
        <w:t xml:space="preserve">, our evidence base is heavily U.S.-centric, with selected international comparisons; cross-national replication is required to establish the construct’s external validity in labor markets with different welfare and hiring regimes.</w:t>
      </w:r>
    </w:p>
    <w:p>
      <w:pPr>
        <w:spacing w:after="0" w:before="0" w:line="480" w:lineRule="auto"/>
      </w:pPr>
      <w:r>
        <w:rPr>
          <w:rFonts w:ascii="Times New Roman" w:cs="Times New Roman" w:eastAsia="Times New Roman" w:hAnsi="Times New Roman"/>
          <w:b/>
          <w:bCs/>
          <w:i w:val="false"/>
          <w:iCs w:val="false"/>
          <w:color w:val="000000"/>
          <w:sz w:val="24"/>
          <w:szCs w:val="24"/>
        </w:rPr>
        <w:t xml:space="preserve">Research Agenda</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Seven research priorities follow. (a) Develop and validate the LMDI per the protocol described in the Method section. (b) Embed the LMDI in PSID, NHIS, and CPS supplements; internationally in SHARE, ELSA, HILDA, and German PASS. (c) Establish a routinely updated PRI as a public dashboard. (d) Use right-to-disconnect adoption, ghost-job-disclosure legislation, and unconditional cash transfer pilots as natural experiments testing PRI sensitivity. (e) Apply Acemoglu–Restrepo task-displacement instrumental-variable identification (Acemoglu &amp; Restrepo, 2019, 2022) to AI-rollout natural experiments with mental-health rather than wage outcomes. (f) Extend the JOBS Program with ghost-job and ATS-rejection inoculation modules in a multi-site randomized controlled trial. (g) Conduct international comparisons leveraging the Lancet Commission on Global Mental Health (Patel et al., 2018) infrastructure. Together these priorities define the minimal program required to move the construct from proposal to operational public-health instrument.</w:t>
      </w:r>
    </w:p>
    <w:p>
      <w:pPr>
        <w:spacing w:after="0" w:before="0" w:line="480" w:lineRule="auto"/>
      </w:pPr>
      <w:r>
        <w:rPr>
          <w:rFonts w:ascii="Times New Roman" w:cs="Times New Roman" w:eastAsia="Times New Roman" w:hAnsi="Times New Roman"/>
          <w:b/>
          <w:bCs/>
          <w:i w:val="false"/>
          <w:iCs w:val="false"/>
          <w:color w:val="000000"/>
          <w:sz w:val="24"/>
          <w:szCs w:val="24"/>
        </w:rPr>
        <w:t xml:space="preserve">Conclusion</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Recessions get measured because they are named. The Business Cycle Dating Committee of the National Bureau of Economic Research convenes; data are reviewed; a verdict is issued; policy follows. There is no equivalent infrastructure for the form of population suffering documented in this paper because the form of suffering has no name in the language that policy understands. What we have called the December 2025 paradox is not a paradox. It is the predictable result of running a 21st-century labor market through a 20th-century measurement system. The macroeconomic indicators are doing what they were built to do; they are not doing what we now need them to do.</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This paper proposes that the labor market be added to the list of fundamental causes of psychiatric exposure that public health is responsible for measuring and reducing. It proposes a name for the form of suffering that exposure produces — </w:t>
      </w:r>
      <w:r>
        <w:rPr>
          <w:rFonts w:ascii="Times New Roman" w:cs="Times New Roman" w:eastAsia="Times New Roman" w:hAnsi="Times New Roman"/>
          <w:b w:val="false"/>
          <w:bCs w:val="false"/>
          <w:i/>
          <w:iCs/>
          <w:color w:val="000000"/>
          <w:sz w:val="24"/>
          <w:szCs w:val="24"/>
        </w:rPr>
        <w:t xml:space="preserve">psychological recession</w:t>
      </w:r>
      <w:r>
        <w:rPr>
          <w:rFonts w:ascii="Times New Roman" w:cs="Times New Roman" w:eastAsia="Times New Roman" w:hAnsi="Times New Roman"/>
          <w:b w:val="false"/>
          <w:bCs w:val="false"/>
          <w:i w:val="false"/>
          <w:iCs w:val="false"/>
          <w:color w:val="000000"/>
          <w:sz w:val="24"/>
          <w:szCs w:val="24"/>
        </w:rPr>
        <w:t xml:space="preserve"> — and the two instruments necessary to detect it. Neither the name nor the instruments are sufficient. Naming a harm is the precondition for being able to do anything about it; measuring a harm is the precondition for being able to know whether anything we do works. We are arguing for the conditions under which the question can be asked, not claiming to have answered it.</w:t>
      </w:r>
    </w:p>
    <w:p>
      <w:pPr>
        <w:spacing w:after="0" w:before="0" w:line="480" w:lineRule="auto"/>
        <w:ind w:firstLine="720"/>
      </w:pPr>
      <w:r>
        <w:rPr>
          <w:rFonts w:ascii="Times New Roman" w:cs="Times New Roman" w:eastAsia="Times New Roman" w:hAnsi="Times New Roman"/>
          <w:b w:val="false"/>
          <w:bCs w:val="false"/>
          <w:i w:val="false"/>
          <w:iCs w:val="false"/>
          <w:color w:val="000000"/>
          <w:sz w:val="24"/>
          <w:szCs w:val="24"/>
        </w:rPr>
        <w:t xml:space="preserve">The conservative position is that the post-2021 divergence between macro and population indicators is transient: that the labor market will normalize; that the validated psychiatric instruments are picking up noise the macroeconomic indicators correctly filter out. We do not hold this position, but it is testable. If we are wrong, the PRI will track the macroeconomic indicators within sampling error within five years and the LMDI will fail to predict downstream psychiatric outcomes in panel studies. If we are right, the PRI will diverge further, the LMDI will be ratified as a clinical instrument, and the cohort entering the labor market in 2023–2026 will carry the cumulative exposure of their entry conditions into their forties and fifties. The cost of being wrong is a measurement infrastructure no one needed. The cost of being right and not measuring is borne by the people we did not see.</w:t>
      </w:r>
    </w:p>
    <w:p>
      <w:pPr>
        <w:spacing w:after="0" w:before="0" w:line="480" w:lineRule="auto"/>
        <w:jc w:val="center"/>
      </w:pPr>
      <w:r>
        <w:rPr>
          <w:rFonts w:ascii="Times New Roman" w:cs="Times New Roman" w:eastAsia="Times New Roman" w:hAnsi="Times New Roman"/>
          <w:b/>
          <w:bCs/>
          <w:i w:val="false"/>
          <w:iCs w:val="false"/>
          <w:color w:val="000000"/>
          <w:sz w:val="24"/>
          <w:szCs w:val="24"/>
        </w:rPr>
        <w:t xml:space="preserve">Contributors</w:t>
      </w:r>
    </w:p>
    <w:p>
      <w:pPr>
        <w:spacing w:after="0" w:before="0" w:line="480" w:lineRule="auto"/>
      </w:pPr>
      <w:r>
        <w:rPr>
          <w:rFonts w:ascii="Times New Roman" w:cs="Times New Roman" w:eastAsia="Times New Roman" w:hAnsi="Times New Roman"/>
          <w:b w:val="false"/>
          <w:bCs w:val="false"/>
          <w:i w:val="false"/>
          <w:iCs w:val="false"/>
          <w:color w:val="000000"/>
          <w:sz w:val="24"/>
          <w:szCs w:val="24"/>
        </w:rPr>
        <w:t xml:space="preserve">J.E.T. conceived the construct, conducted the scoping synthesis, and drafted the manuscript. [Co-author] contributed psychiatric-epidemiological framing, instrument selection, and validation-protocol design. Both authors reviewed and approved the final version.</w:t>
      </w:r>
    </w:p>
    <w:p>
      <w:pPr>
        <w:spacing w:after="0" w:before="0" w:line="480" w:lineRule="auto"/>
        <w:jc w:val="center"/>
      </w:pPr>
      <w:r>
        <w:rPr>
          <w:rFonts w:ascii="Times New Roman" w:cs="Times New Roman" w:eastAsia="Times New Roman" w:hAnsi="Times New Roman"/>
          <w:b/>
          <w:bCs/>
          <w:i w:val="false"/>
          <w:iCs w:val="false"/>
          <w:color w:val="000000"/>
          <w:sz w:val="24"/>
          <w:szCs w:val="24"/>
        </w:rPr>
        <w:t xml:space="preserve">Declaration of Interests</w:t>
      </w:r>
    </w:p>
    <w:p>
      <w:pPr>
        <w:spacing w:after="0" w:before="0" w:line="480" w:lineRule="auto"/>
      </w:pPr>
      <w:r>
        <w:rPr>
          <w:rFonts w:ascii="Times New Roman" w:cs="Times New Roman" w:eastAsia="Times New Roman" w:hAnsi="Times New Roman"/>
          <w:b w:val="false"/>
          <w:bCs w:val="false"/>
          <w:i w:val="false"/>
          <w:iCs w:val="false"/>
          <w:color w:val="000000"/>
          <w:sz w:val="24"/>
          <w:szCs w:val="24"/>
        </w:rPr>
        <w:t xml:space="preserve">J.E.T. is Principal Investigator and Data Scientist at Results Generation, a recruitment-marketing firm; the views expressed are his own and do not represent the firm. [Co-author declarations.] No external funding supported this work.</w:t>
      </w:r>
    </w:p>
    <w:p>
      <w:pPr>
        <w:spacing w:after="0" w:before="0" w:line="480" w:lineRule="auto"/>
        <w:jc w:val="center"/>
      </w:pPr>
      <w:r>
        <w:rPr>
          <w:rFonts w:ascii="Times New Roman" w:cs="Times New Roman" w:eastAsia="Times New Roman" w:hAnsi="Times New Roman"/>
          <w:b/>
          <w:bCs/>
          <w:i w:val="false"/>
          <w:iCs w:val="false"/>
          <w:color w:val="000000"/>
          <w:sz w:val="24"/>
          <w:szCs w:val="24"/>
        </w:rPr>
        <w:t xml:space="preserve">Data Availability</w:t>
      </w:r>
    </w:p>
    <w:p>
      <w:pPr>
        <w:spacing w:after="0" w:before="0" w:line="480" w:lineRule="auto"/>
      </w:pPr>
      <w:r>
        <w:rPr>
          <w:rFonts w:ascii="Times New Roman" w:cs="Times New Roman" w:eastAsia="Times New Roman" w:hAnsi="Times New Roman"/>
          <w:b w:val="false"/>
          <w:bCs w:val="false"/>
          <w:i w:val="false"/>
          <w:iCs w:val="false"/>
          <w:color w:val="000000"/>
          <w:sz w:val="24"/>
          <w:szCs w:val="24"/>
        </w:rPr>
        <w:t xml:space="preserve">This is a scoping synthesis; no primary data were generated. All cited sources are publicly accessible; URLs and DOIs are provided in the reference list where available.</w:t>
      </w:r>
    </w:p>
    <w:p>
      <w:pPr>
        <w:spacing w:after="0" w:before="0" w:line="480" w:lineRule="auto"/>
        <w:jc w:val="center"/>
      </w:pPr>
      <w:r>
        <w:br w:type="page"/>
      </w:r>
      <w:r>
        <w:rPr>
          <w:rFonts w:ascii="Times New Roman" w:cs="Times New Roman" w:eastAsia="Times New Roman" w:hAnsi="Times New Roman"/>
          <w:b/>
          <w:bCs/>
          <w:i w:val="false"/>
          <w:iCs w:val="false"/>
          <w:color w:val="000000"/>
          <w:sz w:val="24"/>
          <w:szCs w:val="24"/>
        </w:rPr>
        <w:t xml:space="preserve">References</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Acemoglu, D., &amp; Restrepo, P. (2019). Automation and new tasks: How technology displaces and reinstates labor. </w:t>
      </w:r>
      <w:r>
        <w:rPr>
          <w:rFonts w:ascii="Times New Roman" w:cs="Times New Roman" w:eastAsia="Times New Roman" w:hAnsi="Times New Roman"/>
          <w:b w:val="false"/>
          <w:bCs w:val="false"/>
          <w:i/>
          <w:iCs/>
          <w:color w:val="000000"/>
          <w:sz w:val="24"/>
          <w:szCs w:val="24"/>
        </w:rPr>
        <w:t xml:space="preserve">Journal of Economic Perspectives, 33</w:t>
      </w:r>
      <w:r>
        <w:rPr>
          <w:rFonts w:ascii="Times New Roman" w:cs="Times New Roman" w:eastAsia="Times New Roman" w:hAnsi="Times New Roman"/>
          <w:b w:val="false"/>
          <w:bCs w:val="false"/>
          <w:i w:val="false"/>
          <w:iCs w:val="false"/>
          <w:color w:val="000000"/>
          <w:sz w:val="24"/>
          <w:szCs w:val="24"/>
        </w:rPr>
        <w:t xml:space="preserve">(2), 3–30. https://doi.org/10.1257/jep.33.2.3</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Acemoglu, D., &amp; Restrepo, P. (2022). Tasks, automation, and the rise in U.S. wage inequality. </w:t>
      </w:r>
      <w:r>
        <w:rPr>
          <w:rFonts w:ascii="Times New Roman" w:cs="Times New Roman" w:eastAsia="Times New Roman" w:hAnsi="Times New Roman"/>
          <w:b w:val="false"/>
          <w:bCs w:val="false"/>
          <w:i/>
          <w:iCs/>
          <w:color w:val="000000"/>
          <w:sz w:val="24"/>
          <w:szCs w:val="24"/>
        </w:rPr>
        <w:t xml:space="preserve">Econometrica, 90</w:t>
      </w:r>
      <w:r>
        <w:rPr>
          <w:rFonts w:ascii="Times New Roman" w:cs="Times New Roman" w:eastAsia="Times New Roman" w:hAnsi="Times New Roman"/>
          <w:b w:val="false"/>
          <w:bCs w:val="false"/>
          <w:i w:val="false"/>
          <w:iCs w:val="false"/>
          <w:color w:val="000000"/>
          <w:sz w:val="24"/>
          <w:szCs w:val="24"/>
        </w:rPr>
        <w:t xml:space="preserve">(5), 1973–2016. https://doi.org/10.3982/ECTA19815</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Acemoglu, D., &amp; Restrepo, P. (2025). </w:t>
      </w:r>
      <w:r>
        <w:rPr>
          <w:rFonts w:ascii="Times New Roman" w:cs="Times New Roman" w:eastAsia="Times New Roman" w:hAnsi="Times New Roman"/>
          <w:b w:val="false"/>
          <w:bCs w:val="false"/>
          <w:i/>
          <w:iCs/>
          <w:color w:val="000000"/>
          <w:sz w:val="24"/>
          <w:szCs w:val="24"/>
        </w:rPr>
        <w:t xml:space="preserve">Automation and rent dissipation</w:t>
      </w:r>
      <w:r>
        <w:rPr>
          <w:rFonts w:ascii="Times New Roman" w:cs="Times New Roman" w:eastAsia="Times New Roman" w:hAnsi="Times New Roman"/>
          <w:b w:val="false"/>
          <w:bCs w:val="false"/>
          <w:i w:val="false"/>
          <w:iCs w:val="false"/>
          <w:color w:val="000000"/>
          <w:sz w:val="24"/>
          <w:szCs w:val="24"/>
        </w:rPr>
        <w:t xml:space="preserve"> [Working paper].</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Alon, T., Coskun, S., Doepke, M., Koll, D., &amp; Tertilt, M. (2021). From mancession to shecession: Women’s employment in regular and pandemic recessions. </w:t>
      </w:r>
      <w:r>
        <w:rPr>
          <w:rFonts w:ascii="Times New Roman" w:cs="Times New Roman" w:eastAsia="Times New Roman" w:hAnsi="Times New Roman"/>
          <w:b w:val="false"/>
          <w:bCs w:val="false"/>
          <w:i/>
          <w:iCs/>
          <w:color w:val="000000"/>
          <w:sz w:val="24"/>
          <w:szCs w:val="24"/>
        </w:rPr>
        <w:t xml:space="preserve">NBER Macroeconomics Annual, 36</w:t>
      </w:r>
      <w:r>
        <w:rPr>
          <w:rFonts w:ascii="Times New Roman" w:cs="Times New Roman" w:eastAsia="Times New Roman" w:hAnsi="Times New Roman"/>
          <w:b w:val="false"/>
          <w:bCs w:val="false"/>
          <w:i w:val="false"/>
          <w:iCs w:val="false"/>
          <w:color w:val="000000"/>
          <w:sz w:val="24"/>
          <w:szCs w:val="24"/>
        </w:rPr>
        <w:t xml:space="preserve">, 83–151. https://doi.org/10.1086/718660</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Arulampalam, W. (2001). Is unemployment really scarring? Effects of unemployment experiences on wages. </w:t>
      </w:r>
      <w:r>
        <w:rPr>
          <w:rFonts w:ascii="Times New Roman" w:cs="Times New Roman" w:eastAsia="Times New Roman" w:hAnsi="Times New Roman"/>
          <w:b w:val="false"/>
          <w:bCs w:val="false"/>
          <w:i/>
          <w:iCs/>
          <w:color w:val="000000"/>
          <w:sz w:val="24"/>
          <w:szCs w:val="24"/>
        </w:rPr>
        <w:t xml:space="preserve">The Economic Journal, 111</w:t>
      </w:r>
      <w:r>
        <w:rPr>
          <w:rFonts w:ascii="Times New Roman" w:cs="Times New Roman" w:eastAsia="Times New Roman" w:hAnsi="Times New Roman"/>
          <w:b w:val="false"/>
          <w:bCs w:val="false"/>
          <w:i w:val="false"/>
          <w:iCs w:val="false"/>
          <w:color w:val="000000"/>
          <w:sz w:val="24"/>
          <w:szCs w:val="24"/>
        </w:rPr>
        <w:t xml:space="preserve">(475), F585–F606. https://doi.org/10.1111/1468-0297.00664</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Bernstein, J., &amp; Posthumus, D. (2025). </w:t>
      </w:r>
      <w:r>
        <w:rPr>
          <w:rFonts w:ascii="Times New Roman" w:cs="Times New Roman" w:eastAsia="Times New Roman" w:hAnsi="Times New Roman"/>
          <w:b w:val="false"/>
          <w:bCs w:val="false"/>
          <w:i/>
          <w:iCs/>
          <w:color w:val="000000"/>
          <w:sz w:val="24"/>
          <w:szCs w:val="24"/>
        </w:rPr>
        <w:t xml:space="preserve">Re-examining the sentiment–fundamentals divergence</w:t>
      </w:r>
      <w:r>
        <w:rPr>
          <w:rFonts w:ascii="Times New Roman" w:cs="Times New Roman" w:eastAsia="Times New Roman" w:hAnsi="Times New Roman"/>
          <w:b w:val="false"/>
          <w:bCs w:val="false"/>
          <w:i w:val="false"/>
          <w:iCs w:val="false"/>
          <w:color w:val="000000"/>
          <w:sz w:val="24"/>
          <w:szCs w:val="24"/>
        </w:rPr>
        <w:t xml:space="preserve"> [Working paper].</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Bureau of Labor Statistics. (2026a). </w:t>
      </w:r>
      <w:r>
        <w:rPr>
          <w:rFonts w:ascii="Times New Roman" w:cs="Times New Roman" w:eastAsia="Times New Roman" w:hAnsi="Times New Roman"/>
          <w:b w:val="false"/>
          <w:bCs w:val="false"/>
          <w:i/>
          <w:iCs/>
          <w:color w:val="000000"/>
          <w:sz w:val="24"/>
          <w:szCs w:val="24"/>
        </w:rPr>
        <w:t xml:space="preserve">The Employment Situation, December 2025</w:t>
      </w:r>
      <w:r>
        <w:rPr>
          <w:rFonts w:ascii="Times New Roman" w:cs="Times New Roman" w:eastAsia="Times New Roman" w:hAnsi="Times New Roman"/>
          <w:b w:val="false"/>
          <w:bCs w:val="false"/>
          <w:i w:val="false"/>
          <w:iCs w:val="false"/>
          <w:color w:val="000000"/>
          <w:sz w:val="24"/>
          <w:szCs w:val="24"/>
        </w:rPr>
        <w:t xml:space="preserve">. U.S. Department of Labor.</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Bureau of Labor Statistics. (2026b). </w:t>
      </w:r>
      <w:r>
        <w:rPr>
          <w:rFonts w:ascii="Times New Roman" w:cs="Times New Roman" w:eastAsia="Times New Roman" w:hAnsi="Times New Roman"/>
          <w:b w:val="false"/>
          <w:bCs w:val="false"/>
          <w:i/>
          <w:iCs/>
          <w:color w:val="000000"/>
          <w:sz w:val="24"/>
          <w:szCs w:val="24"/>
        </w:rPr>
        <w:t xml:space="preserve">Job Openings and Labor Turnover Survey (JOLTS), February 2026 release</w:t>
      </w:r>
      <w:r>
        <w:rPr>
          <w:rFonts w:ascii="Times New Roman" w:cs="Times New Roman" w:eastAsia="Times New Roman" w:hAnsi="Times New Roman"/>
          <w:b w:val="false"/>
          <w:bCs w:val="false"/>
          <w:i w:val="false"/>
          <w:iCs w:val="false"/>
          <w:color w:val="000000"/>
          <w:sz w:val="24"/>
          <w:szCs w:val="24"/>
        </w:rPr>
        <w:t xml:space="preserve">. U.S. Department of Labor. https://www.bls.gov/news.release/jolts.htm</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Caplan, R. D., Vinokur, A. D., Price, R. H., &amp; van Ryn, M. (1989). Job seeking, reemployment, and mental health: A randomized field experiment in coping with job loss. </w:t>
      </w:r>
      <w:r>
        <w:rPr>
          <w:rFonts w:ascii="Times New Roman" w:cs="Times New Roman" w:eastAsia="Times New Roman" w:hAnsi="Times New Roman"/>
          <w:b w:val="false"/>
          <w:bCs w:val="false"/>
          <w:i/>
          <w:iCs/>
          <w:color w:val="000000"/>
          <w:sz w:val="24"/>
          <w:szCs w:val="24"/>
        </w:rPr>
        <w:t xml:space="preserve">Journal of Applied Psychology, 74</w:t>
      </w:r>
      <w:r>
        <w:rPr>
          <w:rFonts w:ascii="Times New Roman" w:cs="Times New Roman" w:eastAsia="Times New Roman" w:hAnsi="Times New Roman"/>
          <w:b w:val="false"/>
          <w:bCs w:val="false"/>
          <w:i w:val="false"/>
          <w:iCs w:val="false"/>
          <w:color w:val="000000"/>
          <w:sz w:val="24"/>
          <w:szCs w:val="24"/>
        </w:rPr>
        <w:t xml:space="preserve">(5), 759–769. https://doi.org/10.1037/0021-9010.74.5.759</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Carnegie Endowment for International Peace, Carnegie California. (2025). </w:t>
      </w:r>
      <w:r>
        <w:rPr>
          <w:rFonts w:ascii="Times New Roman" w:cs="Times New Roman" w:eastAsia="Times New Roman" w:hAnsi="Times New Roman"/>
          <w:b w:val="false"/>
          <w:bCs w:val="false"/>
          <w:i/>
          <w:iCs/>
          <w:color w:val="000000"/>
          <w:sz w:val="24"/>
          <w:szCs w:val="24"/>
        </w:rPr>
        <w:t xml:space="preserve">2025 California AI Survey</w:t>
      </w:r>
      <w:r>
        <w:rPr>
          <w:rFonts w:ascii="Times New Roman" w:cs="Times New Roman" w:eastAsia="Times New Roman" w:hAnsi="Times New Roman"/>
          <w:b w:val="false"/>
          <w:bCs w:val="false"/>
          <w:i w:val="false"/>
          <w:iCs w:val="false"/>
          <w:color w:val="000000"/>
          <w:sz w:val="24"/>
          <w:szCs w:val="24"/>
        </w:rPr>
        <w:t xml:space="preserve">. https://carnegieendowment.org/research/2025/10/carnegie-california-ai-survey</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Case, A., &amp; Deaton, A. (2015). Rising morbidity and mortality in midlife among White non-Hispanic Americans in the 21st century. </w:t>
      </w:r>
      <w:r>
        <w:rPr>
          <w:rFonts w:ascii="Times New Roman" w:cs="Times New Roman" w:eastAsia="Times New Roman" w:hAnsi="Times New Roman"/>
          <w:b w:val="false"/>
          <w:bCs w:val="false"/>
          <w:i/>
          <w:iCs/>
          <w:color w:val="000000"/>
          <w:sz w:val="24"/>
          <w:szCs w:val="24"/>
        </w:rPr>
        <w:t xml:space="preserve">Proceedings of the National Academy of Sciences of the United States of America, 112</w:t>
      </w:r>
      <w:r>
        <w:rPr>
          <w:rFonts w:ascii="Times New Roman" w:cs="Times New Roman" w:eastAsia="Times New Roman" w:hAnsi="Times New Roman"/>
          <w:b w:val="false"/>
          <w:bCs w:val="false"/>
          <w:i w:val="false"/>
          <w:iCs w:val="false"/>
          <w:color w:val="000000"/>
          <w:sz w:val="24"/>
          <w:szCs w:val="24"/>
        </w:rPr>
        <w:t xml:space="preserve">(49), 15078–15083. https://doi.org/10.1073/pnas.1518393112</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Case, A., &amp; Deaton, A. (2020). </w:t>
      </w:r>
      <w:r>
        <w:rPr>
          <w:rFonts w:ascii="Times New Roman" w:cs="Times New Roman" w:eastAsia="Times New Roman" w:hAnsi="Times New Roman"/>
          <w:b w:val="false"/>
          <w:bCs w:val="false"/>
          <w:i/>
          <w:iCs/>
          <w:color w:val="000000"/>
          <w:sz w:val="24"/>
          <w:szCs w:val="24"/>
        </w:rPr>
        <w:t xml:space="preserve">Deaths of despair and the future of capitalism</w:t>
      </w:r>
      <w:r>
        <w:rPr>
          <w:rFonts w:ascii="Times New Roman" w:cs="Times New Roman" w:eastAsia="Times New Roman" w:hAnsi="Times New Roman"/>
          <w:b w:val="false"/>
          <w:bCs w:val="false"/>
          <w:i w:val="false"/>
          <w:iCs w:val="false"/>
          <w:color w:val="000000"/>
          <w:sz w:val="24"/>
          <w:szCs w:val="24"/>
        </w:rPr>
        <w:t xml:space="preserve">. Princeton University Press.</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Conference Board. (2025). </w:t>
      </w:r>
      <w:r>
        <w:rPr>
          <w:rFonts w:ascii="Times New Roman" w:cs="Times New Roman" w:eastAsia="Times New Roman" w:hAnsi="Times New Roman"/>
          <w:b w:val="false"/>
          <w:bCs w:val="false"/>
          <w:i/>
          <w:iCs/>
          <w:color w:val="000000"/>
          <w:sz w:val="24"/>
          <w:szCs w:val="24"/>
        </w:rPr>
        <w:t xml:space="preserve">Consumer Confidence Index, December 2025 release</w:t>
      </w:r>
      <w:r>
        <w:rPr>
          <w:rFonts w:ascii="Times New Roman" w:cs="Times New Roman" w:eastAsia="Times New Roman" w:hAnsi="Times New Roman"/>
          <w:b w:val="false"/>
          <w:bCs w:val="false"/>
          <w:i w:val="false"/>
          <w:iCs w:val="false"/>
          <w:color w:val="000000"/>
          <w:sz w:val="24"/>
          <w:szCs w:val="24"/>
        </w:rPr>
        <w:t xml:space="preserve">. https://www.conference-board.org/topics/consumer-confidence/</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Cox, J. (2025, November 11). “Ghost job” postings are adding another layer of uncertainty. </w:t>
      </w:r>
      <w:r>
        <w:rPr>
          <w:rFonts w:ascii="Times New Roman" w:cs="Times New Roman" w:eastAsia="Times New Roman" w:hAnsi="Times New Roman"/>
          <w:b w:val="false"/>
          <w:bCs w:val="false"/>
          <w:i/>
          <w:iCs/>
          <w:color w:val="000000"/>
          <w:sz w:val="24"/>
          <w:szCs w:val="24"/>
        </w:rPr>
        <w:t xml:space="preserve">CNBC</w:t>
      </w:r>
      <w:r>
        <w:rPr>
          <w:rFonts w:ascii="Times New Roman" w:cs="Times New Roman" w:eastAsia="Times New Roman" w:hAnsi="Times New Roman"/>
          <w:b w:val="false"/>
          <w:bCs w:val="false"/>
          <w:i w:val="false"/>
          <w:iCs w:val="false"/>
          <w:color w:val="000000"/>
          <w:sz w:val="24"/>
          <w:szCs w:val="24"/>
        </w:rPr>
        <w:t xml:space="preserve">.</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Cronofy. (2024). </w:t>
      </w:r>
      <w:r>
        <w:rPr>
          <w:rFonts w:ascii="Times New Roman" w:cs="Times New Roman" w:eastAsia="Times New Roman" w:hAnsi="Times New Roman"/>
          <w:b w:val="false"/>
          <w:bCs w:val="false"/>
          <w:i/>
          <w:iCs/>
          <w:color w:val="000000"/>
          <w:sz w:val="24"/>
          <w:szCs w:val="24"/>
        </w:rPr>
        <w:t xml:space="preserve">Candidate expectations report 2024</w:t>
      </w:r>
      <w:r>
        <w:rPr>
          <w:rFonts w:ascii="Times New Roman" w:cs="Times New Roman" w:eastAsia="Times New Roman" w:hAnsi="Times New Roman"/>
          <w:b w:val="false"/>
          <w:bCs w:val="false"/>
          <w:i w:val="false"/>
          <w:iCs w:val="false"/>
          <w:color w:val="000000"/>
          <w:sz w:val="24"/>
          <w:szCs w:val="24"/>
        </w:rPr>
        <w:t xml:space="preserve">. https://www.cronofy.com/reports/candidate-expectations-report-2024</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Crunchbase News. (2026). </w:t>
      </w:r>
      <w:r>
        <w:rPr>
          <w:rFonts w:ascii="Times New Roman" w:cs="Times New Roman" w:eastAsia="Times New Roman" w:hAnsi="Times New Roman"/>
          <w:b w:val="false"/>
          <w:bCs w:val="false"/>
          <w:i/>
          <w:iCs/>
          <w:color w:val="000000"/>
          <w:sz w:val="24"/>
          <w:szCs w:val="24"/>
        </w:rPr>
        <w:t xml:space="preserve">Tech layoffs tracker, 2022–2026</w:t>
      </w:r>
      <w:r>
        <w:rPr>
          <w:rFonts w:ascii="Times New Roman" w:cs="Times New Roman" w:eastAsia="Times New Roman" w:hAnsi="Times New Roman"/>
          <w:b w:val="false"/>
          <w:bCs w:val="false"/>
          <w:i w:val="false"/>
          <w:iCs w:val="false"/>
          <w:color w:val="000000"/>
          <w:sz w:val="24"/>
          <w:szCs w:val="24"/>
        </w:rPr>
        <w:t xml:space="preserve">. https://news.crunchbase.com/startups/tech-layoffs/</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Cummings, R., &amp; Mahoney, N. (2023). </w:t>
      </w:r>
      <w:r>
        <w:rPr>
          <w:rFonts w:ascii="Times New Roman" w:cs="Times New Roman" w:eastAsia="Times New Roman" w:hAnsi="Times New Roman"/>
          <w:b w:val="false"/>
          <w:bCs w:val="false"/>
          <w:i/>
          <w:iCs/>
          <w:color w:val="000000"/>
          <w:sz w:val="24"/>
          <w:szCs w:val="24"/>
        </w:rPr>
        <w:t xml:space="preserve">Asymmetric amplification and the consumer sentiment gap</w:t>
      </w:r>
      <w:r>
        <w:rPr>
          <w:rFonts w:ascii="Times New Roman" w:cs="Times New Roman" w:eastAsia="Times New Roman" w:hAnsi="Times New Roman"/>
          <w:b w:val="false"/>
          <w:bCs w:val="false"/>
          <w:i w:val="false"/>
          <w:iCs w:val="false"/>
          <w:color w:val="000000"/>
          <w:sz w:val="24"/>
          <w:szCs w:val="24"/>
        </w:rPr>
        <w:t xml:space="preserve"> [Working paper].</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Dahlin, E. (2024). Who says artificial intelligence is stealing our jobs? </w:t>
      </w:r>
      <w:r>
        <w:rPr>
          <w:rFonts w:ascii="Times New Roman" w:cs="Times New Roman" w:eastAsia="Times New Roman" w:hAnsi="Times New Roman"/>
          <w:b w:val="false"/>
          <w:bCs w:val="false"/>
          <w:i/>
          <w:iCs/>
          <w:color w:val="000000"/>
          <w:sz w:val="24"/>
          <w:szCs w:val="24"/>
        </w:rPr>
        <w:t xml:space="preserve">Socius, 10</w:t>
      </w:r>
      <w:r>
        <w:rPr>
          <w:rFonts w:ascii="Times New Roman" w:cs="Times New Roman" w:eastAsia="Times New Roman" w:hAnsi="Times New Roman"/>
          <w:b w:val="false"/>
          <w:bCs w:val="false"/>
          <w:i w:val="false"/>
          <w:iCs w:val="false"/>
          <w:color w:val="000000"/>
          <w:sz w:val="24"/>
          <w:szCs w:val="24"/>
        </w:rPr>
        <w:t xml:space="preserve">, 1–15. https://doi.org/10.1177/23780231241296586</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Dow, W. H., Godøy, A., Lowenstein, C., &amp; Reich, M. (2020). Can labor market policies reduce deaths of despair? </w:t>
      </w:r>
      <w:r>
        <w:rPr>
          <w:rFonts w:ascii="Times New Roman" w:cs="Times New Roman" w:eastAsia="Times New Roman" w:hAnsi="Times New Roman"/>
          <w:b w:val="false"/>
          <w:bCs w:val="false"/>
          <w:i/>
          <w:iCs/>
          <w:color w:val="000000"/>
          <w:sz w:val="24"/>
          <w:szCs w:val="24"/>
        </w:rPr>
        <w:t xml:space="preserve">Journal of Health Economics, 74</w:t>
      </w:r>
      <w:r>
        <w:rPr>
          <w:rFonts w:ascii="Times New Roman" w:cs="Times New Roman" w:eastAsia="Times New Roman" w:hAnsi="Times New Roman"/>
          <w:b w:val="false"/>
          <w:bCs w:val="false"/>
          <w:i w:val="false"/>
          <w:iCs w:val="false"/>
          <w:color w:val="000000"/>
          <w:sz w:val="24"/>
          <w:szCs w:val="24"/>
        </w:rPr>
        <w:t xml:space="preserve">, Article 102372. https://doi.org/10.1016/j.jhealeco.2020.102372</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Egan, M. (2025, October 17). 455,000 women have left the U.S. workforce this year. </w:t>
      </w:r>
      <w:r>
        <w:rPr>
          <w:rFonts w:ascii="Times New Roman" w:cs="Times New Roman" w:eastAsia="Times New Roman" w:hAnsi="Times New Roman"/>
          <w:b w:val="false"/>
          <w:bCs w:val="false"/>
          <w:i/>
          <w:iCs/>
          <w:color w:val="000000"/>
          <w:sz w:val="24"/>
          <w:szCs w:val="24"/>
        </w:rPr>
        <w:t xml:space="preserve">CNN Business</w:t>
      </w:r>
      <w:r>
        <w:rPr>
          <w:rFonts w:ascii="Times New Roman" w:cs="Times New Roman" w:eastAsia="Times New Roman" w:hAnsi="Times New Roman"/>
          <w:b w:val="false"/>
          <w:bCs w:val="false"/>
          <w:i w:val="false"/>
          <w:iCs w:val="false"/>
          <w:color w:val="000000"/>
          <w:sz w:val="24"/>
          <w:szCs w:val="24"/>
        </w:rPr>
        <w:t xml:space="preserve">.</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Empower Work. (2024). </w:t>
      </w:r>
      <w:r>
        <w:rPr>
          <w:rFonts w:ascii="Times New Roman" w:cs="Times New Roman" w:eastAsia="Times New Roman" w:hAnsi="Times New Roman"/>
          <w:b w:val="false"/>
          <w:bCs w:val="false"/>
          <w:i/>
          <w:iCs/>
          <w:color w:val="000000"/>
          <w:sz w:val="24"/>
          <w:szCs w:val="24"/>
        </w:rPr>
        <w:t xml:space="preserve">The hidden realities of job searching in 2024</w:t>
      </w:r>
      <w:r>
        <w:rPr>
          <w:rFonts w:ascii="Times New Roman" w:cs="Times New Roman" w:eastAsia="Times New Roman" w:hAnsi="Times New Roman"/>
          <w:b w:val="false"/>
          <w:bCs w:val="false"/>
          <w:i w:val="false"/>
          <w:iCs w:val="false"/>
          <w:color w:val="000000"/>
          <w:sz w:val="24"/>
          <w:szCs w:val="24"/>
        </w:rPr>
        <w:t xml:space="preserve">. https://www.empowerwork.org/jobsearchreport</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Gallup. (2024). </w:t>
      </w:r>
      <w:r>
        <w:rPr>
          <w:rFonts w:ascii="Times New Roman" w:cs="Times New Roman" w:eastAsia="Times New Roman" w:hAnsi="Times New Roman"/>
          <w:b w:val="false"/>
          <w:bCs w:val="false"/>
          <w:i/>
          <w:iCs/>
          <w:color w:val="000000"/>
          <w:sz w:val="24"/>
          <w:szCs w:val="24"/>
        </w:rPr>
        <w:t xml:space="preserve">State of the global workplace: 2024 report</w:t>
      </w:r>
      <w:r>
        <w:rPr>
          <w:rFonts w:ascii="Times New Roman" w:cs="Times New Roman" w:eastAsia="Times New Roman" w:hAnsi="Times New Roman"/>
          <w:b w:val="false"/>
          <w:bCs w:val="false"/>
          <w:i w:val="false"/>
          <w:iCs w:val="false"/>
          <w:color w:val="000000"/>
          <w:sz w:val="24"/>
          <w:szCs w:val="24"/>
        </w:rPr>
        <w:t xml:space="preserve">. https://www.gallup.com/workplace/349484/state-of-the-global-workplace.aspx</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Gallup. (2026). </w:t>
      </w:r>
      <w:r>
        <w:rPr>
          <w:rFonts w:ascii="Times New Roman" w:cs="Times New Roman" w:eastAsia="Times New Roman" w:hAnsi="Times New Roman"/>
          <w:b w:val="false"/>
          <w:bCs w:val="false"/>
          <w:i/>
          <w:iCs/>
          <w:color w:val="000000"/>
          <w:sz w:val="24"/>
          <w:szCs w:val="24"/>
        </w:rPr>
        <w:t xml:space="preserve">State of the global workplace: 2026 report</w:t>
      </w:r>
      <w:r>
        <w:rPr>
          <w:rFonts w:ascii="Times New Roman" w:cs="Times New Roman" w:eastAsia="Times New Roman" w:hAnsi="Times New Roman"/>
          <w:b w:val="false"/>
          <w:bCs w:val="false"/>
          <w:i w:val="false"/>
          <w:iCs w:val="false"/>
          <w:color w:val="000000"/>
          <w:sz w:val="24"/>
          <w:szCs w:val="24"/>
        </w:rPr>
        <w:t xml:space="preserve">. https://www.gallup.com/workplace/349484/state-of-the-global-workplace.aspx</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Galtung, J. (1969). Violence, peace, and peace research. </w:t>
      </w:r>
      <w:r>
        <w:rPr>
          <w:rFonts w:ascii="Times New Roman" w:cs="Times New Roman" w:eastAsia="Times New Roman" w:hAnsi="Times New Roman"/>
          <w:b w:val="false"/>
          <w:bCs w:val="false"/>
          <w:i/>
          <w:iCs/>
          <w:color w:val="000000"/>
          <w:sz w:val="24"/>
          <w:szCs w:val="24"/>
        </w:rPr>
        <w:t xml:space="preserve">Journal of Peace Research, 6</w:t>
      </w:r>
      <w:r>
        <w:rPr>
          <w:rFonts w:ascii="Times New Roman" w:cs="Times New Roman" w:eastAsia="Times New Roman" w:hAnsi="Times New Roman"/>
          <w:b w:val="false"/>
          <w:bCs w:val="false"/>
          <w:i w:val="false"/>
          <w:iCs w:val="false"/>
          <w:color w:val="000000"/>
          <w:sz w:val="24"/>
          <w:szCs w:val="24"/>
        </w:rPr>
        <w:t xml:space="preserve">(3), 167–191. https://doi.org/10.1177/002234336900600301</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Goldman Sachs Research. (2026, April). </w:t>
      </w:r>
      <w:r>
        <w:rPr>
          <w:rFonts w:ascii="Times New Roman" w:cs="Times New Roman" w:eastAsia="Times New Roman" w:hAnsi="Times New Roman"/>
          <w:b w:val="false"/>
          <w:bCs w:val="false"/>
          <w:i/>
          <w:iCs/>
          <w:color w:val="000000"/>
          <w:sz w:val="24"/>
          <w:szCs w:val="24"/>
        </w:rPr>
        <w:t xml:space="preserve">Forty years of U.S. data on job-displacement scarring</w:t>
      </w:r>
      <w:r>
        <w:rPr>
          <w:rFonts w:ascii="Times New Roman" w:cs="Times New Roman" w:eastAsia="Times New Roman" w:hAnsi="Times New Roman"/>
          <w:b w:val="false"/>
          <w:bCs w:val="false"/>
          <w:i w:val="false"/>
          <w:iCs w:val="false"/>
          <w:color w:val="000000"/>
          <w:sz w:val="24"/>
          <w:szCs w:val="24"/>
        </w:rPr>
        <w:t xml:space="preserve"> [Research report].</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Greenhouse. (2024). </w:t>
      </w:r>
      <w:r>
        <w:rPr>
          <w:rFonts w:ascii="Times New Roman" w:cs="Times New Roman" w:eastAsia="Times New Roman" w:hAnsi="Times New Roman"/>
          <w:b w:val="false"/>
          <w:bCs w:val="false"/>
          <w:i/>
          <w:iCs/>
          <w:color w:val="000000"/>
          <w:sz w:val="24"/>
          <w:szCs w:val="24"/>
        </w:rPr>
        <w:t xml:space="preserve">2024 state of job hunting report</w:t>
      </w:r>
      <w:r>
        <w:rPr>
          <w:rFonts w:ascii="Times New Roman" w:cs="Times New Roman" w:eastAsia="Times New Roman" w:hAnsi="Times New Roman"/>
          <w:b w:val="false"/>
          <w:bCs w:val="false"/>
          <w:i w:val="false"/>
          <w:iCs w:val="false"/>
          <w:color w:val="000000"/>
          <w:sz w:val="24"/>
          <w:szCs w:val="24"/>
        </w:rPr>
        <w:t xml:space="preserve">. https://www.greenhouse.com/blog/greenhouse-2024-state-of-job-hunting-report</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Hellgren, J., Sverke, M., &amp; Isaksson, K. (1999). A two-dimensional approach to job insecurity: Consequences for employee attitudes and well-being. </w:t>
      </w:r>
      <w:r>
        <w:rPr>
          <w:rFonts w:ascii="Times New Roman" w:cs="Times New Roman" w:eastAsia="Times New Roman" w:hAnsi="Times New Roman"/>
          <w:b w:val="false"/>
          <w:bCs w:val="false"/>
          <w:i/>
          <w:iCs/>
          <w:color w:val="000000"/>
          <w:sz w:val="24"/>
          <w:szCs w:val="24"/>
        </w:rPr>
        <w:t xml:space="preserve">European Journal of Work and Organizational Psychology, 8</w:t>
      </w:r>
      <w:r>
        <w:rPr>
          <w:rFonts w:ascii="Times New Roman" w:cs="Times New Roman" w:eastAsia="Times New Roman" w:hAnsi="Times New Roman"/>
          <w:b w:val="false"/>
          <w:bCs w:val="false"/>
          <w:i w:val="false"/>
          <w:iCs w:val="false"/>
          <w:color w:val="000000"/>
          <w:sz w:val="24"/>
          <w:szCs w:val="24"/>
        </w:rPr>
        <w:t xml:space="preserve">(2), 179–195. https://doi.org/10.1080/135943299398311</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Irvine, A., &amp; Rose, N. (2024). How does precarious employment affect mental health? A scoping review and thematic synthesis. </w:t>
      </w:r>
      <w:r>
        <w:rPr>
          <w:rFonts w:ascii="Times New Roman" w:cs="Times New Roman" w:eastAsia="Times New Roman" w:hAnsi="Times New Roman"/>
          <w:b w:val="false"/>
          <w:bCs w:val="false"/>
          <w:i/>
          <w:iCs/>
          <w:color w:val="000000"/>
          <w:sz w:val="24"/>
          <w:szCs w:val="24"/>
        </w:rPr>
        <w:t xml:space="preserve">Work, Employment and Society, 38</w:t>
      </w:r>
      <w:r>
        <w:rPr>
          <w:rFonts w:ascii="Times New Roman" w:cs="Times New Roman" w:eastAsia="Times New Roman" w:hAnsi="Times New Roman"/>
          <w:b w:val="false"/>
          <w:bCs w:val="false"/>
          <w:i w:val="false"/>
          <w:iCs w:val="false"/>
          <w:color w:val="000000"/>
          <w:sz w:val="24"/>
          <w:szCs w:val="24"/>
        </w:rPr>
        <w:t xml:space="preserve">(2), 418–441. https://doi.org/10.1177/09500170221128698</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Kessler, R. C., Andrews, G., Colpe, L. J., Hiripi, E., Mroczek, D. K., Normand, S.-L. T., Walters, E. E., &amp; Zaslavsky, A. M. (2002). Short screening scales to monitor population prevalences and trends in non-specific psychological distress. </w:t>
      </w:r>
      <w:r>
        <w:rPr>
          <w:rFonts w:ascii="Times New Roman" w:cs="Times New Roman" w:eastAsia="Times New Roman" w:hAnsi="Times New Roman"/>
          <w:b w:val="false"/>
          <w:bCs w:val="false"/>
          <w:i/>
          <w:iCs/>
          <w:color w:val="000000"/>
          <w:sz w:val="24"/>
          <w:szCs w:val="24"/>
        </w:rPr>
        <w:t xml:space="preserve">Psychological Medicine, 32</w:t>
      </w:r>
      <w:r>
        <w:rPr>
          <w:rFonts w:ascii="Times New Roman" w:cs="Times New Roman" w:eastAsia="Times New Roman" w:hAnsi="Times New Roman"/>
          <w:b w:val="false"/>
          <w:bCs w:val="false"/>
          <w:i w:val="false"/>
          <w:iCs w:val="false"/>
          <w:color w:val="000000"/>
          <w:sz w:val="24"/>
          <w:szCs w:val="24"/>
        </w:rPr>
        <w:t xml:space="preserve">(6), 959–976. https://doi.org/10.1017/S0033291702006074</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Krieger, N. (1994). Epidemiology and the web of causation: Has anyone seen the spider? </w:t>
      </w:r>
      <w:r>
        <w:rPr>
          <w:rFonts w:ascii="Times New Roman" w:cs="Times New Roman" w:eastAsia="Times New Roman" w:hAnsi="Times New Roman"/>
          <w:b w:val="false"/>
          <w:bCs w:val="false"/>
          <w:i/>
          <w:iCs/>
          <w:color w:val="000000"/>
          <w:sz w:val="24"/>
          <w:szCs w:val="24"/>
        </w:rPr>
        <w:t xml:space="preserve">Social Science &amp; Medicine, 39</w:t>
      </w:r>
      <w:r>
        <w:rPr>
          <w:rFonts w:ascii="Times New Roman" w:cs="Times New Roman" w:eastAsia="Times New Roman" w:hAnsi="Times New Roman"/>
          <w:b w:val="false"/>
          <w:bCs w:val="false"/>
          <w:i w:val="false"/>
          <w:iCs w:val="false"/>
          <w:color w:val="000000"/>
          <w:sz w:val="24"/>
          <w:szCs w:val="24"/>
        </w:rPr>
        <w:t xml:space="preserve">(7), 887–903. https://doi.org/10.1016/0277-9536(94)90202-X</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Krieger, N. (2021). </w:t>
      </w:r>
      <w:r>
        <w:rPr>
          <w:rFonts w:ascii="Times New Roman" w:cs="Times New Roman" w:eastAsia="Times New Roman" w:hAnsi="Times New Roman"/>
          <w:b w:val="false"/>
          <w:bCs w:val="false"/>
          <w:i/>
          <w:iCs/>
          <w:color w:val="000000"/>
          <w:sz w:val="24"/>
          <w:szCs w:val="24"/>
        </w:rPr>
        <w:t xml:space="preserve">Ecosocial theory, embodied truths, and the people’s health</w:t>
      </w:r>
      <w:r>
        <w:rPr>
          <w:rFonts w:ascii="Times New Roman" w:cs="Times New Roman" w:eastAsia="Times New Roman" w:hAnsi="Times New Roman"/>
          <w:b w:val="false"/>
          <w:bCs w:val="false"/>
          <w:i w:val="false"/>
          <w:iCs w:val="false"/>
          <w:color w:val="000000"/>
          <w:sz w:val="24"/>
          <w:szCs w:val="24"/>
        </w:rPr>
        <w:t xml:space="preserve">. Oxford University Press.</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Kroenke, K., Spitzer, R. L., &amp; Williams, J. B. W. (2001). The PHQ-9: Validity of a brief depression severity measure. </w:t>
      </w:r>
      <w:r>
        <w:rPr>
          <w:rFonts w:ascii="Times New Roman" w:cs="Times New Roman" w:eastAsia="Times New Roman" w:hAnsi="Times New Roman"/>
          <w:b w:val="false"/>
          <w:bCs w:val="false"/>
          <w:i/>
          <w:iCs/>
          <w:color w:val="000000"/>
          <w:sz w:val="24"/>
          <w:szCs w:val="24"/>
        </w:rPr>
        <w:t xml:space="preserve">Journal of General Internal Medicine, 16</w:t>
      </w:r>
      <w:r>
        <w:rPr>
          <w:rFonts w:ascii="Times New Roman" w:cs="Times New Roman" w:eastAsia="Times New Roman" w:hAnsi="Times New Roman"/>
          <w:b w:val="false"/>
          <w:bCs w:val="false"/>
          <w:i w:val="false"/>
          <w:iCs w:val="false"/>
          <w:color w:val="000000"/>
          <w:sz w:val="24"/>
          <w:szCs w:val="24"/>
        </w:rPr>
        <w:t xml:space="preserve">(9), 606–613. https://doi.org/10.1046/j.1525-1497.2001.016009606.x</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LaMontagne, A. D., Allebeck, P., Aronsson, G., Dollard, M. F., Eguchi, H., Espinosa Brito, A., Fernandes, R. de C. P., Frank, J., Glozier, N., Goldenhar, L., Greiner, B. A., Iavicoli, S., Kawakami, N., Maeno, T., Min, K.-B., Muntaner, C., Niedhammer, I., Oksanen, T., Otsuka, Y., … Sembajwe, G. (2023). Work as a social determinant of health in high-income countries: Past, present, and future. </w:t>
      </w:r>
      <w:r>
        <w:rPr>
          <w:rFonts w:ascii="Times New Roman" w:cs="Times New Roman" w:eastAsia="Times New Roman" w:hAnsi="Times New Roman"/>
          <w:b w:val="false"/>
          <w:bCs w:val="false"/>
          <w:i/>
          <w:iCs/>
          <w:color w:val="000000"/>
          <w:sz w:val="24"/>
          <w:szCs w:val="24"/>
        </w:rPr>
        <w:t xml:space="preserve">The Lancet, 402</w:t>
      </w:r>
      <w:r>
        <w:rPr>
          <w:rFonts w:ascii="Times New Roman" w:cs="Times New Roman" w:eastAsia="Times New Roman" w:hAnsi="Times New Roman"/>
          <w:b w:val="false"/>
          <w:bCs w:val="false"/>
          <w:i w:val="false"/>
          <w:iCs w:val="false"/>
          <w:color w:val="000000"/>
          <w:sz w:val="24"/>
          <w:szCs w:val="24"/>
        </w:rPr>
        <w:t xml:space="preserve">(10410), 1357–1367. https://doi.org/10.1016/S0140-6736(23)00871-1</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Lerouge, L., &amp; Trujillo Pons, F. (2022). Contribution to the study on the right to disconnect from work: Are stress and screen addiction free from law? </w:t>
      </w:r>
      <w:r>
        <w:rPr>
          <w:rFonts w:ascii="Times New Roman" w:cs="Times New Roman" w:eastAsia="Times New Roman" w:hAnsi="Times New Roman"/>
          <w:b w:val="false"/>
          <w:bCs w:val="false"/>
          <w:i/>
          <w:iCs/>
          <w:color w:val="000000"/>
          <w:sz w:val="24"/>
          <w:szCs w:val="24"/>
        </w:rPr>
        <w:t xml:space="preserve">European Labour Law Journal, 13</w:t>
      </w:r>
      <w:r>
        <w:rPr>
          <w:rFonts w:ascii="Times New Roman" w:cs="Times New Roman" w:eastAsia="Times New Roman" w:hAnsi="Times New Roman"/>
          <w:b w:val="false"/>
          <w:bCs w:val="false"/>
          <w:i w:val="false"/>
          <w:iCs w:val="false"/>
          <w:color w:val="000000"/>
          <w:sz w:val="24"/>
          <w:szCs w:val="24"/>
        </w:rPr>
        <w:t xml:space="preserve">(3), 450–465. https://doi.org/10.1177/20319525221105102</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Link, B. G., &amp; Phelan, J. (1995). Social conditions as fundamental causes of disease. </w:t>
      </w:r>
      <w:r>
        <w:rPr>
          <w:rFonts w:ascii="Times New Roman" w:cs="Times New Roman" w:eastAsia="Times New Roman" w:hAnsi="Times New Roman"/>
          <w:b w:val="false"/>
          <w:bCs w:val="false"/>
          <w:i/>
          <w:iCs/>
          <w:color w:val="000000"/>
          <w:sz w:val="24"/>
          <w:szCs w:val="24"/>
        </w:rPr>
        <w:t xml:space="preserve">Journal of Health and Social Behavior, 35</w:t>
      </w:r>
      <w:r>
        <w:rPr>
          <w:rFonts w:ascii="Times New Roman" w:cs="Times New Roman" w:eastAsia="Times New Roman" w:hAnsi="Times New Roman"/>
          <w:b w:val="false"/>
          <w:bCs w:val="false"/>
          <w:i w:val="false"/>
          <w:iCs w:val="false"/>
          <w:color w:val="000000"/>
          <w:sz w:val="24"/>
          <w:szCs w:val="24"/>
        </w:rPr>
        <w:t xml:space="preserve">(Extra Issue), 80–94. https://doi.org/10.2307/2626958</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LiveCareer. (2025). </w:t>
      </w:r>
      <w:r>
        <w:rPr>
          <w:rFonts w:ascii="Times New Roman" w:cs="Times New Roman" w:eastAsia="Times New Roman" w:hAnsi="Times New Roman"/>
          <w:b w:val="false"/>
          <w:bCs w:val="false"/>
          <w:i/>
          <w:iCs/>
          <w:color w:val="000000"/>
          <w:sz w:val="24"/>
          <w:szCs w:val="24"/>
        </w:rPr>
        <w:t xml:space="preserve">Ghost jobs survey, March 2025</w:t>
      </w:r>
      <w:r>
        <w:rPr>
          <w:rFonts w:ascii="Times New Roman" w:cs="Times New Roman" w:eastAsia="Times New Roman" w:hAnsi="Times New Roman"/>
          <w:b w:val="false"/>
          <w:bCs w:val="false"/>
          <w:i w:val="false"/>
          <w:iCs w:val="false"/>
          <w:color w:val="000000"/>
          <w:sz w:val="24"/>
          <w:szCs w:val="24"/>
        </w:rPr>
        <w:t xml:space="preserve"> (Survey of 918 HR professionals). https://www.livecareer.com/resources/careers/finding-a-job/ghost-jobs</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Maslach, C., &amp; Jackson, S. E. (1981). The measurement of experienced burnout. </w:t>
      </w:r>
      <w:r>
        <w:rPr>
          <w:rFonts w:ascii="Times New Roman" w:cs="Times New Roman" w:eastAsia="Times New Roman" w:hAnsi="Times New Roman"/>
          <w:b w:val="false"/>
          <w:bCs w:val="false"/>
          <w:i/>
          <w:iCs/>
          <w:color w:val="000000"/>
          <w:sz w:val="24"/>
          <w:szCs w:val="24"/>
        </w:rPr>
        <w:t xml:space="preserve">Journal of Occupational Behavior, 2</w:t>
      </w:r>
      <w:r>
        <w:rPr>
          <w:rFonts w:ascii="Times New Roman" w:cs="Times New Roman" w:eastAsia="Times New Roman" w:hAnsi="Times New Roman"/>
          <w:b w:val="false"/>
          <w:bCs w:val="false"/>
          <w:i w:val="false"/>
          <w:iCs w:val="false"/>
          <w:color w:val="000000"/>
          <w:sz w:val="24"/>
          <w:szCs w:val="24"/>
        </w:rPr>
        <w:t xml:space="preserve">(2), 99–113. https://doi.org/10.1002/job.4030020205</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Microsoft &amp; LinkedIn. (2024). </w:t>
      </w:r>
      <w:r>
        <w:rPr>
          <w:rFonts w:ascii="Times New Roman" w:cs="Times New Roman" w:eastAsia="Times New Roman" w:hAnsi="Times New Roman"/>
          <w:b w:val="false"/>
          <w:bCs w:val="false"/>
          <w:i/>
          <w:iCs/>
          <w:color w:val="000000"/>
          <w:sz w:val="24"/>
          <w:szCs w:val="24"/>
        </w:rPr>
        <w:t xml:space="preserve">2024 work trend index annual report</w:t>
      </w:r>
      <w:r>
        <w:rPr>
          <w:rFonts w:ascii="Times New Roman" w:cs="Times New Roman" w:eastAsia="Times New Roman" w:hAnsi="Times New Roman"/>
          <w:b w:val="false"/>
          <w:bCs w:val="false"/>
          <w:i w:val="false"/>
          <w:iCs w:val="false"/>
          <w:color w:val="000000"/>
          <w:sz w:val="24"/>
          <w:szCs w:val="24"/>
        </w:rPr>
        <w:t xml:space="preserve">. https://www.microsoft.com/en-us/worklab/work-trend-index</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Mousteri, V., Daly, M., &amp; Delaney, L. (2018). The scarring effect of unemployment on psychological well-being across Europe. </w:t>
      </w:r>
      <w:r>
        <w:rPr>
          <w:rFonts w:ascii="Times New Roman" w:cs="Times New Roman" w:eastAsia="Times New Roman" w:hAnsi="Times New Roman"/>
          <w:b w:val="false"/>
          <w:bCs w:val="false"/>
          <w:i/>
          <w:iCs/>
          <w:color w:val="000000"/>
          <w:sz w:val="24"/>
          <w:szCs w:val="24"/>
        </w:rPr>
        <w:t xml:space="preserve">Social Science Research, 72</w:t>
      </w:r>
      <w:r>
        <w:rPr>
          <w:rFonts w:ascii="Times New Roman" w:cs="Times New Roman" w:eastAsia="Times New Roman" w:hAnsi="Times New Roman"/>
          <w:b w:val="false"/>
          <w:bCs w:val="false"/>
          <w:i w:val="false"/>
          <w:iCs w:val="false"/>
          <w:color w:val="000000"/>
          <w:sz w:val="24"/>
          <w:szCs w:val="24"/>
        </w:rPr>
        <w:t xml:space="preserve">, 146–169. https://doi.org/10.1016/j.ssresearch.2018.01.007</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Muller, J. J., Creed, P. A., Waters, L. E., &amp; Machin, M. A. (2005). The development and preliminary testing of a scale to measure the latent and manifest benefits of employment. </w:t>
      </w:r>
      <w:r>
        <w:rPr>
          <w:rFonts w:ascii="Times New Roman" w:cs="Times New Roman" w:eastAsia="Times New Roman" w:hAnsi="Times New Roman"/>
          <w:b w:val="false"/>
          <w:bCs w:val="false"/>
          <w:i/>
          <w:iCs/>
          <w:color w:val="000000"/>
          <w:sz w:val="24"/>
          <w:szCs w:val="24"/>
        </w:rPr>
        <w:t xml:space="preserve">European Journal of Psychological Assessment, 21</w:t>
      </w:r>
      <w:r>
        <w:rPr>
          <w:rFonts w:ascii="Times New Roman" w:cs="Times New Roman" w:eastAsia="Times New Roman" w:hAnsi="Times New Roman"/>
          <w:b w:val="false"/>
          <w:bCs w:val="false"/>
          <w:i w:val="false"/>
          <w:iCs w:val="false"/>
          <w:color w:val="000000"/>
          <w:sz w:val="24"/>
          <w:szCs w:val="24"/>
        </w:rPr>
        <w:t xml:space="preserve">(3), 191–198. https://doi.org/10.1027/1015-5759.21.3.191</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National Alliance on Mental Illness, &amp; Ipsos. (2024). </w:t>
      </w:r>
      <w:r>
        <w:rPr>
          <w:rFonts w:ascii="Times New Roman" w:cs="Times New Roman" w:eastAsia="Times New Roman" w:hAnsi="Times New Roman"/>
          <w:b w:val="false"/>
          <w:bCs w:val="false"/>
          <w:i/>
          <w:iCs/>
          <w:color w:val="000000"/>
          <w:sz w:val="24"/>
          <w:szCs w:val="24"/>
        </w:rPr>
        <w:t xml:space="preserve">The 2024 NAMI workplace mental health poll</w:t>
      </w:r>
      <w:r>
        <w:rPr>
          <w:rFonts w:ascii="Times New Roman" w:cs="Times New Roman" w:eastAsia="Times New Roman" w:hAnsi="Times New Roman"/>
          <w:b w:val="false"/>
          <w:bCs w:val="false"/>
          <w:i w:val="false"/>
          <w:iCs w:val="false"/>
          <w:color w:val="000000"/>
          <w:sz w:val="24"/>
          <w:szCs w:val="24"/>
        </w:rPr>
        <w:t xml:space="preserve">. https://www.nami.org/research/publications-reports/survey-reports/the-2024-nami-workplace-mental-health-poll/</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Patel, V., Saxena, S., Lund, C., Thornicroft, G., Baingana, F., Bolton, P., Chisholm, D., Collins, P. Y., Cooper, J. L., Eaton, J., Herrman, H., Herzallah, M. M., Huang, Y., Jordans, M. J. D., Kleinman, A., Medina-Mora, M. E., Morgan, E., Niaz, U., Omigbodun, O., … UnÜtzer, J. (2018). The Lancet Commission on global mental health and sustainable development. </w:t>
      </w:r>
      <w:r>
        <w:rPr>
          <w:rFonts w:ascii="Times New Roman" w:cs="Times New Roman" w:eastAsia="Times New Roman" w:hAnsi="Times New Roman"/>
          <w:b w:val="false"/>
          <w:bCs w:val="false"/>
          <w:i/>
          <w:iCs/>
          <w:color w:val="000000"/>
          <w:sz w:val="24"/>
          <w:szCs w:val="24"/>
        </w:rPr>
        <w:t xml:space="preserve">The Lancet, 392</w:t>
      </w:r>
      <w:r>
        <w:rPr>
          <w:rFonts w:ascii="Times New Roman" w:cs="Times New Roman" w:eastAsia="Times New Roman" w:hAnsi="Times New Roman"/>
          <w:b w:val="false"/>
          <w:bCs w:val="false"/>
          <w:i w:val="false"/>
          <w:iCs w:val="false"/>
          <w:color w:val="000000"/>
          <w:sz w:val="24"/>
          <w:szCs w:val="24"/>
        </w:rPr>
        <w:t xml:space="preserve">(10157), 1553–1598. https://doi.org/10.1016/S0140-6736(18)31612-X</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Pathrise. (2024). </w:t>
      </w:r>
      <w:r>
        <w:rPr>
          <w:rFonts w:ascii="Times New Roman" w:cs="Times New Roman" w:eastAsia="Times New Roman" w:hAnsi="Times New Roman"/>
          <w:b w:val="false"/>
          <w:bCs w:val="false"/>
          <w:i/>
          <w:iCs/>
          <w:color w:val="000000"/>
          <w:sz w:val="24"/>
          <w:szCs w:val="24"/>
        </w:rPr>
        <w:t xml:space="preserve">2024 tech industry application-to-offer analysis</w:t>
      </w:r>
      <w:r>
        <w:rPr>
          <w:rFonts w:ascii="Times New Roman" w:cs="Times New Roman" w:eastAsia="Times New Roman" w:hAnsi="Times New Roman"/>
          <w:b w:val="false"/>
          <w:bCs w:val="false"/>
          <w:i w:val="false"/>
          <w:iCs w:val="false"/>
          <w:color w:val="000000"/>
          <w:sz w:val="24"/>
          <w:szCs w:val="24"/>
        </w:rPr>
        <w:t xml:space="preserve"> (Analysis of approximately 800,000 applications).</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Paul, K. I., &amp; Moser, K. (2009). Unemployment impairs mental health: Meta-analyses. </w:t>
      </w:r>
      <w:r>
        <w:rPr>
          <w:rFonts w:ascii="Times New Roman" w:cs="Times New Roman" w:eastAsia="Times New Roman" w:hAnsi="Times New Roman"/>
          <w:b w:val="false"/>
          <w:bCs w:val="false"/>
          <w:i/>
          <w:iCs/>
          <w:color w:val="000000"/>
          <w:sz w:val="24"/>
          <w:szCs w:val="24"/>
        </w:rPr>
        <w:t xml:space="preserve">Journal of Vocational Behavior, 74</w:t>
      </w:r>
      <w:r>
        <w:rPr>
          <w:rFonts w:ascii="Times New Roman" w:cs="Times New Roman" w:eastAsia="Times New Roman" w:hAnsi="Times New Roman"/>
          <w:b w:val="false"/>
          <w:bCs w:val="false"/>
          <w:i w:val="false"/>
          <w:iCs w:val="false"/>
          <w:color w:val="000000"/>
          <w:sz w:val="24"/>
          <w:szCs w:val="24"/>
        </w:rPr>
        <w:t xml:space="preserve">(3), 264–282. https://doi.org/10.1016/j.jvb.2009.01.001</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Peng, E. (2026, April). AI substitution effects on US employment. </w:t>
      </w:r>
      <w:r>
        <w:rPr>
          <w:rFonts w:ascii="Times New Roman" w:cs="Times New Roman" w:eastAsia="Times New Roman" w:hAnsi="Times New Roman"/>
          <w:b w:val="false"/>
          <w:bCs w:val="false"/>
          <w:i/>
          <w:iCs/>
          <w:color w:val="000000"/>
          <w:sz w:val="24"/>
          <w:szCs w:val="24"/>
        </w:rPr>
        <w:t xml:space="preserve">Goldman Sachs US Daily</w:t>
      </w:r>
      <w:r>
        <w:rPr>
          <w:rFonts w:ascii="Times New Roman" w:cs="Times New Roman" w:eastAsia="Times New Roman" w:hAnsi="Times New Roman"/>
          <w:b w:val="false"/>
          <w:bCs w:val="false"/>
          <w:i w:val="false"/>
          <w:iCs w:val="false"/>
          <w:color w:val="000000"/>
          <w:sz w:val="24"/>
          <w:szCs w:val="24"/>
        </w:rPr>
        <w:t xml:space="preserve">.</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Pew Research Center. (2025, February). </w:t>
      </w:r>
      <w:r>
        <w:rPr>
          <w:rFonts w:ascii="Times New Roman" w:cs="Times New Roman" w:eastAsia="Times New Roman" w:hAnsi="Times New Roman"/>
          <w:b w:val="false"/>
          <w:bCs w:val="false"/>
          <w:i/>
          <w:iCs/>
          <w:color w:val="000000"/>
          <w:sz w:val="24"/>
          <w:szCs w:val="24"/>
        </w:rPr>
        <w:t xml:space="preserve">U.S. workers are more worried than hopeful about future AI use in the workplace</w:t>
      </w:r>
      <w:r>
        <w:rPr>
          <w:rFonts w:ascii="Times New Roman" w:cs="Times New Roman" w:eastAsia="Times New Roman" w:hAnsi="Times New Roman"/>
          <w:b w:val="false"/>
          <w:bCs w:val="false"/>
          <w:i w:val="false"/>
          <w:iCs w:val="false"/>
          <w:color w:val="000000"/>
          <w:sz w:val="24"/>
          <w:szCs w:val="24"/>
        </w:rPr>
        <w:t xml:space="preserve">. https://www.pewresearch.org/</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Phelan, J. C., Link, B. G., &amp; Tehranifar, P. (2010). Social conditions as fundamental causes of health inequalities: Theory, evidence, and policy implications. </w:t>
      </w:r>
      <w:r>
        <w:rPr>
          <w:rFonts w:ascii="Times New Roman" w:cs="Times New Roman" w:eastAsia="Times New Roman" w:hAnsi="Times New Roman"/>
          <w:b w:val="false"/>
          <w:bCs w:val="false"/>
          <w:i/>
          <w:iCs/>
          <w:color w:val="000000"/>
          <w:sz w:val="24"/>
          <w:szCs w:val="24"/>
        </w:rPr>
        <w:t xml:space="preserve">Journal of Health and Social Behavior, 51</w:t>
      </w:r>
      <w:r>
        <w:rPr>
          <w:rFonts w:ascii="Times New Roman" w:cs="Times New Roman" w:eastAsia="Times New Roman" w:hAnsi="Times New Roman"/>
          <w:b w:val="false"/>
          <w:bCs w:val="false"/>
          <w:i w:val="false"/>
          <w:iCs w:val="false"/>
          <w:color w:val="000000"/>
          <w:sz w:val="24"/>
          <w:szCs w:val="24"/>
        </w:rPr>
        <w:t xml:space="preserve">(1, Suppl.), S28–S40. https://doi.org/10.1177/0022146510383498</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Picchio, M., &amp; Ubaldi, M. (2022). </w:t>
      </w:r>
      <w:r>
        <w:rPr>
          <w:rFonts w:ascii="Times New Roman" w:cs="Times New Roman" w:eastAsia="Times New Roman" w:hAnsi="Times New Roman"/>
          <w:b w:val="false"/>
          <w:bCs w:val="false"/>
          <w:i/>
          <w:iCs/>
          <w:color w:val="000000"/>
          <w:sz w:val="24"/>
          <w:szCs w:val="24"/>
        </w:rPr>
        <w:t xml:space="preserve">Unemployment and health: A meta-analysis</w:t>
      </w:r>
      <w:r>
        <w:rPr>
          <w:rFonts w:ascii="Times New Roman" w:cs="Times New Roman" w:eastAsia="Times New Roman" w:hAnsi="Times New Roman"/>
          <w:b w:val="false"/>
          <w:bCs w:val="false"/>
          <w:i w:val="false"/>
          <w:iCs w:val="false"/>
          <w:color w:val="000000"/>
          <w:sz w:val="24"/>
          <w:szCs w:val="24"/>
        </w:rPr>
        <w:t xml:space="preserve"> (IZA Discussion Paper No. 15433). Institute of Labor Economics.</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Recruiterflow. (2024). </w:t>
      </w:r>
      <w:r>
        <w:rPr>
          <w:rFonts w:ascii="Times New Roman" w:cs="Times New Roman" w:eastAsia="Times New Roman" w:hAnsi="Times New Roman"/>
          <w:b w:val="false"/>
          <w:bCs w:val="false"/>
          <w:i/>
          <w:iCs/>
          <w:color w:val="000000"/>
          <w:sz w:val="24"/>
          <w:szCs w:val="24"/>
        </w:rPr>
        <w:t xml:space="preserve">Time-to-hire benchmarks 2024</w:t>
      </w:r>
      <w:r>
        <w:rPr>
          <w:rFonts w:ascii="Times New Roman" w:cs="Times New Roman" w:eastAsia="Times New Roman" w:hAnsi="Times New Roman"/>
          <w:b w:val="false"/>
          <w:bCs w:val="false"/>
          <w:i w:val="false"/>
          <w:iCs w:val="false"/>
          <w:color w:val="000000"/>
          <w:sz w:val="24"/>
          <w:szCs w:val="24"/>
        </w:rPr>
        <w:t xml:space="preserve">. https://recruiterflow.com/blog/time-to-hire/</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Rönnblad, T., Grönholm, E., Jonsson, J., Koranyi, I., Orellana, C., Kreshpaj, B., Chen, L., Stockfelt, L., &amp; Bodin, T. (2019). Precarious employment and mental health: A systematic review and meta-analysis of longitudinal studies. </w:t>
      </w:r>
      <w:r>
        <w:rPr>
          <w:rFonts w:ascii="Times New Roman" w:cs="Times New Roman" w:eastAsia="Times New Roman" w:hAnsi="Times New Roman"/>
          <w:b w:val="false"/>
          <w:bCs w:val="false"/>
          <w:i/>
          <w:iCs/>
          <w:color w:val="000000"/>
          <w:sz w:val="24"/>
          <w:szCs w:val="24"/>
        </w:rPr>
        <w:t xml:space="preserve">Scandinavian Journal of Work, Environment &amp; Health, 45</w:t>
      </w:r>
      <w:r>
        <w:rPr>
          <w:rFonts w:ascii="Times New Roman" w:cs="Times New Roman" w:eastAsia="Times New Roman" w:hAnsi="Times New Roman"/>
          <w:b w:val="false"/>
          <w:bCs w:val="false"/>
          <w:i w:val="false"/>
          <w:iCs w:val="false"/>
          <w:color w:val="000000"/>
          <w:sz w:val="24"/>
          <w:szCs w:val="24"/>
        </w:rPr>
        <w:t xml:space="preserve">(5), 429–443. https://doi.org/10.5271/sjweh.3797</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Rugulies, R., Aust, B., Greiner, B. A., Arensman, E., Kawakami, N., LaMontagne, A. D., &amp; Madsen, I. E. H. (2023). Work-related causes of mental health conditions and interventions for their improvement in workplaces. </w:t>
      </w:r>
      <w:r>
        <w:rPr>
          <w:rFonts w:ascii="Times New Roman" w:cs="Times New Roman" w:eastAsia="Times New Roman" w:hAnsi="Times New Roman"/>
          <w:b w:val="false"/>
          <w:bCs w:val="false"/>
          <w:i/>
          <w:iCs/>
          <w:color w:val="000000"/>
          <w:sz w:val="24"/>
          <w:szCs w:val="24"/>
        </w:rPr>
        <w:t xml:space="preserve">The Lancet, 402</w:t>
      </w:r>
      <w:r>
        <w:rPr>
          <w:rFonts w:ascii="Times New Roman" w:cs="Times New Roman" w:eastAsia="Times New Roman" w:hAnsi="Times New Roman"/>
          <w:b w:val="false"/>
          <w:bCs w:val="false"/>
          <w:i w:val="false"/>
          <w:iCs w:val="false"/>
          <w:color w:val="000000"/>
          <w:sz w:val="24"/>
          <w:szCs w:val="24"/>
        </w:rPr>
        <w:t xml:space="preserve">(10410), 1368–1381. https://doi.org/10.1016/S0140-6736(23)00869-3</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Savickas, M. L., &amp; Porfeli, E. J. (2012). Career Adapt-Abilities Scale: Construction, reliability, and measurement equivalence across 13 countries. </w:t>
      </w:r>
      <w:r>
        <w:rPr>
          <w:rFonts w:ascii="Times New Roman" w:cs="Times New Roman" w:eastAsia="Times New Roman" w:hAnsi="Times New Roman"/>
          <w:b w:val="false"/>
          <w:bCs w:val="false"/>
          <w:i/>
          <w:iCs/>
          <w:color w:val="000000"/>
          <w:sz w:val="24"/>
          <w:szCs w:val="24"/>
        </w:rPr>
        <w:t xml:space="preserve">Journal of Vocational Behavior, 80</w:t>
      </w:r>
      <w:r>
        <w:rPr>
          <w:rFonts w:ascii="Times New Roman" w:cs="Times New Roman" w:eastAsia="Times New Roman" w:hAnsi="Times New Roman"/>
          <w:b w:val="false"/>
          <w:bCs w:val="false"/>
          <w:i w:val="false"/>
          <w:iCs w:val="false"/>
          <w:color w:val="000000"/>
          <w:sz w:val="24"/>
          <w:szCs w:val="24"/>
        </w:rPr>
        <w:t xml:space="preserve">(3), 661–673. https://doi.org/10.1016/j.jvb.2012.01.011</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Scanlon, K. (2022, June 30). </w:t>
      </w:r>
      <w:r>
        <w:rPr>
          <w:rFonts w:ascii="Times New Roman" w:cs="Times New Roman" w:eastAsia="Times New Roman" w:hAnsi="Times New Roman"/>
          <w:b w:val="false"/>
          <w:bCs w:val="false"/>
          <w:i/>
          <w:iCs/>
          <w:color w:val="000000"/>
          <w:sz w:val="24"/>
          <w:szCs w:val="24"/>
        </w:rPr>
        <w:t xml:space="preserve">The vibecession: The self-fulfilling prophecy</w:t>
      </w:r>
      <w:r>
        <w:rPr>
          <w:rFonts w:ascii="Times New Roman" w:cs="Times New Roman" w:eastAsia="Times New Roman" w:hAnsi="Times New Roman"/>
          <w:b w:val="false"/>
          <w:bCs w:val="false"/>
          <w:i w:val="false"/>
          <w:iCs w:val="false"/>
          <w:color w:val="000000"/>
          <w:sz w:val="24"/>
          <w:szCs w:val="24"/>
        </w:rPr>
        <w:t xml:space="preserve">. Kyla’s Newsletter. https://kyla.substack.com/</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Singer, M., &amp; Clair, S. (2003). Syndemics and public health: Reconceptualizing disease in bio-social context. </w:t>
      </w:r>
      <w:r>
        <w:rPr>
          <w:rFonts w:ascii="Times New Roman" w:cs="Times New Roman" w:eastAsia="Times New Roman" w:hAnsi="Times New Roman"/>
          <w:b w:val="false"/>
          <w:bCs w:val="false"/>
          <w:i/>
          <w:iCs/>
          <w:color w:val="000000"/>
          <w:sz w:val="24"/>
          <w:szCs w:val="24"/>
        </w:rPr>
        <w:t xml:space="preserve">Medical Anthropology Quarterly, 17</w:t>
      </w:r>
      <w:r>
        <w:rPr>
          <w:rFonts w:ascii="Times New Roman" w:cs="Times New Roman" w:eastAsia="Times New Roman" w:hAnsi="Times New Roman"/>
          <w:b w:val="false"/>
          <w:bCs w:val="false"/>
          <w:i w:val="false"/>
          <w:iCs w:val="false"/>
          <w:color w:val="000000"/>
          <w:sz w:val="24"/>
          <w:szCs w:val="24"/>
        </w:rPr>
        <w:t xml:space="preserve">(4), 423–441. https://doi.org/10.1525/maq.2003.17.4.423</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Spitzer, R. L., Kroenke, K., Williams, J. B. W., &amp; Löwe, B. (2006). A brief measure for assessing generalized anxiety disorder: The GAD-7. </w:t>
      </w:r>
      <w:r>
        <w:rPr>
          <w:rFonts w:ascii="Times New Roman" w:cs="Times New Roman" w:eastAsia="Times New Roman" w:hAnsi="Times New Roman"/>
          <w:b w:val="false"/>
          <w:bCs w:val="false"/>
          <w:i/>
          <w:iCs/>
          <w:color w:val="000000"/>
          <w:sz w:val="24"/>
          <w:szCs w:val="24"/>
        </w:rPr>
        <w:t xml:space="preserve">Archives of Internal Medicine, 166</w:t>
      </w:r>
      <w:r>
        <w:rPr>
          <w:rFonts w:ascii="Times New Roman" w:cs="Times New Roman" w:eastAsia="Times New Roman" w:hAnsi="Times New Roman"/>
          <w:b w:val="false"/>
          <w:bCs w:val="false"/>
          <w:i w:val="false"/>
          <w:iCs w:val="false"/>
          <w:color w:val="000000"/>
          <w:sz w:val="24"/>
          <w:szCs w:val="24"/>
        </w:rPr>
        <w:t xml:space="preserve">(10), 1092–1097. https://doi.org/10.1001/archinte.166.10.1092</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Stanford Institute for Human-Centered Artificial Intelligence. (2026). </w:t>
      </w:r>
      <w:r>
        <w:rPr>
          <w:rFonts w:ascii="Times New Roman" w:cs="Times New Roman" w:eastAsia="Times New Roman" w:hAnsi="Times New Roman"/>
          <w:b w:val="false"/>
          <w:bCs w:val="false"/>
          <w:i/>
          <w:iCs/>
          <w:color w:val="000000"/>
          <w:sz w:val="24"/>
          <w:szCs w:val="24"/>
        </w:rPr>
        <w:t xml:space="preserve">2026 AI Index report: Public opinion chapter</w:t>
      </w:r>
      <w:r>
        <w:rPr>
          <w:rFonts w:ascii="Times New Roman" w:cs="Times New Roman" w:eastAsia="Times New Roman" w:hAnsi="Times New Roman"/>
          <w:b w:val="false"/>
          <w:bCs w:val="false"/>
          <w:i w:val="false"/>
          <w:iCs w:val="false"/>
          <w:color w:val="000000"/>
          <w:sz w:val="24"/>
          <w:szCs w:val="24"/>
        </w:rPr>
        <w:t xml:space="preserve">. https://hai.stanford.edu/ai-index/2026-ai-index-report/</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Sverke, M., Hellgren, J., &amp; Näswall, K. (2002). No security: A meta-analysis and review of job insecurity and its consequences. </w:t>
      </w:r>
      <w:r>
        <w:rPr>
          <w:rFonts w:ascii="Times New Roman" w:cs="Times New Roman" w:eastAsia="Times New Roman" w:hAnsi="Times New Roman"/>
          <w:b w:val="false"/>
          <w:bCs w:val="false"/>
          <w:i/>
          <w:iCs/>
          <w:color w:val="000000"/>
          <w:sz w:val="24"/>
          <w:szCs w:val="24"/>
        </w:rPr>
        <w:t xml:space="preserve">Journal of Occupational Health Psychology, 7</w:t>
      </w:r>
      <w:r>
        <w:rPr>
          <w:rFonts w:ascii="Times New Roman" w:cs="Times New Roman" w:eastAsia="Times New Roman" w:hAnsi="Times New Roman"/>
          <w:b w:val="false"/>
          <w:bCs w:val="false"/>
          <w:i w:val="false"/>
          <w:iCs w:val="false"/>
          <w:color w:val="000000"/>
          <w:sz w:val="24"/>
          <w:szCs w:val="24"/>
        </w:rPr>
        <w:t xml:space="preserve">(3), 242–264. https://doi.org/10.1037/1076-8998.7.3.242</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Thern, E., Burström, B., Hemmingsson, T., Almroth, M., Kjellberg, K., &amp; Bodin, T. (2023). Precarious employment in early adulthood and later mental health problems: A register-linked cohort study. </w:t>
      </w:r>
      <w:r>
        <w:rPr>
          <w:rFonts w:ascii="Times New Roman" w:cs="Times New Roman" w:eastAsia="Times New Roman" w:hAnsi="Times New Roman"/>
          <w:b w:val="false"/>
          <w:bCs w:val="false"/>
          <w:i/>
          <w:iCs/>
          <w:color w:val="000000"/>
          <w:sz w:val="24"/>
          <w:szCs w:val="24"/>
        </w:rPr>
        <w:t xml:space="preserve">BMJ Open, 13</w:t>
      </w:r>
      <w:r>
        <w:rPr>
          <w:rFonts w:ascii="Times New Roman" w:cs="Times New Roman" w:eastAsia="Times New Roman" w:hAnsi="Times New Roman"/>
          <w:b w:val="false"/>
          <w:bCs w:val="false"/>
          <w:i w:val="false"/>
          <w:iCs w:val="false"/>
          <w:color w:val="000000"/>
          <w:sz w:val="24"/>
          <w:szCs w:val="24"/>
        </w:rPr>
        <w:t xml:space="preserve">(11), Article e072713. https://doi.org/10.1136/bmjopen-2023-072713</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TrueUp. (2026). </w:t>
      </w:r>
      <w:r>
        <w:rPr>
          <w:rFonts w:ascii="Times New Roman" w:cs="Times New Roman" w:eastAsia="Times New Roman" w:hAnsi="Times New Roman"/>
          <w:b w:val="false"/>
          <w:bCs w:val="false"/>
          <w:i/>
          <w:iCs/>
          <w:color w:val="000000"/>
          <w:sz w:val="24"/>
          <w:szCs w:val="24"/>
        </w:rPr>
        <w:t xml:space="preserve">Global tech layoffs tracker</w:t>
      </w:r>
      <w:r>
        <w:rPr>
          <w:rFonts w:ascii="Times New Roman" w:cs="Times New Roman" w:eastAsia="Times New Roman" w:hAnsi="Times New Roman"/>
          <w:b w:val="false"/>
          <w:bCs w:val="false"/>
          <w:i w:val="false"/>
          <w:iCs w:val="false"/>
          <w:color w:val="000000"/>
          <w:sz w:val="24"/>
          <w:szCs w:val="24"/>
        </w:rPr>
        <w:t xml:space="preserve">. https://www.trueup.io/layoffs</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Tsai, A. C., Mendenhall, E., Trostle, J. A., &amp; Kawachi, I. (2017). Co-occurring epidemics, syndemics, and population health. </w:t>
      </w:r>
      <w:r>
        <w:rPr>
          <w:rFonts w:ascii="Times New Roman" w:cs="Times New Roman" w:eastAsia="Times New Roman" w:hAnsi="Times New Roman"/>
          <w:b w:val="false"/>
          <w:bCs w:val="false"/>
          <w:i/>
          <w:iCs/>
          <w:color w:val="000000"/>
          <w:sz w:val="24"/>
          <w:szCs w:val="24"/>
        </w:rPr>
        <w:t xml:space="preserve">The Lancet, 389</w:t>
      </w:r>
      <w:r>
        <w:rPr>
          <w:rFonts w:ascii="Times New Roman" w:cs="Times New Roman" w:eastAsia="Times New Roman" w:hAnsi="Times New Roman"/>
          <w:b w:val="false"/>
          <w:bCs w:val="false"/>
          <w:i w:val="false"/>
          <w:iCs w:val="false"/>
          <w:color w:val="000000"/>
          <w:sz w:val="24"/>
          <w:szCs w:val="24"/>
        </w:rPr>
        <w:t xml:space="preserve">(10072), 978–982. https://doi.org/10.1016/S0140-6736(17)30403-8</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Vahratian, A., Blumberg, S. J., Terlizzi, E. P., &amp; Schiller, J. S. (2021). Symptoms of anxiety or depressive disorder and use of mental health care among adults during the COVID-19 pandemic — United States, August 2020–February 2021. </w:t>
      </w:r>
      <w:r>
        <w:rPr>
          <w:rFonts w:ascii="Times New Roman" w:cs="Times New Roman" w:eastAsia="Times New Roman" w:hAnsi="Times New Roman"/>
          <w:b w:val="false"/>
          <w:bCs w:val="false"/>
          <w:i/>
          <w:iCs/>
          <w:color w:val="000000"/>
          <w:sz w:val="24"/>
          <w:szCs w:val="24"/>
        </w:rPr>
        <w:t xml:space="preserve">Morbidity and Mortality Weekly Report, 70</w:t>
      </w:r>
      <w:r>
        <w:rPr>
          <w:rFonts w:ascii="Times New Roman" w:cs="Times New Roman" w:eastAsia="Times New Roman" w:hAnsi="Times New Roman"/>
          <w:b w:val="false"/>
          <w:bCs w:val="false"/>
          <w:i w:val="false"/>
          <w:iCs w:val="false"/>
          <w:color w:val="000000"/>
          <w:sz w:val="24"/>
          <w:szCs w:val="24"/>
        </w:rPr>
        <w:t xml:space="preserve">(13), 490–494. https://doi.org/10.15585/mmwr.mm7013e2</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Verho, J., Hämäläinen, K., &amp; Kanninen, O. (2025). Health effects of cash transfers: Evidence from the Finnish basic income experiment. </w:t>
      </w:r>
      <w:r>
        <w:rPr>
          <w:rFonts w:ascii="Times New Roman" w:cs="Times New Roman" w:eastAsia="Times New Roman" w:hAnsi="Times New Roman"/>
          <w:b w:val="false"/>
          <w:bCs w:val="false"/>
          <w:i/>
          <w:iCs/>
          <w:color w:val="000000"/>
          <w:sz w:val="24"/>
          <w:szCs w:val="24"/>
        </w:rPr>
        <w:t xml:space="preserve">Journal of Public Economics, 239</w:t>
      </w:r>
      <w:r>
        <w:rPr>
          <w:rFonts w:ascii="Times New Roman" w:cs="Times New Roman" w:eastAsia="Times New Roman" w:hAnsi="Times New Roman"/>
          <w:b w:val="false"/>
          <w:bCs w:val="false"/>
          <w:i w:val="false"/>
          <w:iCs w:val="false"/>
          <w:color w:val="000000"/>
          <w:sz w:val="24"/>
          <w:szCs w:val="24"/>
        </w:rPr>
        <w:t xml:space="preserve">, Article 105170. https://doi.org/10.1016/j.jpubeco.2024.105170</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Vinokur, A. D., Schul, Y., Vuori, J., &amp; Price, R. H. (2000). Two years after a job loss: Long-term impact of the JOBS program on reemployment and mental health. </w:t>
      </w:r>
      <w:r>
        <w:rPr>
          <w:rFonts w:ascii="Times New Roman" w:cs="Times New Roman" w:eastAsia="Times New Roman" w:hAnsi="Times New Roman"/>
          <w:b w:val="false"/>
          <w:bCs w:val="false"/>
          <w:i/>
          <w:iCs/>
          <w:color w:val="000000"/>
          <w:sz w:val="24"/>
          <w:szCs w:val="24"/>
        </w:rPr>
        <w:t xml:space="preserve">Journal of Occupational Health Psychology, 5</w:t>
      </w:r>
      <w:r>
        <w:rPr>
          <w:rFonts w:ascii="Times New Roman" w:cs="Times New Roman" w:eastAsia="Times New Roman" w:hAnsi="Times New Roman"/>
          <w:b w:val="false"/>
          <w:bCs w:val="false"/>
          <w:i w:val="false"/>
          <w:iCs w:val="false"/>
          <w:color w:val="000000"/>
          <w:sz w:val="24"/>
          <w:szCs w:val="24"/>
        </w:rPr>
        <w:t xml:space="preserve">(1), 32–47. https://doi.org/10.1037/1076-8998.5.1.32</w:t>
      </w:r>
    </w:p>
    <w:p>
      <w:pPr>
        <w:spacing w:after="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Wilson, N., &amp; McDaid, S. (2021). The mental health effects of a Universal Basic Income: A synthesis of the evidence. </w:t>
      </w:r>
      <w:r>
        <w:rPr>
          <w:rFonts w:ascii="Times New Roman" w:cs="Times New Roman" w:eastAsia="Times New Roman" w:hAnsi="Times New Roman"/>
          <w:b w:val="false"/>
          <w:bCs w:val="false"/>
          <w:i/>
          <w:iCs/>
          <w:color w:val="000000"/>
          <w:sz w:val="24"/>
          <w:szCs w:val="24"/>
        </w:rPr>
        <w:t xml:space="preserve">Social Science &amp; Medicine, 287</w:t>
      </w:r>
      <w:r>
        <w:rPr>
          <w:rFonts w:ascii="Times New Roman" w:cs="Times New Roman" w:eastAsia="Times New Roman" w:hAnsi="Times New Roman"/>
          <w:b w:val="false"/>
          <w:bCs w:val="false"/>
          <w:i w:val="false"/>
          <w:iCs w:val="false"/>
          <w:color w:val="000000"/>
          <w:sz w:val="24"/>
          <w:szCs w:val="24"/>
        </w:rPr>
        <w:t xml:space="preserve">, Article 114374. https://doi.org/10.1016/j.socscimed.2021.114374</w:t>
      </w:r>
    </w:p>
    <w:p>
      <w:pPr>
        <w:spacing w:after="0" w:before="0" w:line="480" w:lineRule="auto"/>
      </w:pPr>
      <w:r>
        <w:br w:type="page"/>
      </w:r>
      <w:r>
        <w:rPr>
          <w:rFonts w:ascii="Times New Roman" w:cs="Times New Roman" w:eastAsia="Times New Roman" w:hAnsi="Times New Roman"/>
          <w:b/>
          <w:bCs/>
          <w:i w:val="false"/>
          <w:iCs w:val="false"/>
          <w:color w:val="000000"/>
          <w:sz w:val="24"/>
          <w:szCs w:val="24"/>
        </w:rPr>
        <w:t xml:space="preserve">Table 1</w:t>
      </w:r>
    </w:p>
    <w:p>
      <w:pPr>
        <w:spacing w:after="0" w:before="0" w:line="480" w:lineRule="auto"/>
      </w:pPr>
      <w:r>
        <w:rPr>
          <w:rFonts w:ascii="Times New Roman" w:cs="Times New Roman" w:eastAsia="Times New Roman" w:hAnsi="Times New Roman"/>
          <w:b w:val="false"/>
          <w:bCs w:val="false"/>
          <w:i/>
          <w:iCs/>
          <w:color w:val="000000"/>
          <w:sz w:val="24"/>
          <w:szCs w:val="24"/>
        </w:rPr>
        <w:t xml:space="preserve">Compound Coinages Pairing Economic and Affective or Demographic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900"/>
        <w:gridCol w:w="2855"/>
        <w:gridCol w:w="2855"/>
      </w:tblGrid>
      <w:tr>
        <w:trPr>
          <w:tblHeader/>
        </w:trPr>
        <w:tc>
          <w:tcPr>
            <w:tcW w:type="dxa" w:w="1750"/>
            <w:tcBorders>
              <w:top w:val="single" w:color="000000" w:sz="6"/>
              <w:left w:val="nil"/>
              <w:bottom w:val="single" w:color="000000" w:sz="4"/>
              <w:right w:val="nil"/>
            </w:tcBorders>
            <w:tcMar>
              <w:top w:type="dxa" w:w="100"/>
              <w:left w:type="dxa" w:w="120"/>
              <w:bottom w:type="dxa" w:w="100"/>
              <w:right w:type="dxa" w:w="120"/>
            </w:tcMar>
            <w:vAlign w:val="center"/>
          </w:tcPr>
          <w:p>
            <w:pPr>
              <w:spacing w:line="280" w:lineRule="auto"/>
            </w:pPr>
            <w:r>
              <w:rPr>
                <w:rFonts w:ascii="Times New Roman" w:cs="Times New Roman" w:eastAsia="Times New Roman" w:hAnsi="Times New Roman"/>
                <w:b/>
                <w:bCs/>
                <w:i w:val="false"/>
                <w:iCs w:val="false"/>
                <w:color w:val="000000"/>
                <w:sz w:val="24"/>
                <w:szCs w:val="24"/>
              </w:rPr>
              <w:t xml:space="preserve">Term</w:t>
            </w:r>
          </w:p>
        </w:tc>
        <w:tc>
          <w:tcPr>
            <w:tcW w:type="dxa" w:w="1900"/>
            <w:tcBorders>
              <w:top w:val="single" w:color="000000" w:sz="6"/>
              <w:left w:val="nil"/>
              <w:bottom w:val="single" w:color="000000" w:sz="4"/>
              <w:right w:val="nil"/>
            </w:tcBorders>
            <w:tcMar>
              <w:top w:type="dxa" w:w="100"/>
              <w:left w:type="dxa" w:w="120"/>
              <w:bottom w:type="dxa" w:w="100"/>
              <w:right w:type="dxa" w:w="120"/>
            </w:tcMar>
            <w:vAlign w:val="center"/>
          </w:tcPr>
          <w:p>
            <w:pPr>
              <w:spacing w:line="280" w:lineRule="auto"/>
            </w:pPr>
            <w:r>
              <w:rPr>
                <w:rFonts w:ascii="Times New Roman" w:cs="Times New Roman" w:eastAsia="Times New Roman" w:hAnsi="Times New Roman"/>
                <w:b/>
                <w:bCs/>
                <w:i w:val="false"/>
                <w:iCs w:val="false"/>
                <w:color w:val="000000"/>
                <w:sz w:val="24"/>
                <w:szCs w:val="24"/>
              </w:rPr>
              <w:t xml:space="preserve">Origin</w:t>
            </w:r>
          </w:p>
        </w:tc>
        <w:tc>
          <w:tcPr>
            <w:tcW w:type="dxa" w:w="2855"/>
            <w:tcBorders>
              <w:top w:val="single" w:color="000000" w:sz="6"/>
              <w:left w:val="nil"/>
              <w:bottom w:val="single" w:color="000000" w:sz="4"/>
              <w:right w:val="nil"/>
            </w:tcBorders>
            <w:tcMar>
              <w:top w:type="dxa" w:w="100"/>
              <w:left w:type="dxa" w:w="120"/>
              <w:bottom w:type="dxa" w:w="100"/>
              <w:right w:type="dxa" w:w="120"/>
            </w:tcMar>
            <w:vAlign w:val="center"/>
          </w:tcPr>
          <w:p>
            <w:pPr>
              <w:spacing w:line="280" w:lineRule="auto"/>
            </w:pPr>
            <w:r>
              <w:rPr>
                <w:rFonts w:ascii="Times New Roman" w:cs="Times New Roman" w:eastAsia="Times New Roman" w:hAnsi="Times New Roman"/>
                <w:b/>
                <w:bCs/>
                <w:i w:val="false"/>
                <w:iCs w:val="false"/>
                <w:color w:val="000000"/>
                <w:sz w:val="24"/>
                <w:szCs w:val="24"/>
              </w:rPr>
              <w:t xml:space="preserve">Captures</w:t>
            </w:r>
          </w:p>
        </w:tc>
        <w:tc>
          <w:tcPr>
            <w:tcW w:type="dxa" w:w="2855"/>
            <w:tcBorders>
              <w:top w:val="single" w:color="000000" w:sz="6"/>
              <w:left w:val="nil"/>
              <w:bottom w:val="single" w:color="000000" w:sz="4"/>
              <w:right w:val="nil"/>
            </w:tcBorders>
            <w:tcMar>
              <w:top w:type="dxa" w:w="100"/>
              <w:left w:type="dxa" w:w="120"/>
              <w:bottom w:type="dxa" w:w="100"/>
              <w:right w:type="dxa" w:w="120"/>
            </w:tcMar>
            <w:vAlign w:val="center"/>
          </w:tcPr>
          <w:p>
            <w:pPr>
              <w:spacing w:line="280" w:lineRule="auto"/>
            </w:pPr>
            <w:r>
              <w:rPr>
                <w:rFonts w:ascii="Times New Roman" w:cs="Times New Roman" w:eastAsia="Times New Roman" w:hAnsi="Times New Roman"/>
                <w:b/>
                <w:bCs/>
                <w:i w:val="false"/>
                <w:iCs w:val="false"/>
                <w:color w:val="000000"/>
                <w:sz w:val="24"/>
                <w:szCs w:val="24"/>
              </w:rPr>
              <w:t xml:space="preserve">Misses</w:t>
            </w:r>
          </w:p>
        </w:tc>
      </w:tr>
      <w:tr>
        <w:tc>
          <w:tcPr>
            <w:tcW w:type="dxa" w:w="1750"/>
            <w:tcBorders>
              <w:top w:val="nil"/>
              <w:left w:val="nil"/>
              <w:bottom w:val="nil"/>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iCs/>
                <w:color w:val="000000"/>
                <w:sz w:val="24"/>
                <w:szCs w:val="24"/>
              </w:rPr>
              <w:t xml:space="preserve">Deaths of despair</w:t>
            </w:r>
          </w:p>
        </w:tc>
        <w:tc>
          <w:tcPr>
            <w:tcW w:type="dxa" w:w="1900"/>
            <w:tcBorders>
              <w:top w:val="nil"/>
              <w:left w:val="nil"/>
              <w:bottom w:val="nil"/>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Case &amp; Deaton (2015, 2020)</w:t>
            </w:r>
          </w:p>
        </w:tc>
        <w:tc>
          <w:tcPr>
            <w:tcW w:type="dxa" w:w="2855"/>
            <w:tcBorders>
              <w:top w:val="nil"/>
              <w:left w:val="nil"/>
              <w:bottom w:val="nil"/>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Mortality from suicide, drugs, and alcohol concentrated among non-college Whites; labor-market collapse pathway</w:t>
            </w:r>
          </w:p>
        </w:tc>
        <w:tc>
          <w:tcPr>
            <w:tcW w:type="dxa" w:w="2855"/>
            <w:tcBorders>
              <w:top w:val="nil"/>
              <w:left w:val="nil"/>
              <w:bottom w:val="nil"/>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Pre-mortality morbidity; the working population still upstream of mortality</w:t>
            </w:r>
          </w:p>
        </w:tc>
      </w:tr>
      <w:tr>
        <w:tc>
          <w:tcPr>
            <w:tcW w:type="dxa" w:w="1750"/>
            <w:tcBorders>
              <w:top w:val="nil"/>
              <w:left w:val="nil"/>
              <w:bottom w:val="nil"/>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iCs/>
                <w:color w:val="000000"/>
                <w:sz w:val="24"/>
                <w:szCs w:val="24"/>
              </w:rPr>
              <w:t xml:space="preserve">Vibecession</w:t>
            </w:r>
          </w:p>
        </w:tc>
        <w:tc>
          <w:tcPr>
            <w:tcW w:type="dxa" w:w="1900"/>
            <w:tcBorders>
              <w:top w:val="nil"/>
              <w:left w:val="nil"/>
              <w:bottom w:val="nil"/>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Scanlon (2022)</w:t>
            </w:r>
          </w:p>
        </w:tc>
        <w:tc>
          <w:tcPr>
            <w:tcW w:type="dxa" w:w="2855"/>
            <w:tcBorders>
              <w:top w:val="nil"/>
              <w:left w:val="nil"/>
              <w:bottom w:val="nil"/>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Gap between consumer sentiment and macro fundamentals</w:t>
            </w:r>
          </w:p>
        </w:tc>
        <w:tc>
          <w:tcPr>
            <w:tcW w:type="dxa" w:w="2855"/>
            <w:tcBorders>
              <w:top w:val="nil"/>
              <w:left w:val="nil"/>
              <w:bottom w:val="nil"/>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Mechanism; operationalization; the rhetorical liability of “vibes”</w:t>
            </w:r>
          </w:p>
        </w:tc>
      </w:tr>
      <w:tr>
        <w:tc>
          <w:tcPr>
            <w:tcW w:type="dxa" w:w="1750"/>
            <w:tcBorders>
              <w:top w:val="nil"/>
              <w:left w:val="nil"/>
              <w:bottom w:val="nil"/>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iCs/>
                <w:color w:val="000000"/>
                <w:sz w:val="24"/>
                <w:szCs w:val="24"/>
              </w:rPr>
              <w:t xml:space="preserve">Shecession</w:t>
            </w:r>
          </w:p>
        </w:tc>
        <w:tc>
          <w:tcPr>
            <w:tcW w:type="dxa" w:w="1900"/>
            <w:tcBorders>
              <w:top w:val="nil"/>
              <w:left w:val="nil"/>
              <w:bottom w:val="nil"/>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Alon et al. (2021)</w:t>
            </w:r>
          </w:p>
        </w:tc>
        <w:tc>
          <w:tcPr>
            <w:tcW w:type="dxa" w:w="2855"/>
            <w:tcBorders>
              <w:top w:val="nil"/>
              <w:left w:val="nil"/>
              <w:bottom w:val="nil"/>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Women’s disproportionate employment loss during COVID-19</w:t>
            </w:r>
          </w:p>
        </w:tc>
        <w:tc>
          <w:tcPr>
            <w:tcW w:type="dxa" w:w="2855"/>
            <w:tcBorders>
              <w:top w:val="nil"/>
              <w:left w:val="nil"/>
              <w:bottom w:val="nil"/>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Mental-health pathway; non-cycle periods; non-women</w:t>
            </w:r>
          </w:p>
        </w:tc>
      </w:tr>
      <w:tr>
        <w:tc>
          <w:tcPr>
            <w:tcW w:type="dxa" w:w="1750"/>
            <w:tcBorders>
              <w:top w:val="nil"/>
              <w:left w:val="nil"/>
              <w:bottom w:val="nil"/>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iCs/>
                <w:color w:val="000000"/>
                <w:sz w:val="24"/>
                <w:szCs w:val="24"/>
              </w:rPr>
              <w:t xml:space="preserve">Mancession</w:t>
            </w:r>
          </w:p>
        </w:tc>
        <w:tc>
          <w:tcPr>
            <w:tcW w:type="dxa" w:w="1900"/>
            <w:tcBorders>
              <w:top w:val="nil"/>
              <w:left w:val="nil"/>
              <w:bottom w:val="nil"/>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Post-2008 GFC coinage</w:t>
            </w:r>
          </w:p>
        </w:tc>
        <w:tc>
          <w:tcPr>
            <w:tcW w:type="dxa" w:w="2855"/>
            <w:tcBorders>
              <w:top w:val="nil"/>
              <w:left w:val="nil"/>
              <w:bottom w:val="nil"/>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Men’s disproportionate employment loss in conventional recessions</w:t>
            </w:r>
          </w:p>
        </w:tc>
        <w:tc>
          <w:tcPr>
            <w:tcW w:type="dxa" w:w="2855"/>
            <w:tcBorders>
              <w:top w:val="nil"/>
              <w:left w:val="nil"/>
              <w:bottom w:val="nil"/>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As above; cycle-bound; outcome-silent on mental health</w:t>
            </w:r>
          </w:p>
        </w:tc>
      </w:tr>
      <w:tr>
        <w:tc>
          <w:tcPr>
            <w:tcW w:type="dxa" w:w="1750"/>
            <w:tcBorders>
              <w:top w:val="nil"/>
              <w:left w:val="nil"/>
              <w:bottom w:val="single" w:color="000000" w:sz="6"/>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bCs/>
                <w:i/>
                <w:iCs/>
                <w:color w:val="000000"/>
                <w:sz w:val="24"/>
                <w:szCs w:val="24"/>
              </w:rPr>
              <w:t xml:space="preserve">Psychological recession</w:t>
            </w:r>
          </w:p>
        </w:tc>
        <w:tc>
          <w:tcPr>
            <w:tcW w:type="dxa" w:w="1900"/>
            <w:tcBorders>
              <w:top w:val="nil"/>
              <w:left w:val="nil"/>
              <w:bottom w:val="single" w:color="000000" w:sz="6"/>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This paper</w:t>
            </w:r>
          </w:p>
        </w:tc>
        <w:tc>
          <w:tcPr>
            <w:tcW w:type="dxa" w:w="2855"/>
            <w:tcBorders>
              <w:top w:val="nil"/>
              <w:left w:val="nil"/>
              <w:bottom w:val="single" w:color="000000" w:sz="6"/>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Population-level psychiatric deterioration decoupled from technical recession, driven by structural labor-market features</w:t>
            </w:r>
          </w:p>
        </w:tc>
        <w:tc>
          <w:tcPr>
            <w:tcW w:type="dxa" w:w="2855"/>
            <w:tcBorders>
              <w:top w:val="nil"/>
              <w:left w:val="nil"/>
              <w:bottom w:val="single" w:color="000000" w:sz="6"/>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Construct under development; awaiting instrument validation and panel embedment</w:t>
            </w:r>
          </w:p>
        </w:tc>
      </w:tr>
    </w:tbl>
    <w:p>
      <w:pPr>
        <w:spacing w:after="0" w:before="0" w:line="480" w:lineRule="auto"/>
      </w:pPr>
      <w:r>
        <w:rPr>
          <w:rFonts w:ascii="Times New Roman" w:cs="Times New Roman" w:eastAsia="Times New Roman" w:hAnsi="Times New Roman"/>
          <w:b w:val="false"/>
          <w:bCs w:val="false"/>
          <w:i/>
          <w:iCs/>
          <w:color w:val="000000"/>
          <w:sz w:val="24"/>
          <w:szCs w:val="24"/>
        </w:rPr>
        <w:t xml:space="preserve">Note</w:t>
      </w:r>
      <w:r>
        <w:rPr>
          <w:rFonts w:ascii="Times New Roman" w:cs="Times New Roman" w:eastAsia="Times New Roman" w:hAnsi="Times New Roman"/>
          <w:b w:val="false"/>
          <w:bCs w:val="false"/>
          <w:i w:val="false"/>
          <w:iCs w:val="false"/>
          <w:color w:val="000000"/>
          <w:sz w:val="24"/>
          <w:szCs w:val="24"/>
        </w:rPr>
        <w:t xml:space="preserve">. GFC = Great Financial Crisis. Adjacent constructs each capture a real phenomenon; none is sufficient to explain the December 2025 paradox.</w:t>
      </w:r>
    </w:p>
    <w:p>
      <w:pPr>
        <w:spacing w:after="0" w:before="0" w:line="480" w:lineRule="auto"/>
      </w:pPr>
      <w:r>
        <w:br w:type="page"/>
      </w:r>
      <w:r>
        <w:rPr>
          <w:rFonts w:ascii="Times New Roman" w:cs="Times New Roman" w:eastAsia="Times New Roman" w:hAnsi="Times New Roman"/>
          <w:b/>
          <w:bCs/>
          <w:i w:val="false"/>
          <w:iCs w:val="false"/>
          <w:color w:val="000000"/>
          <w:sz w:val="24"/>
          <w:szCs w:val="24"/>
        </w:rPr>
        <w:t xml:space="preserve">Table 2</w:t>
      </w:r>
    </w:p>
    <w:p>
      <w:pPr>
        <w:spacing w:after="0" w:before="0" w:line="480" w:lineRule="auto"/>
      </w:pPr>
      <w:r>
        <w:rPr>
          <w:rFonts w:ascii="Times New Roman" w:cs="Times New Roman" w:eastAsia="Times New Roman" w:hAnsi="Times New Roman"/>
          <w:b w:val="false"/>
          <w:bCs w:val="false"/>
          <w:i/>
          <w:iCs/>
          <w:color w:val="000000"/>
          <w:sz w:val="24"/>
          <w:szCs w:val="24"/>
        </w:rPr>
        <w:t xml:space="preserve">Two-Level Operationalization of the Psychological Recession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50"/>
        <w:gridCol w:w="2910"/>
        <w:gridCol w:w="1500"/>
        <w:gridCol w:w="1700"/>
      </w:tblGrid>
      <w:tr>
        <w:trPr>
          <w:tblHeader/>
        </w:trPr>
        <w:tc>
          <w:tcPr>
            <w:tcW w:type="dxa" w:w="1300"/>
            <w:tcBorders>
              <w:top w:val="single" w:color="000000" w:sz="6"/>
              <w:left w:val="nil"/>
              <w:bottom w:val="single" w:color="000000" w:sz="4"/>
              <w:right w:val="nil"/>
            </w:tcBorders>
            <w:tcMar>
              <w:top w:type="dxa" w:w="100"/>
              <w:left w:type="dxa" w:w="120"/>
              <w:bottom w:type="dxa" w:w="100"/>
              <w:right w:type="dxa" w:w="120"/>
            </w:tcMar>
            <w:vAlign w:val="center"/>
          </w:tcPr>
          <w:p>
            <w:pPr>
              <w:spacing w:line="280" w:lineRule="auto"/>
            </w:pPr>
            <w:r>
              <w:rPr>
                <w:rFonts w:ascii="Times New Roman" w:cs="Times New Roman" w:eastAsia="Times New Roman" w:hAnsi="Times New Roman"/>
                <w:b/>
                <w:bCs/>
                <w:i w:val="false"/>
                <w:iCs w:val="false"/>
                <w:color w:val="000000"/>
                <w:sz w:val="24"/>
                <w:szCs w:val="24"/>
              </w:rPr>
              <w:t xml:space="preserve">Level</w:t>
            </w:r>
          </w:p>
        </w:tc>
        <w:tc>
          <w:tcPr>
            <w:tcW w:type="dxa" w:w="1950"/>
            <w:tcBorders>
              <w:top w:val="single" w:color="000000" w:sz="6"/>
              <w:left w:val="nil"/>
              <w:bottom w:val="single" w:color="000000" w:sz="4"/>
              <w:right w:val="nil"/>
            </w:tcBorders>
            <w:tcMar>
              <w:top w:type="dxa" w:w="100"/>
              <w:left w:type="dxa" w:w="120"/>
              <w:bottom w:type="dxa" w:w="100"/>
              <w:right w:type="dxa" w:w="120"/>
            </w:tcMar>
            <w:vAlign w:val="center"/>
          </w:tcPr>
          <w:p>
            <w:pPr>
              <w:spacing w:line="280" w:lineRule="auto"/>
            </w:pPr>
            <w:r>
              <w:rPr>
                <w:rFonts w:ascii="Times New Roman" w:cs="Times New Roman" w:eastAsia="Times New Roman" w:hAnsi="Times New Roman"/>
                <w:b/>
                <w:bCs/>
                <w:i w:val="false"/>
                <w:iCs w:val="false"/>
                <w:color w:val="000000"/>
                <w:sz w:val="24"/>
                <w:szCs w:val="24"/>
              </w:rPr>
              <w:t xml:space="preserve">Instrument</w:t>
            </w:r>
          </w:p>
        </w:tc>
        <w:tc>
          <w:tcPr>
            <w:tcW w:type="dxa" w:w="2910"/>
            <w:tcBorders>
              <w:top w:val="single" w:color="000000" w:sz="6"/>
              <w:left w:val="nil"/>
              <w:bottom w:val="single" w:color="000000" w:sz="4"/>
              <w:right w:val="nil"/>
            </w:tcBorders>
            <w:tcMar>
              <w:top w:type="dxa" w:w="100"/>
              <w:left w:type="dxa" w:w="120"/>
              <w:bottom w:type="dxa" w:w="100"/>
              <w:right w:type="dxa" w:w="120"/>
            </w:tcMar>
            <w:vAlign w:val="center"/>
          </w:tcPr>
          <w:p>
            <w:pPr>
              <w:spacing w:line="280" w:lineRule="auto"/>
            </w:pPr>
            <w:r>
              <w:rPr>
                <w:rFonts w:ascii="Times New Roman" w:cs="Times New Roman" w:eastAsia="Times New Roman" w:hAnsi="Times New Roman"/>
                <w:b/>
                <w:bCs/>
                <w:i w:val="false"/>
                <w:iCs w:val="false"/>
                <w:color w:val="000000"/>
                <w:sz w:val="24"/>
                <w:szCs w:val="24"/>
              </w:rPr>
              <w:t xml:space="preserve">Components</w:t>
            </w:r>
          </w:p>
        </w:tc>
        <w:tc>
          <w:tcPr>
            <w:tcW w:type="dxa" w:w="1500"/>
            <w:tcBorders>
              <w:top w:val="single" w:color="000000" w:sz="6"/>
              <w:left w:val="nil"/>
              <w:bottom w:val="single" w:color="000000" w:sz="4"/>
              <w:right w:val="nil"/>
            </w:tcBorders>
            <w:tcMar>
              <w:top w:type="dxa" w:w="100"/>
              <w:left w:type="dxa" w:w="120"/>
              <w:bottom w:type="dxa" w:w="100"/>
              <w:right w:type="dxa" w:w="120"/>
            </w:tcMar>
            <w:vAlign w:val="center"/>
          </w:tcPr>
          <w:p>
            <w:pPr>
              <w:spacing w:line="280" w:lineRule="auto"/>
            </w:pPr>
            <w:r>
              <w:rPr>
                <w:rFonts w:ascii="Times New Roman" w:cs="Times New Roman" w:eastAsia="Times New Roman" w:hAnsi="Times New Roman"/>
                <w:b/>
                <w:bCs/>
                <w:i w:val="false"/>
                <w:iCs w:val="false"/>
                <w:color w:val="000000"/>
                <w:sz w:val="24"/>
                <w:szCs w:val="24"/>
              </w:rPr>
              <w:t xml:space="preserve">Frequency</w:t>
            </w:r>
          </w:p>
        </w:tc>
        <w:tc>
          <w:tcPr>
            <w:tcW w:type="dxa" w:w="1700"/>
            <w:tcBorders>
              <w:top w:val="single" w:color="000000" w:sz="6"/>
              <w:left w:val="nil"/>
              <w:bottom w:val="single" w:color="000000" w:sz="4"/>
              <w:right w:val="nil"/>
            </w:tcBorders>
            <w:tcMar>
              <w:top w:type="dxa" w:w="100"/>
              <w:left w:type="dxa" w:w="120"/>
              <w:bottom w:type="dxa" w:w="100"/>
              <w:right w:type="dxa" w:w="120"/>
            </w:tcMar>
            <w:vAlign w:val="center"/>
          </w:tcPr>
          <w:p>
            <w:pPr>
              <w:spacing w:line="280" w:lineRule="auto"/>
            </w:pPr>
            <w:r>
              <w:rPr>
                <w:rFonts w:ascii="Times New Roman" w:cs="Times New Roman" w:eastAsia="Times New Roman" w:hAnsi="Times New Roman"/>
                <w:b/>
                <w:bCs/>
                <w:i w:val="false"/>
                <w:iCs w:val="false"/>
                <w:color w:val="000000"/>
                <w:sz w:val="24"/>
                <w:szCs w:val="24"/>
              </w:rPr>
              <w:t xml:space="preserve">Use</w:t>
            </w:r>
          </w:p>
        </w:tc>
      </w:tr>
      <w:tr>
        <w:tc>
          <w:tcPr>
            <w:tcW w:type="dxa" w:w="1300"/>
            <w:tcBorders>
              <w:top w:val="nil"/>
              <w:left w:val="nil"/>
              <w:bottom w:val="nil"/>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Population</w:t>
            </w:r>
          </w:p>
        </w:tc>
        <w:tc>
          <w:tcPr>
            <w:tcW w:type="dxa" w:w="1950"/>
            <w:tcBorders>
              <w:top w:val="nil"/>
              <w:left w:val="nil"/>
              <w:bottom w:val="nil"/>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bCs/>
                <w:i w:val="false"/>
                <w:iCs w:val="false"/>
                <w:color w:val="000000"/>
                <w:sz w:val="24"/>
                <w:szCs w:val="24"/>
              </w:rPr>
              <w:t xml:space="preserve">Psychological Recession Index (PRI)</w:t>
            </w:r>
          </w:p>
        </w:tc>
        <w:tc>
          <w:tcPr>
            <w:tcW w:type="dxa" w:w="2910"/>
            <w:tcBorders>
              <w:top w:val="nil"/>
              <w:left w:val="nil"/>
              <w:bottom w:val="nil"/>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Mental-health surveillance (K6, PHQ-9, GAD-7, MHI-5) + labor-market-specific (Gallup engagement, ETI, applications-per-offer, ghost-job share) + macro divergence (Conference Board, Michigan, JOLTS adjusted)</w:t>
            </w:r>
          </w:p>
        </w:tc>
        <w:tc>
          <w:tcPr>
            <w:tcW w:type="dxa" w:w="1500"/>
            <w:tcBorders>
              <w:top w:val="nil"/>
              <w:left w:val="nil"/>
              <w:bottom w:val="nil"/>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Quarterly</w:t>
            </w:r>
          </w:p>
        </w:tc>
        <w:tc>
          <w:tcPr>
            <w:tcW w:type="dxa" w:w="1700"/>
            <w:tcBorders>
              <w:top w:val="nil"/>
              <w:left w:val="nil"/>
              <w:bottom w:val="nil"/>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Public dashboard analogous to Consumer Confidence release</w:t>
            </w:r>
          </w:p>
        </w:tc>
      </w:tr>
      <w:tr>
        <w:tc>
          <w:tcPr>
            <w:tcW w:type="dxa" w:w="1300"/>
            <w:tcBorders>
              <w:top w:val="nil"/>
              <w:left w:val="nil"/>
              <w:bottom w:val="single" w:color="000000" w:sz="6"/>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Individual</w:t>
            </w:r>
          </w:p>
        </w:tc>
        <w:tc>
          <w:tcPr>
            <w:tcW w:type="dxa" w:w="1950"/>
            <w:tcBorders>
              <w:top w:val="nil"/>
              <w:left w:val="nil"/>
              <w:bottom w:val="single" w:color="000000" w:sz="6"/>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bCs/>
                <w:i w:val="false"/>
                <w:iCs w:val="false"/>
                <w:color w:val="000000"/>
                <w:sz w:val="24"/>
                <w:szCs w:val="24"/>
              </w:rPr>
              <w:t xml:space="preserve">Labor Market Distress Inventory (LMDI)</w:t>
            </w:r>
          </w:p>
        </w:tc>
        <w:tc>
          <w:tcPr>
            <w:tcW w:type="dxa" w:w="2910"/>
            <w:tcBorders>
              <w:top w:val="nil"/>
              <w:left w:val="nil"/>
              <w:bottom w:val="single" w:color="000000" w:sz="6"/>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K6 (4 items) + quantitative job insecurity (4 items) + qualitative job insecurity (4 items) + LaMB short form (4 items) + Hiring-Process Distress subscale (6 items, new)</w:t>
            </w:r>
          </w:p>
        </w:tc>
        <w:tc>
          <w:tcPr>
            <w:tcW w:type="dxa" w:w="1500"/>
            <w:tcBorders>
              <w:top w:val="nil"/>
              <w:left w:val="nil"/>
              <w:bottom w:val="single" w:color="000000" w:sz="6"/>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One-time or panel</w:t>
            </w:r>
          </w:p>
        </w:tc>
        <w:tc>
          <w:tcPr>
            <w:tcW w:type="dxa" w:w="1700"/>
            <w:tcBorders>
              <w:top w:val="nil"/>
              <w:left w:val="nil"/>
              <w:bottom w:val="single" w:color="000000" w:sz="6"/>
              <w:right w:val="nil"/>
            </w:tcBorders>
            <w:tcMar>
              <w:top w:type="dxa" w:w="100"/>
              <w:left w:type="dxa" w:w="120"/>
              <w:bottom w:type="dxa" w:w="100"/>
              <w:right w:type="dxa" w:w="120"/>
            </w:tcMar>
            <w:vAlign w:val="top"/>
          </w:tcPr>
          <w:p>
            <w:pPr>
              <w:spacing w:line="280" w:lineRule="auto"/>
            </w:pPr>
            <w:r>
              <w:rPr>
                <w:rFonts w:ascii="Times New Roman" w:cs="Times New Roman" w:eastAsia="Times New Roman" w:hAnsi="Times New Roman"/>
                <w:b w:val="false"/>
                <w:bCs w:val="false"/>
                <w:i w:val="false"/>
                <w:iCs w:val="false"/>
                <w:color w:val="000000"/>
                <w:sz w:val="24"/>
                <w:szCs w:val="24"/>
              </w:rPr>
              <w:t xml:space="preserve">Panel embedment (PSID, NHIS, SHARE, ELSA, HILDA, PASS); primary-care screening; intervention evaluation</w:t>
            </w:r>
          </w:p>
        </w:tc>
      </w:tr>
    </w:tbl>
    <w:p>
      <w:pPr>
        <w:spacing w:after="0" w:before="0" w:line="480" w:lineRule="auto"/>
      </w:pPr>
      <w:r>
        <w:rPr>
          <w:rFonts w:ascii="Times New Roman" w:cs="Times New Roman" w:eastAsia="Times New Roman" w:hAnsi="Times New Roman"/>
          <w:b w:val="false"/>
          <w:bCs w:val="false"/>
          <w:i/>
          <w:iCs/>
          <w:color w:val="000000"/>
          <w:sz w:val="24"/>
          <w:szCs w:val="24"/>
        </w:rPr>
        <w:t xml:space="preserve">Note</w:t>
      </w:r>
      <w:r>
        <w:rPr>
          <w:rFonts w:ascii="Times New Roman" w:cs="Times New Roman" w:eastAsia="Times New Roman" w:hAnsi="Times New Roman"/>
          <w:b w:val="false"/>
          <w:bCs w:val="false"/>
          <w:i w:val="false"/>
          <w:iCs w:val="false"/>
          <w:color w:val="000000"/>
          <w:sz w:val="24"/>
          <w:szCs w:val="24"/>
        </w:rPr>
        <w:t xml:space="preserve">. ETI = Conference Board Employment Trends Index. JOLTS = Job Openings and Labor Turnover Survey. K6 = six-item Kessler Psychological Distress Scale. PHQ-9 = nine-item Patient Health Questionnaire. GAD-7 = seven-item Generalized Anxiety Disorder Scale. MHI-5 = five-item Mental Health Inventory. LaMB = Latent and Manifest Benefits of Employment scale. PSID = Panel Study of Income Dynamics. NHIS = National Health Interview Survey. SHARE = Survey of Health, Ageing and Retirement in Europe. ELSA = English Longitudinal Study of Ageing. HILDA = Household, Income and Labour Dynamics in Australia. PASS = German Panel Study Labour Market and Social Security.</w:t>
      </w:r>
    </w:p>
    <w:p>
      <w:pPr>
        <w:spacing w:after="0" w:before="0" w:line="480" w:lineRule="auto"/>
      </w:pPr>
      <w:r>
        <w:br w:type="page"/>
      </w:r>
      <w:r>
        <w:rPr>
          <w:rFonts w:ascii="Times New Roman" w:cs="Times New Roman" w:eastAsia="Times New Roman" w:hAnsi="Times New Roman"/>
          <w:b/>
          <w:bCs/>
          <w:i w:val="false"/>
          <w:iCs w:val="false"/>
          <w:color w:val="000000"/>
          <w:sz w:val="24"/>
          <w:szCs w:val="24"/>
        </w:rPr>
        <w:t xml:space="preserve">Figure 1</w:t>
      </w:r>
    </w:p>
    <w:p>
      <w:pPr>
        <w:spacing w:after="0" w:before="0" w:line="480" w:lineRule="auto"/>
      </w:pPr>
      <w:r>
        <w:rPr>
          <w:rFonts w:ascii="Times New Roman" w:cs="Times New Roman" w:eastAsia="Times New Roman" w:hAnsi="Times New Roman"/>
          <w:b w:val="false"/>
          <w:bCs w:val="false"/>
          <w:i/>
          <w:iCs/>
          <w:color w:val="000000"/>
          <w:sz w:val="24"/>
          <w:szCs w:val="24"/>
        </w:rPr>
        <w:t xml:space="preserve">The Psychological Recession in U.S. Data, 2010–2026 (Empirical Estimation)</w:t>
      </w:r>
    </w:p>
    <w:p>
      <w:pPr>
        <w:spacing w:after="0" w:before="0" w:line="480" w:lineRule="auto"/>
        <w:jc w:val="center"/>
      </w:pPr>
      <w:r>
        <w:drawing>
          <wp:inline distT="0" distB="0" distL="0" distR="0">
            <wp:extent cx="5715000" cy="6257925"/>
            <wp:effectExtent t="0" r="0" b="0" l="0"/>
            <wp:docPr id="1" name="Figure 1" descr="Four-panel time series of the empirically estimated Psychological Recession Index, United States 2010-2026, showing macro-predicted versus observed consumer sentiment, Household Pulse Survey anxiety and depression, the sentiment gap in index points, and the composite standardized PRI"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257925"/>
                    </a:xfrm>
                    <a:prstGeom prst="rect">
                      <a:avLst/>
                    </a:prstGeom>
                  </pic:spPr>
                </pic:pic>
              </a:graphicData>
            </a:graphic>
          </wp:inline>
        </w:drawing>
      </w:r>
    </w:p>
    <w:p>
      <w:pPr>
        <w:spacing w:after="0" w:before="0" w:line="480" w:lineRule="auto"/>
      </w:pPr>
      <w:r>
        <w:rPr>
          <w:rFonts w:ascii="Times New Roman" w:cs="Times New Roman" w:eastAsia="Times New Roman" w:hAnsi="Times New Roman"/>
          <w:b w:val="false"/>
          <w:bCs w:val="false"/>
          <w:i/>
          <w:iCs/>
          <w:color w:val="000000"/>
          <w:sz w:val="24"/>
          <w:szCs w:val="24"/>
        </w:rPr>
        <w:t xml:space="preserve">Note</w:t>
      </w:r>
      <w:r>
        <w:rPr>
          <w:rFonts w:ascii="Times New Roman" w:cs="Times New Roman" w:eastAsia="Times New Roman" w:hAnsi="Times New Roman"/>
          <w:b w:val="false"/>
          <w:bCs w:val="false"/>
          <w:i w:val="false"/>
          <w:iCs w:val="false"/>
          <w:color w:val="000000"/>
          <w:sz w:val="24"/>
          <w:szCs w:val="24"/>
        </w:rPr>
        <w:t xml:space="preserve">. Empirical PRI v2 estimated on publicly available U.S. data. Panel A: Michigan Survey consumer sentiment (observed, navy) compared with the macro-predicted level from a 2010Q1–2019Q4 OLS regression of sentiment on unemployment, year-over-year payroll growth, and log job openings (ember dashed; R² = 0.915, residual σ = 3.09 sentiment-index points). Panel B: Household Pulse Survey adult anxiety-or-depression prevalence (CDC NCHS, biweekly waves aggregated to quarterly; modified PHQ-2 + GAD-2), compared with the National Health Interview Survey 2019 pre-pandemic anchor (10.8%, ±1 pp baseline σ shaded). Panel C: sentiment gap (predicted minus observed, in index points). Panel D: composite Psychological Recession Index, defined as the mean of available standardized residuals across the two psychiatric proxies (sentiment-fundamentals and HPS-anchor). Out-of-sample shading marks 2020Q1 onward. At 2026Q1 the composite PRI registers +10.8 standard deviations above the 2010–2019 baseline; the mean for 2022Q1 onward is +11.8σ; the peak (2025Q4) is +13.5σ. Sources: Bureau of Labor Statistics via FRED (UNRATE, PAYEMS, JTSJOL); University of Michigan Surveys of Consumers via FRED (UMCSENT, ©); U.S. Census Bureau / CDC NCHS Household Pulse Survey; Vahratian et al., MMWR 2021.</w:t>
      </w:r>
    </w:p>
    <w:p>
      <w:pPr>
        <w:sectPr>
          <w:headerReference w:type="default" r:id="rId7"/>
          <w:pgSz w:w="12240" w:h="15840" w:orient="portrait"/>
          <w:pgMar w:top="1440" w:right="1440" w:bottom="1440" w:left="1440" w:header="708" w:footer="708" w:gutter="0"/>
          <w:pgNumType/>
          <w:docGrid w:linePitch="360"/>
        </w:sectPr>
      </w:pPr>
    </w:p>
    <w:p>
      <w:pPr>
        <w:spacing w:after="0" w:before="0" w:line="480" w:lineRule="auto"/>
      </w:pPr>
      <w:r>
        <w:rPr>
          <w:rFonts w:ascii="Times New Roman" w:cs="Times New Roman" w:eastAsia="Times New Roman" w:hAnsi="Times New Roman"/>
          <w:b/>
          <w:bCs/>
          <w:i w:val="false"/>
          <w:iCs w:val="false"/>
          <w:color w:val="000000"/>
          <w:sz w:val="24"/>
          <w:szCs w:val="24"/>
        </w:rPr>
        <w:t xml:space="preserve">Figure 2</w:t>
      </w:r>
    </w:p>
    <w:p>
      <w:pPr>
        <w:spacing w:after="0" w:before="0" w:line="480" w:lineRule="auto"/>
      </w:pPr>
      <w:r>
        <w:rPr>
          <w:rFonts w:ascii="Times New Roman" w:cs="Times New Roman" w:eastAsia="Times New Roman" w:hAnsi="Times New Roman"/>
          <w:b w:val="false"/>
          <w:bCs w:val="false"/>
          <w:i/>
          <w:iCs/>
          <w:color w:val="000000"/>
          <w:sz w:val="24"/>
          <w:szCs w:val="24"/>
        </w:rPr>
        <w:t xml:space="preserve">The Psychological Recession as Fundamental Cause, Syndemic, and Iatrogenic Structure (Proposed)</w:t>
      </w:r>
    </w:p>
    <w:p>
      <w:pPr>
        <w:spacing w:after="0" w:before="0" w:line="480" w:lineRule="auto"/>
        <w:jc w:val="center"/>
      </w:pPr>
      <w:r>
        <w:drawing>
          <wp:inline distT="0" distB="0" distL="0" distR="0">
            <wp:extent cx="6858000" cy="4524375"/>
            <wp:effectExtent t="0" r="0" b="0" l="0"/>
            <wp:docPr id="1" name="Figure 2" descr="Nested-ring conceptual diagram of fundamental cause, syndemic, and iatrogenic structure layers terminating at mental-health instruments and deaths of despair"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0" cy="4524375"/>
                    </a:xfrm>
                    <a:prstGeom prst="rect">
                      <a:avLst/>
                    </a:prstGeom>
                  </pic:spPr>
                </pic:pic>
              </a:graphicData>
            </a:graphic>
          </wp:inline>
        </w:drawing>
      </w:r>
    </w:p>
    <w:p>
      <w:pPr>
        <w:spacing w:after="0" w:before="0" w:line="480" w:lineRule="auto"/>
      </w:pPr>
      <w:r>
        <w:rPr>
          <w:rFonts w:ascii="Times New Roman" w:cs="Times New Roman" w:eastAsia="Times New Roman" w:hAnsi="Times New Roman"/>
          <w:b w:val="false"/>
          <w:bCs w:val="false"/>
          <w:i/>
          <w:iCs/>
          <w:color w:val="000000"/>
          <w:sz w:val="24"/>
          <w:szCs w:val="24"/>
        </w:rPr>
        <w:t xml:space="preserve">Note</w:t>
      </w:r>
      <w:r>
        <w:rPr>
          <w:rFonts w:ascii="Times New Roman" w:cs="Times New Roman" w:eastAsia="Times New Roman" w:hAnsi="Times New Roman"/>
          <w:b w:val="false"/>
          <w:bCs w:val="false"/>
          <w:i w:val="false"/>
          <w:iCs w:val="false"/>
          <w:color w:val="000000"/>
          <w:sz w:val="24"/>
          <w:szCs w:val="24"/>
        </w:rPr>
        <w:t xml:space="preserve">. Nested theoretical layers: the outer ring represents Link and Phelan’s (1995; Phelan et al., 2010) fundamental-cause framework; the middle ring represents Singer and Clair’s (2003) syndemic clustering; the inner ring represents the iatrogenic structural features (Galtung, 1969; Krieger, 1994, 2021) of the post-pandemic U.S. labor market. Mechanism pathways from the inner ring terminate at validated mental-health instruments (PHQ-9, GAD-7, K6, MHI-5, LaMB, CAAS, MBI-GS) and, at the distal endpoint, deaths of despair.</w:t>
      </w:r>
    </w:p>
    <w:sectPr>
      <w:headerReference w:type="default" r:id="rId8"/>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6609abf42f188276c85dce730054f3715bf2718c.png"/><Relationship Id="rId10" Type="http://schemas.openxmlformats.org/officeDocument/2006/relationships/image" Target="media/7c8a20ebf8c159e008314c2ada2f694528a5ee5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Psychological Recession</dc:title>
  <dc:creator>Jacob E. Thomas, PhD</dc:creator>
  <dc:description>SSRN preprint, APA 7th edition</dc:description>
  <cp:lastModifiedBy>Un-named</cp:lastModifiedBy>
  <cp:revision>1</cp:revision>
  <dcterms:created xsi:type="dcterms:W3CDTF">2026-05-19T22:01:24.412Z</dcterms:created>
  <dcterms:modified xsi:type="dcterms:W3CDTF">2026-05-19T22:01:24.423Z</dcterms:modified>
</cp:coreProperties>
</file>

<file path=docProps/custom.xml><?xml version="1.0" encoding="utf-8"?>
<Properties xmlns="http://schemas.openxmlformats.org/officeDocument/2006/custom-properties" xmlns:vt="http://schemas.openxmlformats.org/officeDocument/2006/docPropsVTypes"/>
</file>