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B9700" w14:textId="0B4D7860" w:rsidR="00B12B1D" w:rsidRDefault="00C93D54">
      <w:r>
        <w:t>Jacob,</w:t>
      </w:r>
    </w:p>
    <w:p w14:paraId="4C39A2A8" w14:textId="360FA702" w:rsidR="00B12B1D" w:rsidRDefault="00000000">
      <w:r>
        <w:t>Let me begin by saying how genuinely impressed I am by the ambition and creative sweep of The Companion Dossier. It is rare to encounter a project that attempts not merely to design a technical protocol, but to articulate a philosophy of technology, a civic intervention, and a new genre of intellectual practice simultaneously. The fusion of behavioral epidemiology, systems engineering, and civic republicanism is striking.</w:t>
      </w:r>
    </w:p>
    <w:p w14:paraId="5F4CAD3C" w14:textId="1186D10B" w:rsidR="00B12B1D" w:rsidRDefault="00000000">
      <w:r>
        <w:t>Most of all, I admire the imaginative leap at the heart of COMPANION: the effort to turn large language models from engines of distraction into instruments of deliberation. Framing the summoning of historical minds as both ancient ritual and modern protocol is bold and rhetorically compelling. In many respects, this is historical thinking emerging from a computer science perspective—an attempt to operationalize intellectual history and republican theory within contemporary computational infrastructure. That is an extraordinary and generative ambition.</w:t>
      </w:r>
    </w:p>
    <w:p w14:paraId="3629BE01" w14:textId="7C0E5A40" w:rsidR="00B12B1D" w:rsidRDefault="00000000">
      <w:r>
        <w:t>Before turning to specific suggestions, however, I think it is important to foreground a central historical tension that runs through your choice of interlocutors: the small-r republican vision of the Founding Fathers was, in significant respects, profoundly anti-democratic. The architects of the early American republic harbored deep distrust of direct popular rule. Their conception of independence and civic virtue rested on the belief that only a relatively educated, propertied elite—men capable of disinterested reasoning about the “common weal”—could safely guide the republic. The Senate, the Electoral College, and the indirect mechanisms of representation were not accidental; they were structural expressions of this suspicion of mass democracy. To summon Washington, Hamilton, or even Jefferson into our present is therefore to invite a set of assumptions about governance that would likely disparage direct democracy and express skepticism toward populist mobilization. This has profound implications for how such figures might interpret contemporary political turbulence. They might see not merely oligarchic capture, but also the dangers of unfiltered popular sovereignty. Making this tension explicit in the protocol would strengthen the historical depth of the project and clarify the stakes of the dialogue.</w:t>
      </w:r>
    </w:p>
    <w:p w14:paraId="734D736D" w14:textId="4DA93F7D" w:rsidR="00B12B1D" w:rsidRDefault="00000000">
      <w:r>
        <w:t>With that frame in place, I would like to offer several additional reflections and critical suggestions, all designed to strengthen what is already a deeply creative foundation.</w:t>
      </w:r>
    </w:p>
    <w:p w14:paraId="51C5FA9E" w14:textId="3AB891FE" w:rsidR="00B12B1D" w:rsidRPr="00C93D54" w:rsidRDefault="00000000">
      <w:pPr>
        <w:rPr>
          <w:b/>
          <w:bCs/>
        </w:rPr>
      </w:pPr>
      <w:r w:rsidRPr="00C93D54">
        <w:rPr>
          <w:b/>
          <w:bCs/>
        </w:rPr>
        <w:t>Historical Authenticity and the Problem of Temporality</w:t>
      </w:r>
    </w:p>
    <w:p w14:paraId="332C527F" w14:textId="77777777" w:rsidR="00B12B1D" w:rsidRDefault="00000000">
      <w:r>
        <w:t>The protocol emphasizes “instantiation” rather than imitation, and it commendably insists on preserving the contradictions of complex figures. From a historian’s standpoint, however, one of the central challenges is temporality. Historical actors were not static worldviews but evolving figures shaped by specific conjunctures. Lincoln in 1858 is not Lincoln in 1863; Jefferson in private correspondence is not Jefferson in presidential office.</w:t>
      </w:r>
    </w:p>
    <w:p w14:paraId="46659679" w14:textId="77777777" w:rsidR="00B12B1D" w:rsidRDefault="00B12B1D"/>
    <w:p w14:paraId="3C356F8B" w14:textId="55C583C8" w:rsidR="00B12B1D" w:rsidRDefault="00000000">
      <w:r>
        <w:lastRenderedPageBreak/>
        <w:t>The dossier would benefit from greater clarity about which historical moment a summoned persona inhabits and how that moment is anchored in documentary evidence. Without such grounding, “authenticity” risks becoming stylistic coherence rather than historically disciplined reconstruction. Introducing temporal parameters or corpus-based anchoring would significantly deepen the historical rigor of the protocol.</w:t>
      </w:r>
    </w:p>
    <w:p w14:paraId="7F75D8E5" w14:textId="66AF7A9B" w:rsidR="00B12B1D" w:rsidRPr="00C93D54" w:rsidRDefault="00000000">
      <w:pPr>
        <w:rPr>
          <w:b/>
          <w:bCs/>
        </w:rPr>
      </w:pPr>
      <w:r w:rsidRPr="00C93D54">
        <w:rPr>
          <w:b/>
          <w:bCs/>
        </w:rPr>
        <w:t>Authority, Aura, and Historiographical Plurality</w:t>
      </w:r>
    </w:p>
    <w:p w14:paraId="3C1A8768" w14:textId="74FF6F49" w:rsidR="00B12B1D" w:rsidRDefault="00000000">
      <w:r>
        <w:t>The ritual language of summoning and covenant is powerful, but it may inadvertently reintroduce forms of authority that historians are trained to interrogate. When Washington or Hamilton “arrive” and deliberate, their speech carries a persuasive aura. Yet professional historical practice insists on contextualization, contradiction, and critique.</w:t>
      </w:r>
    </w:p>
    <w:p w14:paraId="2B21A691" w14:textId="065D41B4" w:rsidR="00B12B1D" w:rsidRDefault="00000000">
      <w:r>
        <w:t>One way to strengthen the project would be to embed historiographical plurality directly into the protocol—perhaps pairing figures with later critics, or designing structured counter-voices that surface blind spots. Making mediation visible rather than invisible would preserve the creative force of the exercise while avoiding the reification of canonical authority.</w:t>
      </w:r>
    </w:p>
    <w:p w14:paraId="251530FC" w14:textId="6FA38EE6" w:rsidR="00B12B1D" w:rsidRPr="00C93D54" w:rsidRDefault="00000000">
      <w:pPr>
        <w:rPr>
          <w:b/>
          <w:bCs/>
        </w:rPr>
      </w:pPr>
      <w:r w:rsidRPr="00C93D54">
        <w:rPr>
          <w:b/>
          <w:bCs/>
        </w:rPr>
        <w:t>Economic Sovereignty and Structural Power</w:t>
      </w:r>
    </w:p>
    <w:p w14:paraId="0E44AA27" w14:textId="70ADF3AE" w:rsidR="00B12B1D" w:rsidRDefault="00000000">
      <w:r>
        <w:t>The Committee of Patriots demonstration is imaginative and compelling. However, from a historical perspective, concentrated capital has repeatedly shown its ability to absorb, redirect, or neutralize decentralized reform efforts. The dossier might engage more directly with the history of cooperative finance, mutual aid societies, populist banking movements, and the regulatory state.</w:t>
      </w:r>
    </w:p>
    <w:p w14:paraId="6FA44571" w14:textId="5C6A4A3A" w:rsidR="00B12B1D" w:rsidRDefault="00000000">
      <w:r>
        <w:t>A clearer distinction between market participation and structural transformation would sharpen the argument. Is the proposed intervention fundamentally altering incentive architectures, or does it operate within the very logics it critiques? Naming that tension explicitly would increase the credibility of the project.</w:t>
      </w:r>
    </w:p>
    <w:p w14:paraId="50F108A2" w14:textId="6C6CAAFC" w:rsidR="00B12B1D" w:rsidRPr="00C93D54" w:rsidRDefault="00000000">
      <w:pPr>
        <w:rPr>
          <w:b/>
          <w:bCs/>
        </w:rPr>
      </w:pPr>
      <w:r w:rsidRPr="00C93D54">
        <w:rPr>
          <w:b/>
          <w:bCs/>
        </w:rPr>
        <w:t>Ritual Form and Technical Transparency</w:t>
      </w:r>
    </w:p>
    <w:p w14:paraId="75E6B94D" w14:textId="1FE87E8F" w:rsidR="00B12B1D" w:rsidRDefault="00000000">
      <w:r>
        <w:t>The “Initiation Rite” and “Enrichment Grimoire” are rhetorically elegant. At the same time, broader adoption—especially among scholars and civic technologists—will likely require a parallel technical exposition. A supplementary white paper that clarifies model dependencies, training assumptions, reproducibility, and failure modes would ground the visionary language in demonstrable architecture.</w:t>
      </w:r>
    </w:p>
    <w:p w14:paraId="06755BB0" w14:textId="14EC8862" w:rsidR="00B12B1D" w:rsidRDefault="00000000">
      <w:r>
        <w:t xml:space="preserve">The stronger </w:t>
      </w:r>
      <w:r w:rsidR="00C93D54">
        <w:t>t</w:t>
      </w:r>
      <w:r>
        <w:t>he transparency, the stronger the claim.</w:t>
      </w:r>
    </w:p>
    <w:p w14:paraId="618521E4" w14:textId="5138D052" w:rsidR="00B12B1D" w:rsidRPr="00C93D54" w:rsidRDefault="00000000">
      <w:pPr>
        <w:rPr>
          <w:b/>
          <w:bCs/>
        </w:rPr>
      </w:pPr>
      <w:r w:rsidRPr="00C93D54">
        <w:rPr>
          <w:b/>
          <w:bCs/>
        </w:rPr>
        <w:t>Situating the Information Flood Historically</w:t>
      </w:r>
    </w:p>
    <w:p w14:paraId="74377AEE" w14:textId="0B9CC6E3" w:rsidR="00B12B1D" w:rsidRDefault="00000000">
      <w:r>
        <w:t>Your diagnosis of the Information Flood is sharp and persuasive. Yet information crises are not new: the saturation of print in the seventeenth century, the penny press in the nineteenth, radio propaganda in the twentieth. A more explicitly comparative media-</w:t>
      </w:r>
      <w:r>
        <w:lastRenderedPageBreak/>
        <w:t>historical frame would help distinguish what is genuinely unprecedented (algorithmic optimization, scale, behavioral targeting) from what is recurrent.</w:t>
      </w:r>
    </w:p>
    <w:p w14:paraId="6F2F7D3F" w14:textId="1886B7ED" w:rsidR="00B12B1D" w:rsidRDefault="00000000">
      <w:r>
        <w:t>Doing so would anchor your thesis within a longer arc of media transitions, strengthening rather than diluting its urgency.</w:t>
      </w:r>
    </w:p>
    <w:p w14:paraId="6489E1CB" w14:textId="7D5BDA82" w:rsidR="00B12B1D" w:rsidRPr="00C93D54" w:rsidRDefault="00000000">
      <w:pPr>
        <w:rPr>
          <w:b/>
          <w:bCs/>
        </w:rPr>
      </w:pPr>
      <w:r w:rsidRPr="00C93D54">
        <w:rPr>
          <w:b/>
          <w:bCs/>
        </w:rPr>
        <w:t xml:space="preserve">Additional Interlocutors for a Moment of </w:t>
      </w:r>
      <w:proofErr w:type="spellStart"/>
      <w:r w:rsidRPr="00C93D54">
        <w:rPr>
          <w:b/>
          <w:bCs/>
        </w:rPr>
        <w:t>Polycrisis</w:t>
      </w:r>
      <w:proofErr w:type="spellEnd"/>
    </w:p>
    <w:p w14:paraId="04DBF39A" w14:textId="47DA9D52" w:rsidR="00B12B1D" w:rsidRDefault="00000000">
      <w:r>
        <w:t>Returning to the dossier and to our earlier exchange, I would also suggest expanding the roster of summoned interlocutors to address what I described as our current moment of polycrisis—the convergence of multiple, mutually reinforcing crises (political legitimacy, democratic erosion, extreme wealth concentration, geopolitical instability, ecological strain, and epistemic fragmentation) into a single, compounding historical conjuncture. The entanglement of figures such as Epstein and Trump with global circuits of capital and spectacle underscores how deeply interwoven economic, moral, and institutional crises have become.</w:t>
      </w:r>
    </w:p>
    <w:p w14:paraId="46AAF7D0" w14:textId="28D22271" w:rsidR="00B12B1D" w:rsidRDefault="00000000">
      <w:r>
        <w:t>I would begin with Abraham Lincoln. Lincoln’s political economy was rooted in the nineteenth-century doctrine of free labor—a moralized labor theory of value that treated labor, not inherited privilege, as the source of legitimate wealth. His commitment to free soil envisioned western land as a safety valve for an emerging urban working class, a structural release for class tension within a market society. This was no pastoral fantasy; it was tied to a deep concern about oligarchy and the consolidation of power. The Civil War—the greatest existential challenge American democracy has ever faced—forced Lincoln to test that philosophy under extreme conditions. His leadership combined constitutional elasticity, moral clarity, and strategic restraint. He expanded executive power dramatically, but always under the banner of preserving popular government.</w:t>
      </w:r>
    </w:p>
    <w:p w14:paraId="7EF0B249" w14:textId="207FFFC0" w:rsidR="00B12B1D" w:rsidRDefault="00000000">
      <w:r>
        <w:t>From there, one might turn to Theodore Roosevelt or Woodrow Wilson, reform-minded presidents who confronted corporate consolidation and democratic dysfunction in the early twentieth century. Almost parenthetically, I pass over Andrew Jackson, who increasingly reads as a prototype demagogue—charismatic, anti-elite in rhetoric yet structurally destabilizing in effect. Theodore Roosevelt’s trust-busting nationalism sought to discipline concentrated corporate power in the name of democratic vitality. Wilson’s regulatory state-building and internationalist aspirations represented another attempt to reconcile capitalism with accountability at scale.</w:t>
      </w:r>
    </w:p>
    <w:p w14:paraId="72F4A549" w14:textId="77777777" w:rsidR="00B12B1D" w:rsidRDefault="00000000">
      <w:r>
        <w:t>Finally, the voice of Franklin D. Roosevelt would be indispensable. The New Deal marks the origin of the modern American administrative state. Roosevelt refashioned the presidency, expanding its powers enormously—but in a distinctly democratic register. Through social insurance, labor protections, financial regulation, and an unprecedented rhetorical intimacy with the public, he embedded state expansion within popular legitimacy. In contrast to contemporary authoritarian temptations, his use of executive authority was framed as an instrument of democratic stabilization, not personal domination.</w:t>
      </w:r>
    </w:p>
    <w:p w14:paraId="3FE83A10" w14:textId="77777777" w:rsidR="003D68DE" w:rsidRPr="003D68DE" w:rsidRDefault="003D68DE" w:rsidP="003D68DE">
      <w:pPr>
        <w:rPr>
          <w:lang w:val="en-CA"/>
        </w:rPr>
      </w:pPr>
      <w:r w:rsidRPr="003D68DE">
        <w:rPr>
          <w:lang w:val="en-CA"/>
        </w:rPr>
        <w:lastRenderedPageBreak/>
        <w:t>Yet it would be equally important to summon voices from outside formal power—figures who challenged the constitutional order from its margins rather than presiding over it.</w:t>
      </w:r>
    </w:p>
    <w:p w14:paraId="4B0857DF" w14:textId="77777777" w:rsidR="003D68DE" w:rsidRPr="003D68DE" w:rsidRDefault="003D68DE" w:rsidP="003D68DE">
      <w:pPr>
        <w:rPr>
          <w:lang w:val="en-CA"/>
        </w:rPr>
      </w:pPr>
      <w:r w:rsidRPr="003D68DE">
        <w:rPr>
          <w:lang w:val="en-CA"/>
        </w:rPr>
        <w:t>William Lloyd Garrison would bring one such radical perspective. As the abolitionist editor of The Liberator, he rejected incrementalism and denounced the Constitution itself as a “covenant with death” and a pact with the devil because of its compromises with slavery. Garrison eschewed electoral politics and appealed instead to moral suasion and prophetic denunciation. In a contemporary dialogue, he would likely press the question of complicity: whether participation in a structurally unjust system legitimates it. He would force the committee to confront the moral foundations of the economic order rather than merely its mechanics.</w:t>
      </w:r>
    </w:p>
    <w:p w14:paraId="1A1FDA9C" w14:textId="77777777" w:rsidR="003D68DE" w:rsidRPr="003D68DE" w:rsidRDefault="003D68DE" w:rsidP="003D68DE">
      <w:pPr>
        <w:rPr>
          <w:lang w:val="en-CA"/>
        </w:rPr>
      </w:pPr>
      <w:r w:rsidRPr="003D68DE">
        <w:rPr>
          <w:lang w:val="en-CA"/>
        </w:rPr>
        <w:t>Eugene Victor Debs would contribute another crucial voice. As a socialist leader at the turn of the twentieth century, Debs inherited aspects of the republican tradition—the dignity of labor, suspicion of concentrated power—but updated them for an industrial nation increasingly divided between workers and a bourgeois capitalist class. Debs insisted that political democracy without economic democracy was hollow. In the context of financial oligarchy and global capital, he would likely challenge any reform that failed to address structural class power. His presence would shift the conversation from citizen participation in markets to collective control over the conditions of production.</w:t>
      </w:r>
    </w:p>
    <w:p w14:paraId="0F5EF582" w14:textId="77777777" w:rsidR="003D68DE" w:rsidRDefault="003D68DE" w:rsidP="003D68DE">
      <w:r w:rsidRPr="003D68DE">
        <w:t>And Dr. Martin Luther King Jr. would add yet another indispensable dimension. In the mid-twentieth century, King mobilized millions in a crusade for civil rights, calling the nation to its moral conscience and forcing it to confront the contradiction between its professed ideals and its lived realities. But crucially, King’s political vision evolved beyond formal civil rights legislation. By the late 1960s, he had come to understand—and to articulate with increasing clarity—the deep structural connection between empire abroad and injustice at home. In his opposition to the Vietnam War, King argued that militarism, racial subjugation, and economic exploitation formed a single, interlocking system. The bombs dropped overseas, he insisted, exploded in the ghettos of American cities; resources devoted to war starved domestic programs of investment; a culture that normalized domination abroad made it easier to tolerate disparities in wealth and justice at home. Of all the figures mentioned, King offers the clearest and most explicit anti-imperial critique. He recognized that democratic decay cannot be understood solely within national borders; it is bound up with colonization, global hierarchy, and the moral corrosion of empire. In the context of contemporary global capitalism, surveillance, and geopolitical competition, King’s voice would press the discussion beyond institutional reform toward a reckoning with the moral and structural costs of empire itself. He would likely ask whether any project aimed at economic sovereignty can succeed without confronting the international systems of domination that shape domestic inequality. His concept of the “beloved community” was not merely a domestic ideal but a vision of transnational justice—a reordering of power that links racial equality, economic democracy, and peace. That anti-imperial lens is absolutely vital for addressing the current situation, where disparities in wealth, racialized injustice, and global military projection remain tightly entwined.</w:t>
      </w:r>
    </w:p>
    <w:p w14:paraId="7F844CB0" w14:textId="2548D657" w:rsidR="003D68DE" w:rsidRDefault="003D68DE" w:rsidP="003D68DE">
      <w:pPr>
        <w:rPr>
          <w:lang w:val="en-CA"/>
        </w:rPr>
      </w:pPr>
      <w:r w:rsidRPr="003D68DE">
        <w:rPr>
          <w:lang w:val="en-CA"/>
        </w:rPr>
        <w:lastRenderedPageBreak/>
        <w:t xml:space="preserve">To bring Lincoln and the Roosevelts into conversation with Garrison, Debs, and King would create a productive tension between institutional reform and prophetic rupture, between executive power and grassroots mobilization, between republican virtue and democratic equality. That tension may be precisely what a moment of </w:t>
      </w:r>
      <w:proofErr w:type="spellStart"/>
      <w:r w:rsidRPr="003D68DE">
        <w:rPr>
          <w:lang w:val="en-CA"/>
        </w:rPr>
        <w:t>polycrisis</w:t>
      </w:r>
      <w:proofErr w:type="spellEnd"/>
      <w:r w:rsidRPr="003D68DE">
        <w:rPr>
          <w:lang w:val="en-CA"/>
        </w:rPr>
        <w:t xml:space="preserve"> requires: not merely better management of systems, but a deeper interrogation of their moral and structural foundation</w:t>
      </w:r>
    </w:p>
    <w:p w14:paraId="58D4CF3C" w14:textId="34BFFAFC" w:rsidR="00320115" w:rsidRPr="00320115" w:rsidRDefault="00320115" w:rsidP="00320115">
      <w:pPr>
        <w:jc w:val="center"/>
        <w:rPr>
          <w:lang w:val="en-CA"/>
        </w:rPr>
      </w:pPr>
      <w:r>
        <w:rPr>
          <w:lang w:val="en-CA"/>
        </w:rPr>
        <w:t># # #</w:t>
      </w:r>
    </w:p>
    <w:p w14:paraId="71CC3848" w14:textId="77777777" w:rsidR="00B12B1D" w:rsidRDefault="00B12B1D"/>
    <w:p w14:paraId="614876B8" w14:textId="694E472B" w:rsidR="00B12B1D" w:rsidRDefault="00000000">
      <w:r>
        <w:t>Jacob, I hope you take these reflections in the collegial spirit in which they are offered. The ambition of this project merits serious engagement. What you are building is not merely a protocol but a provocation—to historians, technologists, and citizens alike.</w:t>
      </w:r>
    </w:p>
    <w:p w14:paraId="66846EDA" w14:textId="053B1EF7" w:rsidR="00B12B1D" w:rsidRDefault="00000000">
      <w:r>
        <w:t xml:space="preserve">I believe these refinements could deepen its rigor and enhance its durability. More importantly, they lay the groundwork for a rich and productive conversation—one I very much hope we </w:t>
      </w:r>
      <w:r w:rsidR="00C93D54">
        <w:t>c</w:t>
      </w:r>
      <w:r>
        <w:t>an have very soon.</w:t>
      </w:r>
    </w:p>
    <w:p w14:paraId="019D9796" w14:textId="77777777" w:rsidR="00B12B1D" w:rsidRDefault="00000000">
      <w:r>
        <w:t>With respect and admiration,</w:t>
      </w:r>
    </w:p>
    <w:p w14:paraId="68779AEF" w14:textId="77777777" w:rsidR="00320115" w:rsidRDefault="00320115"/>
    <w:p w14:paraId="71B7A8BE" w14:textId="6B4D2F9C" w:rsidR="00320115" w:rsidRDefault="00320115">
      <w:r>
        <w:t>Rick</w:t>
      </w:r>
    </w:p>
    <w:p w14:paraId="15CD08AC" w14:textId="77777777" w:rsidR="00B12B1D" w:rsidRDefault="00B12B1D"/>
    <w:p w14:paraId="235E1389" w14:textId="77777777" w:rsidR="00B12B1D" w:rsidRDefault="00B12B1D"/>
    <w:sectPr w:rsidR="00B12B1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162A7C"/>
    <w:multiLevelType w:val="hybridMultilevel"/>
    <w:tmpl w:val="C610F920"/>
    <w:lvl w:ilvl="0" w:tplc="18224C5C">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5474003">
    <w:abstractNumId w:val="8"/>
  </w:num>
  <w:num w:numId="2" w16cid:durableId="1535271440">
    <w:abstractNumId w:val="6"/>
  </w:num>
  <w:num w:numId="3" w16cid:durableId="125197965">
    <w:abstractNumId w:val="5"/>
  </w:num>
  <w:num w:numId="4" w16cid:durableId="1168133326">
    <w:abstractNumId w:val="4"/>
  </w:num>
  <w:num w:numId="5" w16cid:durableId="1817725454">
    <w:abstractNumId w:val="7"/>
  </w:num>
  <w:num w:numId="6" w16cid:durableId="993681301">
    <w:abstractNumId w:val="3"/>
  </w:num>
  <w:num w:numId="7" w16cid:durableId="786195563">
    <w:abstractNumId w:val="2"/>
  </w:num>
  <w:num w:numId="8" w16cid:durableId="233516803">
    <w:abstractNumId w:val="1"/>
  </w:num>
  <w:num w:numId="9" w16cid:durableId="720978558">
    <w:abstractNumId w:val="0"/>
  </w:num>
  <w:num w:numId="10" w16cid:durableId="17513424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13C2"/>
    <w:rsid w:val="0029639D"/>
    <w:rsid w:val="00320115"/>
    <w:rsid w:val="00326F90"/>
    <w:rsid w:val="003D68DE"/>
    <w:rsid w:val="00AA1D8D"/>
    <w:rsid w:val="00B12B1D"/>
    <w:rsid w:val="00B47730"/>
    <w:rsid w:val="00C93D5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7262E2"/>
  <w14:defaultImageDpi w14:val="300"/>
  <w15:docId w15:val="{C0641D71-36BA-DE43-B100-08DC8EEB2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1983</Words>
  <Characters>11308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Rick Halpern</cp:lastModifiedBy>
  <cp:revision>4</cp:revision>
  <dcterms:created xsi:type="dcterms:W3CDTF">2013-12-23T23:15:00Z</dcterms:created>
  <dcterms:modified xsi:type="dcterms:W3CDTF">2026-02-22T17:46:00Z</dcterms:modified>
  <cp:category/>
</cp:coreProperties>
</file>