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lineRule="auto"/>
        <w:jc w:val="center"/>
      </w:pPr>
      <w:r>
        <w:rPr>
          <w:rFonts w:ascii="Times New Roman" w:cs="Times New Roman" w:eastAsia="Times New Roman" w:hAnsi="Times New Roman"/>
          <w:b/>
          <w:bCs/>
          <w:sz w:val="30"/>
          <w:szCs w:val="30"/>
        </w:rPr>
        <w:t xml:space="preserve">Coherence-Optimized Topic Modeling with Democratic Large Language Model Interpretation: A Human-in-the-Loop Pipeline for Public Health Surveillance of Social Media</w:t>
      </w:r>
    </w:p>
    <w:p>
      <w:pPr>
        <w:spacing w:after="120" w:line="276" w:lineRule="auto"/>
        <w:jc w:val="center"/>
      </w:pPr>
      <w:r>
        <w:rPr>
          <w:rFonts w:ascii="Times New Roman" w:cs="Times New Roman" w:eastAsia="Times New Roman" w:hAnsi="Times New Roman"/>
          <w:i w:val="false"/>
          <w:iCs w:val="false"/>
          <w:sz w:val="24"/>
          <w:szCs w:val="24"/>
        </w:rPr>
        <w:t xml:space="preserve">Jacob E. Thomas, PhD¹</w:t>
      </w:r>
    </w:p>
    <w:p>
      <w:pPr>
        <w:spacing w:after="120" w:line="276" w:lineRule="auto"/>
        <w:jc w:val="center"/>
      </w:pPr>
      <w:r>
        <w:rPr>
          <w:rFonts w:ascii="Times New Roman" w:cs="Times New Roman" w:eastAsia="Times New Roman" w:hAnsi="Times New Roman"/>
          <w:i/>
          <w:iCs/>
          <w:sz w:val="22"/>
          <w:szCs w:val="22"/>
        </w:rPr>
        <w:t xml:space="preserve">[Additional co-authors and affiliations per authorship agreement]</w:t>
      </w:r>
    </w:p>
    <w:p>
      <w:pPr>
        <w:spacing w:after="120" w:line="276" w:lineRule="auto"/>
        <w:jc w:val="center"/>
      </w:pPr>
      <w:r>
        <w:rPr>
          <w:rFonts w:ascii="Times New Roman" w:cs="Times New Roman" w:eastAsia="Times New Roman" w:hAnsi="Times New Roman"/>
          <w:i w:val="false"/>
          <w:iCs w:val="false"/>
          <w:sz w:val="24"/>
          <w:szCs w:val="24"/>
        </w:rPr>
        <w:t xml:space="preserve">¹Department of Kinesiology and Health Education, The University of Texas at Austin, Austin, TX, USA</w:t>
      </w:r>
    </w:p>
    <w:p>
      <w:pPr>
        <w:spacing w:after="120" w:line="276" w:lineRule="auto"/>
        <w:jc w:val="center"/>
      </w:pPr>
      <w:r>
        <w:rPr>
          <w:rFonts w:ascii="Times New Roman" w:cs="Times New Roman" w:eastAsia="Times New Roman" w:hAnsi="Times New Roman"/>
          <w:i w:val="false"/>
          <w:iCs w:val="false"/>
          <w:sz w:val="24"/>
          <w:szCs w:val="24"/>
        </w:rPr>
        <w:t xml:space="preserve">Correspondence: jethomasphd@gmail.com</w:t>
      </w:r>
    </w:p>
    <w:p>
      <w:pPr>
        <w:spacing w:after="160" w:before="280"/>
      </w:pPr>
      <w:r>
        <w:rPr>
          <w:rFonts w:ascii="Times New Roman" w:cs="Times New Roman" w:eastAsia="Times New Roman" w:hAnsi="Times New Roman"/>
          <w:b/>
          <w:bCs/>
          <w:sz w:val="24"/>
          <w:szCs w:val="24"/>
        </w:rPr>
        <w:t xml:space="preserve">Abstract</w:t>
      </w:r>
    </w:p>
    <w:p>
      <w:pPr>
        <w:spacing w:after="160" w:line="276" w:lineRule="auto"/>
        <w:jc w:val="both"/>
      </w:pPr>
      <w:r>
        <w:rPr>
          <w:rFonts w:ascii="Times New Roman" w:cs="Times New Roman" w:eastAsia="Times New Roman" w:hAnsi="Times New Roman"/>
          <w:sz w:val="24"/>
          <w:szCs w:val="24"/>
        </w:rPr>
        <w:t xml:space="preserve">Public health surveillance of social media requires converting large volumes of unstructured text into a small set of interpretable, analyzable themes. Transformer-based topic models such as BERTopic automate topic discovery, but two bottlenecks remain: topic interpretation, which is subjective and vulnerable to researcher bias, and corpus-scale classification, which is required before themes can enter statistical models. We present a five-stage, human-in-the-loop pipeline that addresses both bottlenecks. Stage 1 discovers topics with BERTopic under randomized hyperparameter search, evaluating 1,200 candidate models and selecting the configuration that maximizes c_v coherence. Stage 2 interprets each topic democratically: a large language model (GPT-4o) is queried 5,000 independent times per topic and the modal label is adopted, stabilizing stochastic outputs and buffering the a priori expectations a human labeler may hold. Stage 3 synthesizes topics into higher-order themes through a structured two-researcher consensus protocol grounded in the Theme and Topic system. Stage 4 classifies every document into the resulting theme taxonomy using an LLM prompt benchmarked against 250 human-labeled documents (&gt;85% agreement) and piloted against a Boolean dictionary alternative. Stage 5 carries theme classifications into theme-prevalence estimates, with proportional z-tests comparing prevalence across time periods under Bonferroni correction. We demonstrate the pipeline on 5,872 alcohol-brand tweets posted before, during, and after the initial COVID-19 lockdowns, where it identified five marketing themes at a coherence of 0.768 and scaled to classify 486,786 user-generated tweets. All prompts are released verbatim, and complete materials are provided for reproduction: archival implementations of every computational stage and a maintained end-to-end pipeline written against the current OpenAI SDK.</w:t>
      </w:r>
    </w:p>
    <w:p>
      <w:pPr>
        <w:spacing w:after="160" w:line="276" w:lineRule="auto"/>
        <w:jc w:val="both"/>
      </w:pPr>
      <w:r>
        <w:rPr>
          <w:rFonts w:ascii="Times New Roman" w:cs="Times New Roman" w:eastAsia="Times New Roman" w:hAnsi="Times New Roman"/>
          <w:i/>
          <w:iCs/>
          <w:sz w:val="22"/>
          <w:szCs w:val="22"/>
        </w:rPr>
        <w:t xml:space="preserve">Keywords: topic modeling; BERTopic; large language models; text classification; human-in-the-loop; infodemiology; public health surveillance</w:t>
      </w:r>
    </w:p>
    <w:p>
      <w:pPr>
        <w:spacing w:after="160" w:before="280"/>
      </w:pPr>
      <w:r>
        <w:rPr>
          <w:rFonts w:ascii="Times New Roman" w:cs="Times New Roman" w:eastAsia="Times New Roman" w:hAnsi="Times New Roman"/>
          <w:b/>
          <w:bCs/>
          <w:sz w:val="24"/>
          <w:szCs w:val="24"/>
        </w:rPr>
        <w:t xml:space="preserve">1. Introduction</w:t>
      </w:r>
    </w:p>
    <w:p>
      <w:pPr>
        <w:spacing w:after="160" w:line="276" w:lineRule="auto"/>
        <w:jc w:val="both"/>
      </w:pPr>
      <w:r>
        <w:rPr>
          <w:rFonts w:ascii="Times New Roman" w:cs="Times New Roman" w:eastAsia="Times New Roman" w:hAnsi="Times New Roman"/>
          <w:sz w:val="24"/>
          <w:szCs w:val="24"/>
        </w:rPr>
        <w:t xml:space="preserve">Social media platforms generate continuous, population-scale records of marketing activity, health discourse, and crisis communication. Twitter (now X) in particular offers real-time, extensive data from diverse users and has proven valuable for sociological research (Murthy, 2018), and it served as a primary channel for information exchange during the COVID-19 pandemic (Haman et al., 2020; Rufai et al., 2020). The surveillance value of such data, however, depends on a difficult conversion: reducing hundreds of thousands of short, noisy documents to a small number of coherent themes whose prevalence can be measured, compared across time, and entered into inferential models.</w:t>
      </w:r>
    </w:p>
    <w:p>
      <w:pPr>
        <w:spacing w:after="160" w:line="276" w:lineRule="auto"/>
        <w:jc w:val="both"/>
      </w:pPr>
      <w:r>
        <w:rPr>
          <w:rFonts w:ascii="Times New Roman" w:cs="Times New Roman" w:eastAsia="Times New Roman" w:hAnsi="Times New Roman"/>
          <w:sz w:val="24"/>
          <w:szCs w:val="24"/>
        </w:rPr>
        <w:t xml:space="preserve">Topic models automate the discovery half of this conversion. Classical approaches such as latent Dirichlet allocation identify statistically derived patterns of word co-occurrence (Blei et al., 2003), and topic modeling has been advanced as a means of reviewing text corpora at scales beyond manual capacity (Nunez-Mir et al., 2016). Transformer-based successors, most prominently BERTopic (Grootendorst, 2022), combine dense sentence embeddings with density-based clustering and class-based TF-IDF term weighting, producing coherent topics on short, heterogeneous documents such as tweets (Egger &amp; Yu, 2022). Two human bottlenecks nonetheless remain. First, a topic is only an array of representative words; assigning it meaning is an interpretive act that qualitative methodology has long recognized as vulnerable to researcher expectations (Braun &amp; Clarke, 2006; Nowell et al., 2017). Second, once themes are defined, every document in the corpus must be classified into the taxonomy before prevalence can be estimated or modeled, a task whose volume forecloses manual coding.</w:t>
      </w:r>
    </w:p>
    <w:p>
      <w:pPr>
        <w:spacing w:after="160" w:line="276" w:lineRule="auto"/>
        <w:jc w:val="both"/>
      </w:pPr>
      <w:r>
        <w:rPr>
          <w:rFonts w:ascii="Times New Roman" w:cs="Times New Roman" w:eastAsia="Times New Roman" w:hAnsi="Times New Roman"/>
          <w:sz w:val="24"/>
          <w:szCs w:val="24"/>
        </w:rPr>
        <w:t xml:space="preserve">The Theme and Topic system (Gillies et al., 2022) formalizes the division of labor for the first bottleneck: topics are statistically derived patterns found autonomously by computation, while themes are meaningful patterns that emerge through human interpretation, and the two proceed in parallel so that machine learning augments rather than replaces human insight. Large language models (LLMs) open new options on both fronts. Preliminary work indicates that LLMs can label topics robustly and, notably, without the anchoring bias a human coder with an a priori hypothesis may introduce (Li et al., 2023; Chae &amp; Davidson, 2023), and a recent survey documents strong LLM performance across text classification tasks (Fields et al., 2024). Applied precedent exists in public health surveillance: coherence-scored BERTopic modeling has been used to identify e-cigarette marketing content on social media (Lee et al., 2024).</w:t>
      </w:r>
    </w:p>
    <w:p>
      <w:pPr>
        <w:spacing w:after="160" w:line="276" w:lineRule="auto"/>
        <w:jc w:val="both"/>
      </w:pPr>
      <w:r>
        <w:rPr>
          <w:rFonts w:ascii="Times New Roman" w:cs="Times New Roman" w:eastAsia="Times New Roman" w:hAnsi="Times New Roman"/>
          <w:sz w:val="24"/>
          <w:szCs w:val="24"/>
        </w:rPr>
        <w:t xml:space="preserve">This paper contributes a complete, reproducible pipeline that integrates these elements and extends them in one specific way: interpretation by democratic LLM ensemble. Rather than accepting a single stochastic LLM label per topic, the pipeline queries the model thousands of independent times and adopts the modal answer, treating topic naming as an estimation problem with a central tendency rather than a one-shot generation. The full pipeline comprises (1) coherence-optimized topic discovery via randomized hyperparameter search over the joint UMAP, HDBSCAN, and topic-count space; (2) democratic LLM interpretation of each topic; (3) a structured human-in-the-loop synthesis stage that preserves qualitative accountability; (4) validated corpus-scale LLM classification that bridges themes to statistics; and (5) theme prevalence estimation, with proportional z-tests comparing prevalence across time periods. We demonstrate the pipeline on alcohol-industry marketing surveillance during the COVID-19 pandemic; the pipeline itself is theory-agnostic and domain-general. Complete code is released as supplementary material.</w:t>
      </w:r>
    </w:p>
    <w:p>
      <w:pPr>
        <w:spacing w:after="160" w:before="280"/>
      </w:pPr>
      <w:r>
        <w:rPr>
          <w:rFonts w:ascii="Times New Roman" w:cs="Times New Roman" w:eastAsia="Times New Roman" w:hAnsi="Times New Roman"/>
          <w:b/>
          <w:bCs/>
          <w:sz w:val="24"/>
          <w:szCs w:val="24"/>
        </w:rPr>
        <w:t xml:space="preserve">2. The Pipeline</w:t>
      </w:r>
    </w:p>
    <w:p>
      <w:pPr>
        <w:spacing w:after="140" w:before="220"/>
      </w:pPr>
      <w:r>
        <w:rPr>
          <w:rFonts w:ascii="Times New Roman" w:cs="Times New Roman" w:eastAsia="Times New Roman" w:hAnsi="Times New Roman"/>
          <w:b/>
          <w:bCs/>
          <w:i/>
          <w:iCs/>
          <w:sz w:val="24"/>
          <w:szCs w:val="24"/>
        </w:rPr>
        <w:t xml:space="preserve">2.1 Preprocessing</w:t>
      </w:r>
    </w:p>
    <w:p>
      <w:pPr>
        <w:spacing w:after="160" w:line="276" w:lineRule="auto"/>
        <w:jc w:val="both"/>
      </w:pPr>
      <w:r>
        <w:rPr>
          <w:rFonts w:ascii="Times New Roman" w:cs="Times New Roman" w:eastAsia="Times New Roman" w:hAnsi="Times New Roman"/>
          <w:sz w:val="24"/>
          <w:szCs w:val="24"/>
        </w:rPr>
        <w:t xml:space="preserve">Documents are prepared with a conventional natural language processing sequence implemented in Python 3.9.12 (Python Software Foundation, 2022) using NLTK (Bird et al., 2009): removal of non-alphabetic characters, conversion to lowercase, tokenization, lemmatization, and removal of stopwords. The stopword list combines NLTK's standard English list with a custom domain-specific list; in the demonstration case this included brand terms that appear ubiquitously in the corpus (e.g., budlight) and temporal references common on Twitter but uninformative of topics (e.g., am, pm, weekday and month names). Domain stopwords are the analyst's first, and deliberately transparent, modeling decision: they should be enumerated in supplementary material. The demonstration list — the eleven brand names and standard temporal terms — is released with the Stage 1 code supplement as its expected custom_stopwords input.</w:t>
      </w:r>
    </w:p>
    <w:p>
      <w:pPr>
        <w:spacing w:after="140" w:before="220"/>
      </w:pPr>
      <w:r>
        <w:rPr>
          <w:rFonts w:ascii="Times New Roman" w:cs="Times New Roman" w:eastAsia="Times New Roman" w:hAnsi="Times New Roman"/>
          <w:b/>
          <w:bCs/>
          <w:i/>
          <w:iCs/>
          <w:sz w:val="24"/>
          <w:szCs w:val="24"/>
        </w:rPr>
        <w:t xml:space="preserve">2.2 Stage 1: Coherence-optimized topic discovery</w:t>
      </w:r>
    </w:p>
    <w:p>
      <w:pPr>
        <w:spacing w:after="160" w:line="276" w:lineRule="auto"/>
        <w:jc w:val="both"/>
      </w:pPr>
      <w:r>
        <w:rPr>
          <w:rFonts w:ascii="Times New Roman" w:cs="Times New Roman" w:eastAsia="Times New Roman" w:hAnsi="Times New Roman"/>
          <w:sz w:val="24"/>
          <w:szCs w:val="24"/>
        </w:rPr>
        <w:t xml:space="preserve">Topic discovery uses BERTopic (Grootendorst, 2022) with five components: (i) sentence embedding with the SentenceTransformer model all-MiniLM-L6-v2, selected for its balance of performance and computational efficiency (Wang et al., 2020); (ii) dimensionality reduction with Uniform Manifold Approximation and Projection (UMAP; McInnes et al., 2018) under the cosine metric; (iii) clustering with HDBSCAN (Campello et al., 2013) using excess-of-mass cluster selection, chosen for its robustness to noise and to clusters of varying density; (iv) topic extraction by class-based TF-IDF (Ramos, 2003); and (v) topic reduction to merge similar and remove less coherent topics (Grootendorst, 2022).</w:t>
      </w:r>
    </w:p>
    <w:p>
      <w:pPr>
        <w:spacing w:after="160" w:line="276" w:lineRule="auto"/>
        <w:jc w:val="both"/>
      </w:pPr>
      <w:r>
        <w:rPr>
          <w:rFonts w:ascii="Times New Roman" w:cs="Times New Roman" w:eastAsia="Times New Roman" w:hAnsi="Times New Roman"/>
          <w:sz w:val="24"/>
          <w:szCs w:val="24"/>
        </w:rPr>
        <w:t xml:space="preserve">Rather than fixing hyperparameters, the pipeline searches the joint configuration space by random sampling (Bergstra &amp; Bengio, 2012). In the reference implementation, 50 iterations each draw UMAP parameters (n_neighbors from 5–35, n_components from 3–10, min_dist from 0.01–0.5) and HDBSCAN parameters (min_cluster_size from 5–35), and each sampled configuration is evaluated across maximum topic solutions from 2 to 25, yielding 1,200 candidate models. Every model is scored with the c_v coherence measure from Gensim's CoherenceModel (Röder et al., 2015), selected because coherence correlates with human interpretability of topics (Newman et al., 2010) and has precedent in social media surveillance of tobacco marketing (Lee et al., 2024). The configuration and topic number maximizing coherence become the final topic model; the implementation persists, for every iteration, the hyperparameters, the topics with representative words, an intertopic distance visualization, and a topic similarity matrix, so that model selection is fully auditable.</w:t>
      </w:r>
    </w:p>
    <w:p>
      <w:pPr>
        <w:spacing w:after="140" w:before="220"/>
      </w:pPr>
      <w:r>
        <w:rPr>
          <w:rFonts w:ascii="Times New Roman" w:cs="Times New Roman" w:eastAsia="Times New Roman" w:hAnsi="Times New Roman"/>
          <w:b/>
          <w:bCs/>
          <w:i/>
          <w:iCs/>
          <w:sz w:val="24"/>
          <w:szCs w:val="24"/>
        </w:rPr>
        <w:t xml:space="preserve">2.3 Stage 2: Democratic LLM interpretation</w:t>
      </w:r>
    </w:p>
    <w:p>
      <w:pPr>
        <w:spacing w:after="160" w:line="276" w:lineRule="auto"/>
        <w:jc w:val="both"/>
      </w:pPr>
      <w:r>
        <w:rPr>
          <w:rFonts w:ascii="Times New Roman" w:cs="Times New Roman" w:eastAsia="Times New Roman" w:hAnsi="Times New Roman"/>
          <w:sz w:val="24"/>
          <w:szCs w:val="24"/>
        </w:rPr>
        <w:t xml:space="preserve">The principal output of the topic model is, for each topic, an array of representative words that must be synthesized into an understandable name (e.g., a hypothetical array of "teacher, student, classroom, math, history, science" synthesizes to "education"). The pipeline delegates this synthesis to GPT-4o (OpenAI, 2024) under a democratic protocol: the OpenAI API is prompted to name the topic given the domain context and the representative words, the query is repeated 5,000 independent times per topic, and the label with the most "votes" is selected. In the reference implementation each query decodes a single completion at temperature 0.5 with a 15-token maximum, and failed calls are retried up to five times under exponential backoff; the prompt is given verbatim in section 2.7. Preliminary research suggests LLM topic labeling is robust and particularly good at naming topics without the inherent bias that may result from a human with an a priori hypothesis assigning the labels (Li et al., 2023). The ensemble extends that logic: because decoding is stochastic, any single response is a draw from a distribution over plausible labels; plurality voting over a large number of draws estimates the distribution's mode instead of gambling on one sample. The vote tally itself is informative diagnostics — a fragmented vote signals a semantically ambiguous topic that deserves closer human scrutiny in Stage 3.</w:t>
      </w:r>
    </w:p>
    <w:p>
      <w:pPr>
        <w:spacing w:after="140" w:before="220"/>
      </w:pPr>
      <w:r>
        <w:rPr>
          <w:rFonts w:ascii="Times New Roman" w:cs="Times New Roman" w:eastAsia="Times New Roman" w:hAnsi="Times New Roman"/>
          <w:b/>
          <w:bCs/>
          <w:i/>
          <w:iCs/>
          <w:sz w:val="24"/>
          <w:szCs w:val="24"/>
        </w:rPr>
        <w:t xml:space="preserve">2.4 Stage 3: Human-in-the-loop synthesis of themes</w:t>
      </w:r>
    </w:p>
    <w:p>
      <w:pPr>
        <w:spacing w:after="160" w:line="276" w:lineRule="auto"/>
        <w:jc w:val="both"/>
      </w:pPr>
      <w:r>
        <w:rPr>
          <w:rFonts w:ascii="Times New Roman" w:cs="Times New Roman" w:eastAsia="Times New Roman" w:hAnsi="Times New Roman"/>
          <w:sz w:val="24"/>
          <w:szCs w:val="24"/>
        </w:rPr>
        <w:t xml:space="preserve">Following the Theme and Topic system (Gillies et al., 2022), machine-derived topics and their modal LLM labels are then synthesized into higher-order themes by human interpretation under a structured two-researcher protocol. The primary researcher reviews the BERTopic output, samples tweets mapped to each topic, confirms that the modal LLM interpretation is relevant to the sampled documents, and identifies overlapping thematic connections between topics, reading all materials against the current literature of the target domain. Topics are grouped by conceptual similarity into candidate themes — in the demonstration case, for example, the topics "Virtual NFL Draft Party with Celebrity Hosts" and "Home Sports Challenge Campaigns" grouped into a single Sports theme. The senior researcher independently reviews and critiques the proposed interpretations, and consensus is reached through discussion. This stage keeps a named human analyst accountable for every theme while confining human labor to the low-volume, high-judgment portion of the task, in alignment with recommendations from the Theme and Topic system and with established practice (Gillies et al., 2022; Lee et al., 2024).</w:t>
      </w:r>
    </w:p>
    <w:p>
      <w:pPr>
        <w:spacing w:after="140" w:before="220"/>
      </w:pPr>
      <w:r>
        <w:rPr>
          <w:rFonts w:ascii="Times New Roman" w:cs="Times New Roman" w:eastAsia="Times New Roman" w:hAnsi="Times New Roman"/>
          <w:b/>
          <w:bCs/>
          <w:i/>
          <w:iCs/>
          <w:sz w:val="24"/>
          <w:szCs w:val="24"/>
        </w:rPr>
        <w:t xml:space="preserve">2.5 Stage 4: Validated corpus-scale classification</w:t>
      </w:r>
    </w:p>
    <w:p>
      <w:pPr>
        <w:spacing w:after="160" w:line="276" w:lineRule="auto"/>
        <w:jc w:val="both"/>
      </w:pPr>
      <w:r>
        <w:rPr>
          <w:rFonts w:ascii="Times New Roman" w:cs="Times New Roman" w:eastAsia="Times New Roman" w:hAnsi="Times New Roman"/>
          <w:sz w:val="24"/>
          <w:szCs w:val="24"/>
        </w:rPr>
        <w:t xml:space="preserve">Prevalence estimation requires that every document receive exactly one label from the theme taxonomy (including "not belonging to any theme"). The pipeline pilots two candidate classifiers and scales whichever performs better against a benchmark of 250 human-labeled documents. The first candidate is a rule-based Boolean classifier that maps documents against each theme's dictionary words with logical operators (AND, OR, NOT), scoring documents containing more dictionary words as more theme-relevant. The second is an LLM classifier: a prompt instructs GPT-4o to assign a verbatim document to one option from the fixed list of themes plus "not belonging to any theme," and the procedure loops over the corpus with independent API calls, each decoding a single completion at temperature 0.5 with a 30-token maximum (OpenAI, 2024); the prompt is given verbatim in section 2.7. LLMs are well suited to this task, with recent review indicating strong performance and versatility across text classification settings (Fields et al., 2024). During prompt engineering, LLM classifications are compared with the human-labeled benchmark to ensure greater than 85% agreement before scaling. In the demonstration case the LLM classifier was selected and scaled to the full corpus.</w:t>
      </w:r>
    </w:p>
    <w:p>
      <w:pPr>
        <w:spacing w:after="140" w:before="220"/>
      </w:pPr>
      <w:r>
        <w:rPr>
          <w:rFonts w:ascii="Times New Roman" w:cs="Times New Roman" w:eastAsia="Times New Roman" w:hAnsi="Times New Roman"/>
          <w:b/>
          <w:bCs/>
          <w:i/>
          <w:iCs/>
          <w:sz w:val="24"/>
          <w:szCs w:val="24"/>
        </w:rPr>
        <w:t xml:space="preserve">2.6 Stage 5: From classifications to theme prevalence</w:t>
      </w:r>
    </w:p>
    <w:p>
      <w:pPr>
        <w:spacing w:after="160" w:line="276" w:lineRule="auto"/>
        <w:jc w:val="both"/>
      </w:pPr>
      <w:r>
        <w:rPr>
          <w:rFonts w:ascii="Times New Roman" w:cs="Times New Roman" w:eastAsia="Times New Roman" w:hAnsi="Times New Roman"/>
          <w:sz w:val="24"/>
          <w:szCs w:val="24"/>
        </w:rPr>
        <w:t xml:space="preserve">Because Stage 4 yields a label for every document, theme prevalence within any partition of the corpus is directly computable, and the pipeline terminates in the statistic that motivates it: theme prevalence. In the packaged analysis, theme prevalence is estimated within each partition of the research design, and proportional z-tests compare prevalence across time periods, with Bonferroni correction proportional to the number of themes multiplied by the number of tests per theme (Bland &amp; Altman, 1995). The pipeline is thus a measurement instrument whose output — a fully labeled corpus and the theme-prevalence estimates derived from it — plugs directly into standard epidemiologic and communication-science designs.</w:t>
      </w:r>
    </w:p>
    <w:p>
      <w:pPr>
        <w:spacing w:after="140" w:before="220"/>
      </w:pPr>
      <w:r>
        <w:rPr>
          <w:rFonts w:ascii="Times New Roman" w:cs="Times New Roman" w:eastAsia="Times New Roman" w:hAnsi="Times New Roman"/>
          <w:b/>
          <w:bCs/>
          <w:i/>
          <w:iCs/>
          <w:sz w:val="24"/>
          <w:szCs w:val="24"/>
        </w:rPr>
        <w:t xml:space="preserve">2.7 Prompt specifications</w:t>
      </w:r>
    </w:p>
    <w:p>
      <w:pPr>
        <w:spacing w:after="160" w:line="276" w:lineRule="auto"/>
        <w:jc w:val="both"/>
      </w:pPr>
      <w:r>
        <w:rPr>
          <w:rFonts w:ascii="Times New Roman" w:cs="Times New Roman" w:eastAsia="Times New Roman" w:hAnsi="Times New Roman"/>
          <w:sz w:val="24"/>
          <w:szCs w:val="24"/>
        </w:rPr>
        <w:t xml:space="preserve">Because label distributions can shift across model versions, the prompts are a measurement instrument and are released verbatim. Both use a fixed system message and a user message assembled from the domain context and the item under evaluation; the italicized domain-context clause is the only domain-specific text in the pipeline. The Stage 2 naming prompt, issued once per vote,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F4F4F0" w:val="clear"/>
            <w:tcMar>
              <w:top w:type="dxa" w:w="120"/>
              <w:left w:type="dxa" w:w="160"/>
              <w:bottom w:type="dxa" w:w="120"/>
              <w:right w:type="dxa" w:w="160"/>
            </w:tcMar>
          </w:tcPr>
          <w:p>
            <w:pPr>
              <w:spacing w:after="80"/>
            </w:pPr>
            <w:r>
              <w:rPr>
                <w:rFonts w:ascii="Times New Roman" w:cs="Times New Roman" w:eastAsia="Times New Roman" w:hAnsi="Times New Roman"/>
                <w:b/>
                <w:bCs/>
                <w:sz w:val="18"/>
                <w:szCs w:val="18"/>
              </w:rPr>
              <w:t xml:space="preserve">Stage 2 — topic naming (system message: "You are an expert at naming topics.")</w:t>
            </w:r>
          </w:p>
          <w:p>
            <w:pPr>
              <w:spacing w:after="0"/>
            </w:pPr>
            <w:r>
              <w:rPr>
                <w:rFonts w:ascii="Courier New" w:cs="Courier New" w:eastAsia="Courier New" w:hAnsi="Courier New"/>
                <w:sz w:val="18"/>
                <w:szCs w:val="18"/>
              </w:rPr>
              <w:t xml:space="preserve">The following words represent a topic derived from [tweets generated by alcohol companies during the COVID-19 pandemic]: {representative words}. Please provide a concise, meaningful topic name that clearly summarizes these words.</w:t>
            </w:r>
          </w:p>
        </w:tc>
      </w:tr>
    </w:tbl>
    <w:p>
      <w:pPr>
        <w:spacing w:after="160"/>
      </w:pPr>
    </w:p>
    <w:p>
      <w:pPr>
        <w:spacing w:after="160" w:line="276" w:lineRule="auto"/>
        <w:jc w:val="both"/>
      </w:pPr>
      <w:r>
        <w:rPr>
          <w:rFonts w:ascii="Times New Roman" w:cs="Times New Roman" w:eastAsia="Times New Roman" w:hAnsi="Times New Roman"/>
          <w:sz w:val="24"/>
          <w:szCs w:val="24"/>
        </w:rPr>
        <w:t xml:space="preserve">The Stage 4 classification prompt enumerates the consensus themes from Stage 3 plus the exhaustive residual option, and instructs a verbatim response so that outputs map deterministically onto the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F4F4F0" w:val="clear"/>
            <w:tcMar>
              <w:top w:type="dxa" w:w="120"/>
              <w:left w:type="dxa" w:w="160"/>
              <w:bottom w:type="dxa" w:w="120"/>
              <w:right w:type="dxa" w:w="160"/>
            </w:tcMar>
          </w:tcPr>
          <w:p>
            <w:pPr>
              <w:spacing w:after="80"/>
            </w:pPr>
            <w:r>
              <w:rPr>
                <w:rFonts w:ascii="Times New Roman" w:cs="Times New Roman" w:eastAsia="Times New Roman" w:hAnsi="Times New Roman"/>
                <w:b/>
                <w:bCs/>
                <w:sz w:val="18"/>
                <w:szCs w:val="18"/>
              </w:rPr>
              <w:t xml:space="preserve">Stage 4 — classification (system message: "You are an expert at classifying text into themes.")</w:t>
            </w:r>
          </w:p>
          <w:p>
            <w:pPr>
              <w:spacing w:after="0"/>
            </w:pPr>
            <w:r>
              <w:rPr>
                <w:rFonts w:ascii="Courier New" w:cs="Courier New" w:eastAsia="Courier New" w:hAnsi="Courier New"/>
                <w:sz w:val="18"/>
                <w:szCs w:val="18"/>
              </w:rPr>
              <w:t xml:space="preserve">Classify the following text into one of the following 6 themes: 1. Alcohol Delivery and Isolation Drinking, 2. Restaurant Support, 3. Social Media Promotions, 4. Sports, 5. Gaming, 6. The text does not fit into any of these themes. Text: {verbatim document}. Respond with verbatim classification using only the specified 6 options.</w:t>
            </w:r>
          </w:p>
        </w:tc>
      </w:tr>
    </w:tbl>
    <w:p>
      <w:pPr>
        <w:spacing w:after="160"/>
      </w:pPr>
    </w:p>
    <w:p>
      <w:pPr>
        <w:spacing w:after="160" w:line="276" w:lineRule="auto"/>
        <w:jc w:val="both"/>
      </w:pPr>
      <w:r>
        <w:rPr>
          <w:rFonts w:ascii="Times New Roman" w:cs="Times New Roman" w:eastAsia="Times New Roman" w:hAnsi="Times New Roman"/>
          <w:sz w:val="24"/>
          <w:szCs w:val="24"/>
        </w:rPr>
        <w:t xml:space="preserve">Redeploying the pipeline in a new domain therefore requires changing only the bracketed domain-context clause, the theme list produced by Stage 3, and the literature lens the Stage 3 researchers read against. Implementations should pin and report the model identifier alongside these prompts (here, GPT-4o; OpenAI, 2024).</w:t>
      </w:r>
    </w:p>
    <w:p>
      <w:pPr>
        <w:spacing w:after="160" w:before="280"/>
      </w:pPr>
      <w:r>
        <w:rPr>
          <w:rFonts w:ascii="Times New Roman" w:cs="Times New Roman" w:eastAsia="Times New Roman" w:hAnsi="Times New Roman"/>
          <w:b/>
          <w:bCs/>
          <w:sz w:val="24"/>
          <w:szCs w:val="24"/>
        </w:rPr>
        <w:t xml:space="preserve">3. Demonstration: Alcohol Marketing on Twitter During COVID-19</w:t>
      </w:r>
    </w:p>
    <w:p>
      <w:pPr>
        <w:spacing w:after="160" w:line="276" w:lineRule="auto"/>
        <w:jc w:val="both"/>
      </w:pPr>
      <w:r>
        <w:rPr>
          <w:rFonts w:ascii="Times New Roman" w:cs="Times New Roman" w:eastAsia="Times New Roman" w:hAnsi="Times New Roman"/>
          <w:sz w:val="24"/>
          <w:szCs w:val="24"/>
        </w:rPr>
        <w:t xml:space="preserve">The pipeline was developed for surveillance of alcohol-industry marketing before, during, and after the initial COVID-19 lockdowns. The corpus comprised 5,872 tweets posted by 11 prominent alcohol companies between January 2019 and July 2021, drawn from the Prevention Research Lab at UT-Austin Twitter Marketing Study (PRL-TMS), in which trained research assistants audited verified brand accounts and recorded verbatim tweet text under weekly quality-control review; the study was reviewed by the UT-Austin institutional review board and determined to be non-human-subjects research. The 11 companies were selected to span popular beverage types (beer, spirits, hard seltzer), each with at least 10,000 followers; they tweeted between 117 and 1,142 times each (mean 534, approximately 17 per month) and held nearly 1.2 million combined followers in a cross-sectional audit near the early pandemic period. Themes documented by prior pandemic-era research (e.g., isolation drinking, delivery, corporate social responsibility; Martino et al., 2021) supplied the literature lens for Stage 3.</w:t>
      </w:r>
    </w:p>
    <w:p>
      <w:pPr>
        <w:spacing w:after="160" w:line="276" w:lineRule="auto"/>
        <w:jc w:val="both"/>
      </w:pPr>
      <w:r>
        <w:rPr>
          <w:rFonts w:ascii="Times New Roman" w:cs="Times New Roman" w:eastAsia="Times New Roman" w:hAnsi="Times New Roman"/>
          <w:sz w:val="24"/>
          <w:szCs w:val="24"/>
        </w:rPr>
        <w:t xml:space="preserve">Across the 1,200 candidate models of Stage 1, the highest-coherence configuration (0.768) used 15 UMAP neighbors, 4 components, a minimum distance of 0.01, an HDBSCAN minimum cluster size of 20, and a maximum topic solution of 23, and yielded seven topics (Figure 1). Stage 2 named the seven topics by democratic vote, and the Stage 3 protocol synthesized them into five themes: Alcohol Delivery and Isolation Drinking, Restaurant Support, Social Media Promotions, Sports, and Gaming (Table 1). In Stage 4, the LLM classifier exceeded the 85% agreement threshold against 250 human-labeled tweets and was scaled to the corpus, enabling the Stage 5 proportional z-tests (Bonferroni-corrected α = 0.0033). Three of the five themes rose significantly from the pre-pandemic to the lockdown period — Alcohol Delivery and Isolation Drinking from 9.1% to 17.4%, Restaurant Support from 1.9% to 5.5%, and Social Media Promotions from 6.6% to 16.5% (all p &lt; 0.001) — while Sports and Gaming did not differ across periods (Table 2); those substantive findings are reported in a companion empirical paper [citation to companion Study 1 manuscript]. The classifier subsequently scaled far beyond the discovery corpus: in a second companion study, the identical Stage 4 procedure classified 486,786 user-generated tweets from 66,303 U.S. accounts [citation to companion Study 2 manuscript]. The demonstration thus exercises every stage, from raw text to theme-prevalence inference, on corpora spanning three orders of magnitude.</w:t>
      </w:r>
    </w:p>
    <w:p>
      <w:pPr>
        <w:spacing w:after="120" w:before="160"/>
      </w:pPr>
      <w:r>
        <w:rPr>
          <w:rFonts w:ascii="Times New Roman" w:cs="Times New Roman" w:eastAsia="Times New Roman" w:hAnsi="Times New Roman"/>
          <w:sz w:val="20"/>
          <w:szCs w:val="20"/>
        </w:rPr>
        <w:t xml:space="preserve">Figure 1. Topic model performance. Coherence scores across candidate topic solutions for the best-performing hyperparameter configuration; the selected model (coherence = 0.768) yielded seven topics.</w:t>
      </w:r>
    </w:p>
    <w:p>
      <w:pPr>
        <w:spacing w:after="24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00400"/>
                    </a:xfrm>
                    <a:prstGeom prst="rect">
                      <a:avLst/>
                    </a:prstGeom>
                  </pic:spPr>
                </pic:pic>
              </a:graphicData>
            </a:graphic>
          </wp:inline>
        </w:drawing>
      </w:r>
    </w:p>
    <w:p>
      <w:pPr>
        <w:spacing w:after="120" w:before="160"/>
      </w:pPr>
      <w:r>
        <w:rPr>
          <w:rFonts w:ascii="Times New Roman" w:cs="Times New Roman" w:eastAsia="Times New Roman" w:hAnsi="Times New Roman"/>
          <w:sz w:val="20"/>
          <w:szCs w:val="20"/>
        </w:rPr>
        <w:t xml:space="preserve">Table 1. Theme structure and representative content produced by the demonstration pipeline (Stages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00"/>
        <w:gridCol w:w="2300"/>
        <w:gridCol w:w="3600"/>
      </w:tblGrid>
      <w:tr>
        <w:trPr>
          <w:tblHeader/>
        </w:trPr>
        <w:tc>
          <w:tcPr>
            <w:tcW w:type="dxa" w:w="1560"/>
            <w:tcBorders>
              <w:top w:val="single" w:color="444444" w:sz="4"/>
              <w:left w:val="single" w:color="444444" w:sz="4"/>
              <w:bottom w:val="single" w:color="444444" w:sz="4"/>
              <w:right w:val="single" w:color="444444" w:sz="4"/>
            </w:tcBorders>
            <w:shd w:fill="E8ECF2" w:val="clear"/>
            <w:tcMar>
              <w:top w:type="dxa" w:w="60"/>
              <w:left w:type="dxa" w:w="90"/>
              <w:bottom w:type="dxa" w:w="60"/>
              <w:right w:type="dxa" w:w="90"/>
            </w:tcMar>
          </w:tcPr>
          <w:p>
            <w:pPr>
              <w:spacing w:after="40"/>
              <w:jc w:val="left"/>
            </w:pPr>
            <w:r>
              <w:rPr>
                <w:rFonts w:ascii="Times New Roman" w:cs="Times New Roman" w:eastAsia="Times New Roman" w:hAnsi="Times New Roman"/>
                <w:b/>
                <w:bCs/>
                <w:i w:val="false"/>
                <w:iCs w:val="false"/>
                <w:sz w:val="18"/>
                <w:szCs w:val="18"/>
              </w:rPr>
              <w:t xml:space="preserve">Theme</w:t>
            </w:r>
          </w:p>
        </w:tc>
        <w:tc>
          <w:tcPr>
            <w:tcW w:type="dxa" w:w="1900"/>
            <w:tcBorders>
              <w:top w:val="single" w:color="444444" w:sz="4"/>
              <w:left w:val="single" w:color="444444" w:sz="4"/>
              <w:bottom w:val="single" w:color="444444" w:sz="4"/>
              <w:right w:val="single" w:color="444444" w:sz="4"/>
            </w:tcBorders>
            <w:shd w:fill="E8ECF2" w:val="clear"/>
            <w:tcMar>
              <w:top w:type="dxa" w:w="60"/>
              <w:left w:type="dxa" w:w="90"/>
              <w:bottom w:type="dxa" w:w="60"/>
              <w:right w:type="dxa" w:w="90"/>
            </w:tcMar>
          </w:tcPr>
          <w:p>
            <w:pPr>
              <w:spacing w:after="40"/>
              <w:jc w:val="left"/>
            </w:pPr>
            <w:r>
              <w:rPr>
                <w:rFonts w:ascii="Times New Roman" w:cs="Times New Roman" w:eastAsia="Times New Roman" w:hAnsi="Times New Roman"/>
                <w:b/>
                <w:bCs/>
                <w:i w:val="false"/>
                <w:iCs w:val="false"/>
                <w:sz w:val="18"/>
                <w:szCs w:val="18"/>
              </w:rPr>
              <w:t xml:space="preserve">Constituent Topics (LLM Interpretation)</w:t>
            </w:r>
          </w:p>
        </w:tc>
        <w:tc>
          <w:tcPr>
            <w:tcW w:type="dxa" w:w="2300"/>
            <w:tcBorders>
              <w:top w:val="single" w:color="444444" w:sz="4"/>
              <w:left w:val="single" w:color="444444" w:sz="4"/>
              <w:bottom w:val="single" w:color="444444" w:sz="4"/>
              <w:right w:val="single" w:color="444444" w:sz="4"/>
            </w:tcBorders>
            <w:shd w:fill="E8ECF2" w:val="clear"/>
            <w:tcMar>
              <w:top w:type="dxa" w:w="60"/>
              <w:left w:type="dxa" w:w="90"/>
              <w:bottom w:type="dxa" w:w="60"/>
              <w:right w:type="dxa" w:w="90"/>
            </w:tcMar>
          </w:tcPr>
          <w:p>
            <w:pPr>
              <w:spacing w:after="40"/>
              <w:jc w:val="left"/>
            </w:pPr>
            <w:r>
              <w:rPr>
                <w:rFonts w:ascii="Times New Roman" w:cs="Times New Roman" w:eastAsia="Times New Roman" w:hAnsi="Times New Roman"/>
                <w:b/>
                <w:bCs/>
                <w:i w:val="false"/>
                <w:iCs w:val="false"/>
                <w:sz w:val="18"/>
                <w:szCs w:val="18"/>
              </w:rPr>
              <w:t xml:space="preserve">Representative Words</w:t>
            </w:r>
          </w:p>
        </w:tc>
        <w:tc>
          <w:tcPr>
            <w:tcW w:type="dxa" w:w="3600"/>
            <w:tcBorders>
              <w:top w:val="single" w:color="444444" w:sz="4"/>
              <w:left w:val="single" w:color="444444" w:sz="4"/>
              <w:bottom w:val="single" w:color="444444" w:sz="4"/>
              <w:right w:val="single" w:color="444444" w:sz="4"/>
            </w:tcBorders>
            <w:shd w:fill="E8ECF2" w:val="clear"/>
            <w:tcMar>
              <w:top w:type="dxa" w:w="60"/>
              <w:left w:type="dxa" w:w="90"/>
              <w:bottom w:type="dxa" w:w="60"/>
              <w:right w:type="dxa" w:w="90"/>
            </w:tcMar>
          </w:tcPr>
          <w:p>
            <w:pPr>
              <w:spacing w:after="40"/>
              <w:jc w:val="left"/>
            </w:pPr>
            <w:r>
              <w:rPr>
                <w:rFonts w:ascii="Times New Roman" w:cs="Times New Roman" w:eastAsia="Times New Roman" w:hAnsi="Times New Roman"/>
                <w:b/>
                <w:bCs/>
                <w:i w:val="false"/>
                <w:iCs w:val="false"/>
                <w:sz w:val="18"/>
                <w:szCs w:val="18"/>
              </w:rPr>
              <w:t xml:space="preserve">Example Tweets</w:t>
            </w:r>
          </w:p>
        </w:tc>
      </w:tr>
      <w:tr>
        <w:tc>
          <w:tcPr>
            <w:tcW w:type="dxa" w:w="1560"/>
            <w:vMerge w:val="restart"/>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bCs/>
                <w:i w:val="false"/>
                <w:iCs w:val="false"/>
                <w:sz w:val="17"/>
                <w:szCs w:val="17"/>
              </w:rPr>
              <w:t xml:space="preserve">Alcohol Delivery and Isolation Drinking</w:t>
            </w:r>
          </w:p>
        </w:tc>
        <w:tc>
          <w:tcPr>
            <w:tcW w:type="dxa" w:w="19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val="false"/>
                <w:iCs w:val="false"/>
                <w:sz w:val="17"/>
                <w:szCs w:val="17"/>
              </w:rPr>
              <w:t xml:space="preserve">Pandemic Alcohol Delivery and Enjoyment</w:t>
            </w:r>
          </w:p>
        </w:tc>
        <w:tc>
          <w:tcPr>
            <w:tcW w:type="dxa" w:w="23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iCs/>
                <w:sz w:val="17"/>
                <w:szCs w:val="17"/>
              </w:rPr>
              <w:t xml:space="preserve">sunshine, drizlyᵃ, bit, day, order, happy, part, original, drink, get</w:t>
            </w:r>
          </w:p>
        </w:tc>
        <w:tc>
          <w:tcPr>
            <w:tcW w:type="dxa" w:w="36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val="false"/>
                <w:iCs w:val="false"/>
                <w:sz w:val="17"/>
                <w:szCs w:val="17"/>
              </w:rPr>
              <w:t xml:space="preserve">“Pro tip: Put your beer in a coffee mug and no one knows you're drinking on the video conference.”</w:t>
            </w:r>
          </w:p>
          <w:p>
            <w:pPr>
              <w:spacing w:after="40"/>
              <w:jc w:val="left"/>
            </w:pPr>
            <w:r>
              <w:rPr>
                <w:rFonts w:ascii="Times New Roman" w:cs="Times New Roman" w:eastAsia="Times New Roman" w:hAnsi="Times New Roman"/>
                <w:b w:val="false"/>
                <w:bCs w:val="false"/>
                <w:i w:val="false"/>
                <w:iCs w:val="false"/>
                <w:sz w:val="17"/>
                <w:szCs w:val="17"/>
              </w:rPr>
              <w:t xml:space="preserve">“Bring the beachside vibe *inside* with Malibu delivered to your door in 60 minutes or less Get $5 off your first order, courtesy of Drizly, with code 'Sunshine20'!”</w:t>
            </w:r>
          </w:p>
        </w:tc>
      </w:tr>
      <w:tr>
        <w:tc>
          <w:tcPr>
            <w:tcW w:type="dxa" w:w="1560"/>
            <w:vMerge w:val="restart"/>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bCs/>
                <w:i w:val="false"/>
                <w:iCs w:val="false"/>
                <w:sz w:val="17"/>
                <w:szCs w:val="17"/>
              </w:rPr>
              <w:t xml:space="preserve">Restaurant Support</w:t>
            </w:r>
          </w:p>
        </w:tc>
        <w:tc>
          <w:tcPr>
            <w:tcW w:type="dxa" w:w="19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val="false"/>
                <w:iCs w:val="false"/>
                <w:sz w:val="17"/>
                <w:szCs w:val="17"/>
              </w:rPr>
              <w:t xml:space="preserve">COVID-19 Restaurant Support and Donation Initiatives</w:t>
            </w:r>
          </w:p>
        </w:tc>
        <w:tc>
          <w:tcPr>
            <w:tcW w:type="dxa" w:w="23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iCs/>
                <w:sz w:val="17"/>
                <w:szCs w:val="17"/>
              </w:rPr>
              <w:t xml:space="preserve">restaurant, donate, support, worker, help, fund, restaurantstrong, strong, covid, donation</w:t>
            </w:r>
          </w:p>
        </w:tc>
        <w:tc>
          <w:tcPr>
            <w:tcW w:type="dxa" w:w="36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val="false"/>
                <w:iCs w:val="false"/>
                <w:sz w:val="17"/>
                <w:szCs w:val="17"/>
              </w:rPr>
              <w:t xml:space="preserve">“Yeah, we miss bars too. But we can still support restaurant and bar workers today. Order takeout and we'll buy your first round when they reopen.”</w:t>
            </w:r>
          </w:p>
          <w:p>
            <w:pPr>
              <w:spacing w:after="40"/>
              <w:jc w:val="left"/>
            </w:pPr>
            <w:r>
              <w:rPr>
                <w:rFonts w:ascii="Times New Roman" w:cs="Times New Roman" w:eastAsia="Times New Roman" w:hAnsi="Times New Roman"/>
                <w:b w:val="false"/>
                <w:bCs w:val="false"/>
                <w:i w:val="false"/>
                <w:iCs w:val="false"/>
                <w:sz w:val="17"/>
                <w:szCs w:val="17"/>
              </w:rPr>
              <w:t xml:space="preserve">“ATTENTION TWITTER: The people who serve us every day are depending on our support. Restaurants and bars, let us know that you're #OpenForTakeout, so we can spread the word.”</w:t>
            </w:r>
          </w:p>
        </w:tc>
      </w:tr>
      <w:tr>
        <w:tc>
          <w:tcPr>
            <w:tcW w:type="dxa" w:w="1560"/>
            <w:vMerge w:val="restart"/>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bCs/>
                <w:i w:val="false"/>
                <w:iCs w:val="false"/>
                <w:sz w:val="17"/>
                <w:szCs w:val="17"/>
              </w:rPr>
              <w:t xml:space="preserve">Social Media Promotions</w:t>
            </w:r>
          </w:p>
        </w:tc>
        <w:tc>
          <w:tcPr>
            <w:tcW w:type="dxa" w:w="19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val="false"/>
                <w:iCs w:val="false"/>
                <w:sz w:val="17"/>
                <w:szCs w:val="17"/>
              </w:rPr>
              <w:t xml:space="preserve">Virtual Bar Tours &amp; Live Instagram Events</w:t>
            </w:r>
          </w:p>
        </w:tc>
        <w:tc>
          <w:tcPr>
            <w:tcW w:type="dxa" w:w="23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iCs/>
                <w:sz w:val="17"/>
                <w:szCs w:val="17"/>
              </w:rPr>
              <w:t xml:space="preserve">live, instagram, tune, tonight, ig, go, dive, tour, bar, edition</w:t>
            </w:r>
          </w:p>
        </w:tc>
        <w:tc>
          <w:tcPr>
            <w:tcW w:type="dxa" w:w="36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val="false"/>
                <w:iCs w:val="false"/>
                <w:sz w:val="17"/>
                <w:szCs w:val="17"/>
              </w:rPr>
              <w:t xml:space="preserve">“Going live now! doing a little thing with @budlight tonight on IG and facebook live. come hang 6pm pst / 9pm est #divebartour”</w:t>
            </w:r>
          </w:p>
        </w:tc>
      </w:tr>
      <w:tr>
        <w:tc>
          <w:tcPr>
            <w:tcW w:type="dxa" w:w="1560"/>
            <w:vMerge w:val="continue"/>
            <w:tcBorders>
              <w:top w:val="single" w:color="444444" w:sz="4"/>
              <w:left w:val="single" w:color="444444" w:sz="4"/>
              <w:bottom w:val="single" w:color="444444" w:sz="4"/>
              <w:right w:val="single" w:color="444444" w:sz="4"/>
            </w:tcBorders>
            <w:tcMar>
              <w:top w:type="dxa" w:w="60"/>
              <w:left w:type="dxa" w:w="90"/>
              <w:bottom w:type="dxa" w:w="60"/>
              <w:right w:type="dxa" w:w="90"/>
            </w:tcMar>
          </w:tcPr>
          <w:p>
            <w:r>
              <w:t xml:space="preserve"/>
            </w:r>
          </w:p>
        </w:tc>
        <w:tc>
          <w:tcPr>
            <w:tcW w:type="dxa" w:w="19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val="false"/>
                <w:iCs w:val="false"/>
                <w:sz w:val="17"/>
                <w:szCs w:val="17"/>
              </w:rPr>
              <w:t xml:space="preserve">Pandemic Social Engagement &amp; Promotions</w:t>
            </w:r>
          </w:p>
        </w:tc>
        <w:tc>
          <w:tcPr>
            <w:tcW w:type="dxa" w:w="23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iCs/>
                <w:sz w:val="17"/>
                <w:szCs w:val="17"/>
              </w:rPr>
              <w:t xml:space="preserve">whassup, say, tag, win, merch, friend, chance, need, collection, week</w:t>
            </w:r>
          </w:p>
        </w:tc>
        <w:tc>
          <w:tcPr>
            <w:tcW w:type="dxa" w:w="36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val="false"/>
                <w:iCs w:val="false"/>
                <w:sz w:val="17"/>
                <w:szCs w:val="17"/>
              </w:rPr>
              <w:t xml:space="preserve">“Win fresh Bud Whassup crewnecks for your happy hour crew! RETWEET + FOLLOW for the chance to outfit your crew.”</w:t>
            </w:r>
          </w:p>
        </w:tc>
      </w:tr>
      <w:tr>
        <w:tc>
          <w:tcPr>
            <w:tcW w:type="dxa" w:w="1560"/>
            <w:vMerge w:val="restart"/>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bCs/>
                <w:i w:val="false"/>
                <w:iCs w:val="false"/>
                <w:sz w:val="17"/>
                <w:szCs w:val="17"/>
              </w:rPr>
              <w:t xml:space="preserve">Sports</w:t>
            </w:r>
          </w:p>
        </w:tc>
        <w:tc>
          <w:tcPr>
            <w:tcW w:type="dxa" w:w="19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val="false"/>
                <w:iCs w:val="false"/>
                <w:sz w:val="17"/>
                <w:szCs w:val="17"/>
              </w:rPr>
              <w:t xml:space="preserve">Virtual NFL Draft Party with Celebrity Hosts</w:t>
            </w:r>
          </w:p>
        </w:tc>
        <w:tc>
          <w:tcPr>
            <w:tcW w:type="dxa" w:w="23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iCs/>
                <w:sz w:val="17"/>
                <w:szCs w:val="17"/>
              </w:rPr>
              <w:t xml:space="preserve">draft, boo, commish, nfl, youtube, drafterparty, robgronkowski, guest, host, camillekostek</w:t>
            </w:r>
          </w:p>
        </w:tc>
        <w:tc>
          <w:tcPr>
            <w:tcW w:type="dxa" w:w="36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val="false"/>
                <w:iCs w:val="false"/>
                <w:sz w:val="17"/>
                <w:szCs w:val="17"/>
              </w:rPr>
              <w:t xml:space="preserve">“TONIGHT!!!! @nfl @budlight”</w:t>
            </w:r>
          </w:p>
        </w:tc>
      </w:tr>
      <w:tr>
        <w:tc>
          <w:tcPr>
            <w:tcW w:type="dxa" w:w="1560"/>
            <w:vMerge w:val="continue"/>
            <w:tcBorders>
              <w:top w:val="single" w:color="444444" w:sz="4"/>
              <w:left w:val="single" w:color="444444" w:sz="4"/>
              <w:bottom w:val="single" w:color="444444" w:sz="4"/>
              <w:right w:val="single" w:color="444444" w:sz="4"/>
            </w:tcBorders>
            <w:tcMar>
              <w:top w:type="dxa" w:w="60"/>
              <w:left w:type="dxa" w:w="90"/>
              <w:bottom w:type="dxa" w:w="60"/>
              <w:right w:type="dxa" w:w="90"/>
            </w:tcMar>
          </w:tcPr>
          <w:p>
            <w:r>
              <w:t xml:space="preserve"/>
            </w:r>
          </w:p>
        </w:tc>
        <w:tc>
          <w:tcPr>
            <w:tcW w:type="dxa" w:w="19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val="false"/>
                <w:iCs w:val="false"/>
                <w:sz w:val="17"/>
                <w:szCs w:val="17"/>
              </w:rPr>
              <w:t xml:space="preserve">Home Sports Challenge Campaigns</w:t>
            </w:r>
          </w:p>
        </w:tc>
        <w:tc>
          <w:tcPr>
            <w:tcW w:type="dxa" w:w="23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iCs/>
                <w:sz w:val="17"/>
                <w:szCs w:val="17"/>
              </w:rPr>
              <w:t xml:space="preserve">challenge, team, house, sport, league, submit, home, athlete, chance, video</w:t>
            </w:r>
          </w:p>
        </w:tc>
        <w:tc>
          <w:tcPr>
            <w:tcW w:type="dxa" w:w="36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val="false"/>
                <w:iCs w:val="false"/>
                <w:sz w:val="17"/>
                <w:szCs w:val="17"/>
              </w:rPr>
              <w:t xml:space="preserve">“Want to win a @trulyseltzer putting mat? Show us your #dailyninesetup. Photo, video, putting, chipping, whatever. Show us.”</w:t>
            </w:r>
          </w:p>
        </w:tc>
      </w:tr>
      <w:tr>
        <w:tc>
          <w:tcPr>
            <w:tcW w:type="dxa" w:w="1560"/>
            <w:vMerge w:val="restart"/>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bCs/>
                <w:i w:val="false"/>
                <w:iCs w:val="false"/>
                <w:sz w:val="17"/>
                <w:szCs w:val="17"/>
              </w:rPr>
              <w:t xml:space="preserve">Gaming</w:t>
            </w:r>
          </w:p>
        </w:tc>
        <w:tc>
          <w:tcPr>
            <w:tcW w:type="dxa" w:w="19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val="false"/>
                <w:iCs w:val="false"/>
                <w:sz w:val="17"/>
                <w:szCs w:val="17"/>
              </w:rPr>
              <w:t xml:space="preserve">Charity Gaming Events by Alcohol Brands</w:t>
            </w:r>
          </w:p>
        </w:tc>
        <w:tc>
          <w:tcPr>
            <w:tcW w:type="dxa" w:w="23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iCs/>
                <w:sz w:val="17"/>
                <w:szCs w:val="17"/>
              </w:rPr>
              <w:t xml:space="preserve">royale, twitch, tv, charity, money, tonight, dkm, therealgavinlux, snellzilla, final</w:t>
            </w:r>
          </w:p>
        </w:tc>
        <w:tc>
          <w:tcPr>
            <w:tcW w:type="dxa" w:w="36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val="false"/>
                <w:iCs w:val="false"/>
                <w:sz w:val="17"/>
                <w:szCs w:val="17"/>
              </w:rPr>
              <w:t xml:space="preserve">“Excited to announce the Bud Light Seltzer Charity Royale. 24 pro athletes compete in Call of Duty: Warzone to raise money for awesome local causes.”</w:t>
            </w:r>
          </w:p>
          <w:p>
            <w:pPr>
              <w:spacing w:after="40"/>
              <w:jc w:val="left"/>
            </w:pPr>
            <w:r>
              <w:rPr>
                <w:rFonts w:ascii="Times New Roman" w:cs="Times New Roman" w:eastAsia="Times New Roman" w:hAnsi="Times New Roman"/>
                <w:b w:val="false"/>
                <w:bCs w:val="false"/>
                <w:i w:val="false"/>
                <w:iCs w:val="false"/>
                <w:sz w:val="17"/>
                <w:szCs w:val="17"/>
              </w:rPr>
              <w:t xml:space="preserve">“Live right now on http://Twitch.tv/BudLight. Tune in!”</w:t>
            </w:r>
          </w:p>
        </w:tc>
      </w:tr>
    </w:tbl>
    <w:p>
      <w:pPr>
        <w:spacing w:after="200" w:before="60"/>
      </w:pPr>
      <w:r>
        <w:rPr>
          <w:rFonts w:ascii="Times New Roman" w:cs="Times New Roman" w:eastAsia="Times New Roman" w:hAnsi="Times New Roman"/>
          <w:sz w:val="18"/>
          <w:szCs w:val="18"/>
        </w:rPr>
        <w:t xml:space="preserve">ᵃ Delivery app company, acquired by Uber.</w:t>
      </w:r>
    </w:p>
    <w:p>
      <w:pPr>
        <w:spacing w:after="120" w:before="160"/>
      </w:pPr>
      <w:r>
        <w:rPr>
          <w:rFonts w:ascii="Times New Roman" w:cs="Times New Roman" w:eastAsia="Times New Roman" w:hAnsi="Times New Roman"/>
          <w:sz w:val="20"/>
          <w:szCs w:val="20"/>
        </w:rPr>
        <w:t xml:space="preserve">Table 2. Theme prevalence across periods in the demonstration corpus (Stages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1900"/>
        <w:gridCol w:w="1900"/>
        <w:gridCol w:w="1900"/>
      </w:tblGrid>
      <w:tr>
        <w:trPr>
          <w:tblHeader/>
        </w:trPr>
        <w:tc>
          <w:tcPr>
            <w:tcW w:type="dxa" w:w="3660"/>
            <w:tcBorders>
              <w:top w:val="single" w:color="444444" w:sz="4"/>
              <w:left w:val="single" w:color="444444" w:sz="4"/>
              <w:bottom w:val="single" w:color="444444" w:sz="4"/>
              <w:right w:val="single" w:color="444444" w:sz="4"/>
            </w:tcBorders>
            <w:shd w:fill="E8ECF2" w:val="clear"/>
            <w:tcMar>
              <w:top w:type="dxa" w:w="60"/>
              <w:left w:type="dxa" w:w="90"/>
              <w:bottom w:type="dxa" w:w="60"/>
              <w:right w:type="dxa" w:w="90"/>
            </w:tcMar>
          </w:tcPr>
          <w:p>
            <w:pPr>
              <w:spacing w:after="40"/>
              <w:jc w:val="left"/>
            </w:pPr>
            <w:r>
              <w:rPr>
                <w:rFonts w:ascii="Times New Roman" w:cs="Times New Roman" w:eastAsia="Times New Roman" w:hAnsi="Times New Roman"/>
                <w:b/>
                <w:bCs/>
                <w:i w:val="false"/>
                <w:iCs w:val="false"/>
                <w:sz w:val="18"/>
                <w:szCs w:val="18"/>
              </w:rPr>
              <w:t xml:space="preserve">Theme</w:t>
            </w:r>
          </w:p>
        </w:tc>
        <w:tc>
          <w:tcPr>
            <w:tcW w:type="dxa" w:w="1900"/>
            <w:tcBorders>
              <w:top w:val="single" w:color="444444" w:sz="4"/>
              <w:left w:val="single" w:color="444444" w:sz="4"/>
              <w:bottom w:val="single" w:color="444444" w:sz="4"/>
              <w:right w:val="single" w:color="444444" w:sz="4"/>
            </w:tcBorders>
            <w:shd w:fill="E8ECF2" w:val="clear"/>
            <w:tcMar>
              <w:top w:type="dxa" w:w="60"/>
              <w:left w:type="dxa" w:w="90"/>
              <w:bottom w:type="dxa" w:w="60"/>
              <w:right w:type="dxa" w:w="90"/>
            </w:tcMar>
          </w:tcPr>
          <w:p>
            <w:pPr>
              <w:spacing w:after="40"/>
              <w:jc w:val="center"/>
            </w:pPr>
            <w:r>
              <w:rPr>
                <w:rFonts w:ascii="Times New Roman" w:cs="Times New Roman" w:eastAsia="Times New Roman" w:hAnsi="Times New Roman"/>
                <w:b/>
                <w:bCs/>
                <w:i w:val="false"/>
                <w:iCs w:val="false"/>
                <w:sz w:val="18"/>
                <w:szCs w:val="18"/>
              </w:rPr>
              <w:t xml:space="preserve">Pre-Pandemic Response (%)</w:t>
            </w:r>
          </w:p>
        </w:tc>
        <w:tc>
          <w:tcPr>
            <w:tcW w:type="dxa" w:w="1900"/>
            <w:tcBorders>
              <w:top w:val="single" w:color="444444" w:sz="4"/>
              <w:left w:val="single" w:color="444444" w:sz="4"/>
              <w:bottom w:val="single" w:color="444444" w:sz="4"/>
              <w:right w:val="single" w:color="444444" w:sz="4"/>
            </w:tcBorders>
            <w:shd w:fill="E8ECF2" w:val="clear"/>
            <w:tcMar>
              <w:top w:type="dxa" w:w="60"/>
              <w:left w:type="dxa" w:w="90"/>
              <w:bottom w:type="dxa" w:w="60"/>
              <w:right w:type="dxa" w:w="90"/>
            </w:tcMar>
          </w:tcPr>
          <w:p>
            <w:pPr>
              <w:spacing w:after="40"/>
              <w:jc w:val="center"/>
            </w:pPr>
            <w:r>
              <w:rPr>
                <w:rFonts w:ascii="Times New Roman" w:cs="Times New Roman" w:eastAsia="Times New Roman" w:hAnsi="Times New Roman"/>
                <w:b/>
                <w:bCs/>
                <w:i w:val="false"/>
                <w:iCs w:val="false"/>
                <w:sz w:val="18"/>
                <w:szCs w:val="18"/>
              </w:rPr>
              <w:t xml:space="preserve">Peri-Pandemic Response (%)</w:t>
            </w:r>
          </w:p>
        </w:tc>
        <w:tc>
          <w:tcPr>
            <w:tcW w:type="dxa" w:w="1900"/>
            <w:tcBorders>
              <w:top w:val="single" w:color="444444" w:sz="4"/>
              <w:left w:val="single" w:color="444444" w:sz="4"/>
              <w:bottom w:val="single" w:color="444444" w:sz="4"/>
              <w:right w:val="single" w:color="444444" w:sz="4"/>
            </w:tcBorders>
            <w:shd w:fill="E8ECF2" w:val="clear"/>
            <w:tcMar>
              <w:top w:type="dxa" w:w="60"/>
              <w:left w:type="dxa" w:w="90"/>
              <w:bottom w:type="dxa" w:w="60"/>
              <w:right w:type="dxa" w:w="90"/>
            </w:tcMar>
          </w:tcPr>
          <w:p>
            <w:pPr>
              <w:spacing w:after="40"/>
              <w:jc w:val="center"/>
            </w:pPr>
            <w:r>
              <w:rPr>
                <w:rFonts w:ascii="Times New Roman" w:cs="Times New Roman" w:eastAsia="Times New Roman" w:hAnsi="Times New Roman"/>
                <w:b/>
                <w:bCs/>
                <w:i w:val="false"/>
                <w:iCs w:val="false"/>
                <w:sz w:val="18"/>
                <w:szCs w:val="18"/>
              </w:rPr>
              <w:t xml:space="preserve">Post-Pandemic Response (%)</w:t>
            </w:r>
          </w:p>
        </w:tc>
      </w:tr>
      <w:tr>
        <w:tc>
          <w:tcPr>
            <w:tcW w:type="dxa" w:w="366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val="false"/>
                <w:iCs w:val="false"/>
                <w:sz w:val="19"/>
                <w:szCs w:val="19"/>
              </w:rPr>
              <w:t xml:space="preserve">Alcohol Delivery and Isolation Drinking</w:t>
            </w:r>
          </w:p>
        </w:tc>
        <w:tc>
          <w:tcPr>
            <w:tcW w:type="dxa" w:w="19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center"/>
            </w:pPr>
            <w:r>
              <w:rPr>
                <w:rFonts w:ascii="Times New Roman" w:cs="Times New Roman" w:eastAsia="Times New Roman" w:hAnsi="Times New Roman"/>
                <w:b w:val="false"/>
                <w:bCs w:val="false"/>
                <w:i w:val="false"/>
                <w:iCs w:val="false"/>
                <w:sz w:val="19"/>
                <w:szCs w:val="19"/>
              </w:rPr>
              <w:t xml:space="preserve">9.1*</w:t>
            </w:r>
          </w:p>
        </w:tc>
        <w:tc>
          <w:tcPr>
            <w:tcW w:type="dxa" w:w="19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center"/>
            </w:pPr>
            <w:r>
              <w:rPr>
                <w:rFonts w:ascii="Times New Roman" w:cs="Times New Roman" w:eastAsia="Times New Roman" w:hAnsi="Times New Roman"/>
                <w:b w:val="false"/>
                <w:bCs w:val="false"/>
                <w:i w:val="false"/>
                <w:iCs w:val="false"/>
                <w:sz w:val="19"/>
                <w:szCs w:val="19"/>
              </w:rPr>
              <w:t xml:space="preserve">17.4†</w:t>
            </w:r>
          </w:p>
        </w:tc>
        <w:tc>
          <w:tcPr>
            <w:tcW w:type="dxa" w:w="19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center"/>
            </w:pPr>
            <w:r>
              <w:rPr>
                <w:rFonts w:ascii="Times New Roman" w:cs="Times New Roman" w:eastAsia="Times New Roman" w:hAnsi="Times New Roman"/>
                <w:b w:val="false"/>
                <w:bCs w:val="false"/>
                <w:i w:val="false"/>
                <w:iCs w:val="false"/>
                <w:sz w:val="19"/>
                <w:szCs w:val="19"/>
              </w:rPr>
              <w:t xml:space="preserve">11.9*†</w:t>
            </w:r>
          </w:p>
        </w:tc>
      </w:tr>
      <w:tr>
        <w:tc>
          <w:tcPr>
            <w:tcW w:type="dxa" w:w="366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val="false"/>
                <w:iCs w:val="false"/>
                <w:sz w:val="19"/>
                <w:szCs w:val="19"/>
              </w:rPr>
              <w:t xml:space="preserve">Restaurant Support</w:t>
            </w:r>
          </w:p>
        </w:tc>
        <w:tc>
          <w:tcPr>
            <w:tcW w:type="dxa" w:w="19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center"/>
            </w:pPr>
            <w:r>
              <w:rPr>
                <w:rFonts w:ascii="Times New Roman" w:cs="Times New Roman" w:eastAsia="Times New Roman" w:hAnsi="Times New Roman"/>
                <w:b w:val="false"/>
                <w:bCs w:val="false"/>
                <w:i w:val="false"/>
                <w:iCs w:val="false"/>
                <w:sz w:val="19"/>
                <w:szCs w:val="19"/>
              </w:rPr>
              <w:t xml:space="preserve">1.9*</w:t>
            </w:r>
          </w:p>
        </w:tc>
        <w:tc>
          <w:tcPr>
            <w:tcW w:type="dxa" w:w="19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center"/>
            </w:pPr>
            <w:r>
              <w:rPr>
                <w:rFonts w:ascii="Times New Roman" w:cs="Times New Roman" w:eastAsia="Times New Roman" w:hAnsi="Times New Roman"/>
                <w:b w:val="false"/>
                <w:bCs w:val="false"/>
                <w:i w:val="false"/>
                <w:iCs w:val="false"/>
                <w:sz w:val="19"/>
                <w:szCs w:val="19"/>
              </w:rPr>
              <w:t xml:space="preserve">5.5†</w:t>
            </w:r>
          </w:p>
        </w:tc>
        <w:tc>
          <w:tcPr>
            <w:tcW w:type="dxa" w:w="19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center"/>
            </w:pPr>
            <w:r>
              <w:rPr>
                <w:rFonts w:ascii="Times New Roman" w:cs="Times New Roman" w:eastAsia="Times New Roman" w:hAnsi="Times New Roman"/>
                <w:b w:val="false"/>
                <w:bCs w:val="false"/>
                <w:i w:val="false"/>
                <w:iCs w:val="false"/>
                <w:sz w:val="19"/>
                <w:szCs w:val="19"/>
              </w:rPr>
              <w:t xml:space="preserve">1.7*</w:t>
            </w:r>
          </w:p>
        </w:tc>
      </w:tr>
      <w:tr>
        <w:tc>
          <w:tcPr>
            <w:tcW w:type="dxa" w:w="366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val="false"/>
                <w:iCs w:val="false"/>
                <w:sz w:val="19"/>
                <w:szCs w:val="19"/>
              </w:rPr>
              <w:t xml:space="preserve">Social Media Promotions</w:t>
            </w:r>
          </w:p>
        </w:tc>
        <w:tc>
          <w:tcPr>
            <w:tcW w:type="dxa" w:w="19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center"/>
            </w:pPr>
            <w:r>
              <w:rPr>
                <w:rFonts w:ascii="Times New Roman" w:cs="Times New Roman" w:eastAsia="Times New Roman" w:hAnsi="Times New Roman"/>
                <w:b w:val="false"/>
                <w:bCs w:val="false"/>
                <w:i w:val="false"/>
                <w:iCs w:val="false"/>
                <w:sz w:val="19"/>
                <w:szCs w:val="19"/>
              </w:rPr>
              <w:t xml:space="preserve">6.6*</w:t>
            </w:r>
          </w:p>
        </w:tc>
        <w:tc>
          <w:tcPr>
            <w:tcW w:type="dxa" w:w="19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center"/>
            </w:pPr>
            <w:r>
              <w:rPr>
                <w:rFonts w:ascii="Times New Roman" w:cs="Times New Roman" w:eastAsia="Times New Roman" w:hAnsi="Times New Roman"/>
                <w:b w:val="false"/>
                <w:bCs w:val="false"/>
                <w:i w:val="false"/>
                <w:iCs w:val="false"/>
                <w:sz w:val="19"/>
                <w:szCs w:val="19"/>
              </w:rPr>
              <w:t xml:space="preserve">16.5†</w:t>
            </w:r>
          </w:p>
        </w:tc>
        <w:tc>
          <w:tcPr>
            <w:tcW w:type="dxa" w:w="19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center"/>
            </w:pPr>
            <w:r>
              <w:rPr>
                <w:rFonts w:ascii="Times New Roman" w:cs="Times New Roman" w:eastAsia="Times New Roman" w:hAnsi="Times New Roman"/>
                <w:b w:val="false"/>
                <w:bCs w:val="false"/>
                <w:i w:val="false"/>
                <w:iCs w:val="false"/>
                <w:sz w:val="19"/>
                <w:szCs w:val="19"/>
              </w:rPr>
              <w:t xml:space="preserve">10.6*†</w:t>
            </w:r>
          </w:p>
        </w:tc>
      </w:tr>
      <w:tr>
        <w:tc>
          <w:tcPr>
            <w:tcW w:type="dxa" w:w="366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val="false"/>
                <w:iCs w:val="false"/>
                <w:sz w:val="19"/>
                <w:szCs w:val="19"/>
              </w:rPr>
              <w:t xml:space="preserve">Sports</w:t>
            </w:r>
          </w:p>
        </w:tc>
        <w:tc>
          <w:tcPr>
            <w:tcW w:type="dxa" w:w="19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center"/>
            </w:pPr>
            <w:r>
              <w:rPr>
                <w:rFonts w:ascii="Times New Roman" w:cs="Times New Roman" w:eastAsia="Times New Roman" w:hAnsi="Times New Roman"/>
                <w:b w:val="false"/>
                <w:bCs w:val="false"/>
                <w:i w:val="false"/>
                <w:iCs w:val="false"/>
                <w:sz w:val="19"/>
                <w:szCs w:val="19"/>
              </w:rPr>
              <w:t xml:space="preserve">8.2</w:t>
            </w:r>
          </w:p>
        </w:tc>
        <w:tc>
          <w:tcPr>
            <w:tcW w:type="dxa" w:w="19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center"/>
            </w:pPr>
            <w:r>
              <w:rPr>
                <w:rFonts w:ascii="Times New Roman" w:cs="Times New Roman" w:eastAsia="Times New Roman" w:hAnsi="Times New Roman"/>
                <w:b w:val="false"/>
                <w:bCs w:val="false"/>
                <w:i w:val="false"/>
                <w:iCs w:val="false"/>
                <w:sz w:val="19"/>
                <w:szCs w:val="19"/>
              </w:rPr>
              <w:t xml:space="preserve">11.4</w:t>
            </w:r>
          </w:p>
        </w:tc>
        <w:tc>
          <w:tcPr>
            <w:tcW w:type="dxa" w:w="19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center"/>
            </w:pPr>
            <w:r>
              <w:rPr>
                <w:rFonts w:ascii="Times New Roman" w:cs="Times New Roman" w:eastAsia="Times New Roman" w:hAnsi="Times New Roman"/>
                <w:b w:val="false"/>
                <w:bCs w:val="false"/>
                <w:i w:val="false"/>
                <w:iCs w:val="false"/>
                <w:sz w:val="19"/>
                <w:szCs w:val="19"/>
              </w:rPr>
              <w:t xml:space="preserve">8.9</w:t>
            </w:r>
          </w:p>
        </w:tc>
      </w:tr>
      <w:tr>
        <w:tc>
          <w:tcPr>
            <w:tcW w:type="dxa" w:w="366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left"/>
            </w:pPr>
            <w:r>
              <w:rPr>
                <w:rFonts w:ascii="Times New Roman" w:cs="Times New Roman" w:eastAsia="Times New Roman" w:hAnsi="Times New Roman"/>
                <w:b w:val="false"/>
                <w:bCs w:val="false"/>
                <w:i w:val="false"/>
                <w:iCs w:val="false"/>
                <w:sz w:val="19"/>
                <w:szCs w:val="19"/>
              </w:rPr>
              <w:t xml:space="preserve">Gaming</w:t>
            </w:r>
          </w:p>
        </w:tc>
        <w:tc>
          <w:tcPr>
            <w:tcW w:type="dxa" w:w="19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center"/>
            </w:pPr>
            <w:r>
              <w:rPr>
                <w:rFonts w:ascii="Times New Roman" w:cs="Times New Roman" w:eastAsia="Times New Roman" w:hAnsi="Times New Roman"/>
                <w:b w:val="false"/>
                <w:bCs w:val="false"/>
                <w:i w:val="false"/>
                <w:iCs w:val="false"/>
                <w:sz w:val="19"/>
                <w:szCs w:val="19"/>
              </w:rPr>
              <w:t xml:space="preserve">1.1</w:t>
            </w:r>
          </w:p>
        </w:tc>
        <w:tc>
          <w:tcPr>
            <w:tcW w:type="dxa" w:w="19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center"/>
            </w:pPr>
            <w:r>
              <w:rPr>
                <w:rFonts w:ascii="Times New Roman" w:cs="Times New Roman" w:eastAsia="Times New Roman" w:hAnsi="Times New Roman"/>
                <w:b w:val="false"/>
                <w:bCs w:val="false"/>
                <w:i w:val="false"/>
                <w:iCs w:val="false"/>
                <w:sz w:val="19"/>
                <w:szCs w:val="19"/>
              </w:rPr>
              <w:t xml:space="preserve">2.0</w:t>
            </w:r>
          </w:p>
        </w:tc>
        <w:tc>
          <w:tcPr>
            <w:tcW w:type="dxa" w:w="1900"/>
            <w:tcBorders>
              <w:top w:val="single" w:color="444444" w:sz="4"/>
              <w:left w:val="single" w:color="444444" w:sz="4"/>
              <w:bottom w:val="single" w:color="444444" w:sz="4"/>
              <w:right w:val="single" w:color="444444" w:sz="4"/>
            </w:tcBorders>
            <w:tcMar>
              <w:top w:type="dxa" w:w="60"/>
              <w:left w:type="dxa" w:w="90"/>
              <w:bottom w:type="dxa" w:w="60"/>
              <w:right w:type="dxa" w:w="90"/>
            </w:tcMar>
          </w:tcPr>
          <w:p>
            <w:pPr>
              <w:spacing w:after="40"/>
              <w:jc w:val="center"/>
            </w:pPr>
            <w:r>
              <w:rPr>
                <w:rFonts w:ascii="Times New Roman" w:cs="Times New Roman" w:eastAsia="Times New Roman" w:hAnsi="Times New Roman"/>
                <w:b w:val="false"/>
                <w:bCs w:val="false"/>
                <w:i w:val="false"/>
                <w:iCs w:val="false"/>
                <w:sz w:val="19"/>
                <w:szCs w:val="19"/>
              </w:rPr>
              <w:t xml:space="preserve">1.6</w:t>
            </w:r>
          </w:p>
        </w:tc>
      </w:tr>
    </w:tbl>
    <w:p>
      <w:pPr>
        <w:spacing w:after="200" w:before="60"/>
      </w:pPr>
      <w:r>
        <w:rPr>
          <w:rFonts w:ascii="Times New Roman" w:cs="Times New Roman" w:eastAsia="Times New Roman" w:hAnsi="Times New Roman"/>
          <w:sz w:val="18"/>
          <w:szCs w:val="18"/>
        </w:rPr>
        <w:t xml:space="preserve">* Statistical difference from the peri-pandemic response period, p &lt; 0.0033. † Statistical difference from the pre-pandemic response period, p &lt; 0.0033 (Bonferroni-corrected α).</w:t>
      </w:r>
    </w:p>
    <w:p>
      <w:pPr>
        <w:spacing w:after="160" w:before="280"/>
      </w:pPr>
      <w:r>
        <w:rPr>
          <w:rFonts w:ascii="Times New Roman" w:cs="Times New Roman" w:eastAsia="Times New Roman" w:hAnsi="Times New Roman"/>
          <w:b/>
          <w:bCs/>
          <w:sz w:val="24"/>
          <w:szCs w:val="24"/>
        </w:rPr>
        <w:t xml:space="preserve">4. Discussion</w:t>
      </w:r>
    </w:p>
    <w:p>
      <w:pPr>
        <w:spacing w:after="160" w:line="276" w:lineRule="auto"/>
        <w:jc w:val="both"/>
      </w:pPr>
      <w:r>
        <w:rPr>
          <w:rFonts w:ascii="Times New Roman" w:cs="Times New Roman" w:eastAsia="Times New Roman" w:hAnsi="Times New Roman"/>
          <w:sz w:val="24"/>
          <w:szCs w:val="24"/>
        </w:rPr>
        <w:t xml:space="preserve">The pipeline's design responds to a specific epistemic problem in computational text analysis: the seam between statistical output and human meaning is where bias enters and where reproducibility is usually lost. Randomized, coherence-scored model selection makes the discovery stage auditable; democratic LLM interpretation converts a stochastic generation step into an estimable quantity; the two-researcher consensus protocol keeps interpretation accountable to named analysts and to the literature; and the validated classifier gives every downstream statistic a documented measurement pedigree. Each stage emits artifacts (hyperparameter logs, vote tallies, benchmark agreement) that can be published alongside findings.</w:t>
      </w:r>
    </w:p>
    <w:p>
      <w:pPr>
        <w:spacing w:after="160" w:line="276" w:lineRule="auto"/>
        <w:jc w:val="both"/>
      </w:pPr>
      <w:r>
        <w:rPr>
          <w:rFonts w:ascii="Times New Roman" w:cs="Times New Roman" w:eastAsia="Times New Roman" w:hAnsi="Times New Roman"/>
          <w:sz w:val="24"/>
          <w:szCs w:val="24"/>
        </w:rPr>
        <w:t xml:space="preserve">Several limitations warrant acknowledgment, consistent with those recognized in the demonstration research. Synthesizing information from topic modeling and AI-generated outputs into themes retains inherent subjectivity; despite extensive iterative human-AI validation, subtle biases stemming from language complexity and contextual nuance may persist. The interpretation and classification stages depend on a closed-weight commercial model; label distributions may shift across model versions, so implementations should pin and report the model identifier, release all prompts verbatim, and retain vote tallies and benchmark sets so that future replications can quantify drift. The 5,000-query ensemble and corpus-scale classification also carry nontrivial API cost, which practitioners can tune by monitoring the stability of the modal label as votes accumulate. Finally, the 85% human-agreement threshold, while consistent with applied precedent, is a design choice that should be justified against the error tolerance of the downstream analysis.</w:t>
      </w:r>
    </w:p>
    <w:p>
      <w:pPr>
        <w:spacing w:after="160" w:line="276" w:lineRule="auto"/>
        <w:jc w:val="both"/>
      </w:pPr>
      <w:r>
        <w:rPr>
          <w:rFonts w:ascii="Times New Roman" w:cs="Times New Roman" w:eastAsia="Times New Roman" w:hAnsi="Times New Roman"/>
          <w:sz w:val="24"/>
          <w:szCs w:val="24"/>
        </w:rPr>
        <w:t xml:space="preserve">The framework generalizes directly. Because every stage is domain-agnostic — only the domain context sentence in the prompts and the literature lens of Stage 3 change — the same pipeline can surveil marketing by other consumer-product industries, discourse on other platforms, and communication during other societal disruptions such as elections or natural disasters. In public health specifically, it offers an innovative instrument for ongoing surveillance of commercial messaging: capable of detecting what an industry is saying and how the prevalence of that messaging shifts across time and events.</w:t>
      </w:r>
    </w:p>
    <w:p>
      <w:pPr>
        <w:spacing w:after="160" w:before="280"/>
      </w:pPr>
      <w:r>
        <w:rPr>
          <w:rFonts w:ascii="Times New Roman" w:cs="Times New Roman" w:eastAsia="Times New Roman" w:hAnsi="Times New Roman"/>
          <w:b/>
          <w:bCs/>
          <w:sz w:val="24"/>
          <w:szCs w:val="24"/>
        </w:rPr>
        <w:t xml:space="preserve">5. Code and Data Availability</w:t>
      </w:r>
    </w:p>
    <w:p>
      <w:pPr>
        <w:spacing w:after="160" w:line="276" w:lineRule="auto"/>
        <w:jc w:val="both"/>
      </w:pPr>
      <w:r>
        <w:rPr>
          <w:rFonts w:ascii="Times New Roman" w:cs="Times New Roman" w:eastAsia="Times New Roman" w:hAnsi="Times New Roman"/>
          <w:sz w:val="24"/>
          <w:szCs w:val="24"/>
        </w:rPr>
        <w:t xml:space="preserve">Complete materials are provided as supplementary files. S1, S2, and S3 are the archival implementations of the computational stages exactly as executed in the source research — S1, BERTopic optimization with randomized hyperparameter search and coherence-based model selection; S2, democratic LLM topic naming; S3, corpus-scale LLM classification — released as plain text for archival transparency, with S2 and S3 written against the openai==0.27.0 API and annotated accordingly. Because the legacy OpenAI interface has since been retired, the supplements are accompanied by a maintained working pipeline — configuration, the five stage scripts, an orchestrator, and a synthetic-data generator for cost-free smoke testing — written against the current OpenAI SDK with identical prompts, decoding parameters, and search spaces, a seeded hyperparameter search, and an enforced benchmark-agreement gate before corpus-scale classification. Each stage emits its audit artifacts (hyperparameter logs, vote ballots and tallies, benchmark reports, test results) so that any deployment can publish its measurement pedigree alongside its findings.</w:t>
      </w:r>
    </w:p>
    <w:p>
      <w:r>
        <w:br w:type="page"/>
      </w:r>
    </w:p>
    <w:p>
      <w:pPr>
        <w:spacing w:after="160" w:before="280"/>
      </w:pPr>
      <w:r>
        <w:rPr>
          <w:rFonts w:ascii="Times New Roman" w:cs="Times New Roman" w:eastAsia="Times New Roman" w:hAnsi="Times New Roman"/>
          <w:b/>
          <w:bCs/>
          <w:sz w:val="24"/>
          <w:szCs w:val="24"/>
        </w:rPr>
        <w:t xml:space="preserve">References</w:t>
      </w:r>
    </w:p>
    <w:p>
      <w:pPr>
        <w:spacing w:after="160" w:line="276" w:lineRule="auto"/>
        <w:ind w:left="720" w:hanging="720"/>
        <w:jc w:val="left"/>
      </w:pPr>
      <w:r>
        <w:rPr>
          <w:rFonts w:ascii="Times New Roman" w:cs="Times New Roman" w:eastAsia="Times New Roman" w:hAnsi="Times New Roman"/>
          <w:sz w:val="24"/>
          <w:szCs w:val="24"/>
        </w:rPr>
        <w:t xml:space="preserve">Bergstra, J., &amp; Bengio, Y. (2012). Random search for hyper-parameter optimization. Journal of machine learning research, 13(2). https://www.jmlr.org/papers/volume13/bergstra12a/bergstra12a.pdf</w:t>
      </w:r>
    </w:p>
    <w:p>
      <w:pPr>
        <w:spacing w:after="160" w:line="276" w:lineRule="auto"/>
        <w:ind w:left="720" w:hanging="720"/>
        <w:jc w:val="left"/>
      </w:pPr>
      <w:r>
        <w:rPr>
          <w:rFonts w:ascii="Times New Roman" w:cs="Times New Roman" w:eastAsia="Times New Roman" w:hAnsi="Times New Roman"/>
          <w:sz w:val="24"/>
          <w:szCs w:val="24"/>
        </w:rPr>
        <w:t xml:space="preserve">Bird, S., Klein, E., &amp; Loper, E. (2009). Natural language processing with Python. O'Reilly Media, Inc. https://www.nltk.org/book/</w:t>
      </w:r>
    </w:p>
    <w:p>
      <w:pPr>
        <w:spacing w:after="160" w:line="276" w:lineRule="auto"/>
        <w:ind w:left="720" w:hanging="720"/>
        <w:jc w:val="left"/>
      </w:pPr>
      <w:r>
        <w:rPr>
          <w:rFonts w:ascii="Times New Roman" w:cs="Times New Roman" w:eastAsia="Times New Roman" w:hAnsi="Times New Roman"/>
          <w:sz w:val="24"/>
          <w:szCs w:val="24"/>
        </w:rPr>
        <w:t xml:space="preserve">Bland, J. M., &amp; Altman, D. G. (1995). Multiple significance tests: the Bonferroni method. BMJ, 310, 170. https://doi.org/10.1136/bmj.310.6973.170</w:t>
      </w:r>
    </w:p>
    <w:p>
      <w:pPr>
        <w:spacing w:after="160" w:line="276" w:lineRule="auto"/>
        <w:ind w:left="720" w:hanging="720"/>
        <w:jc w:val="left"/>
      </w:pPr>
      <w:r>
        <w:rPr>
          <w:rFonts w:ascii="Times New Roman" w:cs="Times New Roman" w:eastAsia="Times New Roman" w:hAnsi="Times New Roman"/>
          <w:sz w:val="24"/>
          <w:szCs w:val="24"/>
        </w:rPr>
        <w:t xml:space="preserve">Blei, D. M., Ng, A. Y., &amp; Jordan, M. I. (2003). Latent dirichlet allocation. Journal of Machine Learning Research. 3, 993-1022. https://www.jmlr.org/papers/volume3/blei03a/blei03a.pdf</w:t>
      </w:r>
    </w:p>
    <w:p>
      <w:pPr>
        <w:spacing w:after="160" w:line="276" w:lineRule="auto"/>
        <w:ind w:left="720" w:hanging="720"/>
        <w:jc w:val="left"/>
      </w:pPr>
      <w:r>
        <w:rPr>
          <w:rFonts w:ascii="Times New Roman" w:cs="Times New Roman" w:eastAsia="Times New Roman" w:hAnsi="Times New Roman"/>
          <w:sz w:val="24"/>
          <w:szCs w:val="24"/>
        </w:rPr>
        <w:t xml:space="preserve">Braun, V., &amp; Clarke, V. (2006). Using thematic analysis in psychology. Qualitative Research in Psychology, 3(2), 77-101. https://doi.org/10.1191/1478088706qp063oa</w:t>
      </w:r>
    </w:p>
    <w:p>
      <w:pPr>
        <w:spacing w:after="160" w:line="276" w:lineRule="auto"/>
        <w:ind w:left="720" w:hanging="720"/>
        <w:jc w:val="left"/>
      </w:pPr>
      <w:r>
        <w:rPr>
          <w:rFonts w:ascii="Times New Roman" w:cs="Times New Roman" w:eastAsia="Times New Roman" w:hAnsi="Times New Roman"/>
          <w:sz w:val="24"/>
          <w:szCs w:val="24"/>
        </w:rPr>
        <w:t xml:space="preserve">Campello, R. J., Moulavi, D., &amp; Sander, J. (2013, April). Density-based clustering based on hierarchical density estimates. In Pacific-Asia conference on knowledge discovery and data mining (pp. 160-172). Berlin, Heidelberg: Springer Berlin Heidelberg. https://doi.org/10.1007/978-3-642-37456-2_14</w:t>
      </w:r>
    </w:p>
    <w:p>
      <w:pPr>
        <w:spacing w:after="160" w:line="276" w:lineRule="auto"/>
        <w:ind w:left="720" w:hanging="720"/>
        <w:jc w:val="left"/>
      </w:pPr>
      <w:r>
        <w:rPr>
          <w:rFonts w:ascii="Times New Roman" w:cs="Times New Roman" w:eastAsia="Times New Roman" w:hAnsi="Times New Roman"/>
          <w:sz w:val="24"/>
          <w:szCs w:val="24"/>
        </w:rPr>
        <w:t xml:space="preserve">Chae, Y., &amp; Davidson, T. (2023). Large language models for text classification: From zero-shot learning to fine-tuning. Open Science Foundation. https://doi.org/10.31235/osf.io/sthwk</w:t>
      </w:r>
    </w:p>
    <w:p>
      <w:pPr>
        <w:spacing w:after="160" w:line="276" w:lineRule="auto"/>
        <w:ind w:left="720" w:hanging="720"/>
        <w:jc w:val="left"/>
      </w:pPr>
      <w:r>
        <w:rPr>
          <w:rFonts w:ascii="Times New Roman" w:cs="Times New Roman" w:eastAsia="Times New Roman" w:hAnsi="Times New Roman"/>
          <w:sz w:val="24"/>
          <w:szCs w:val="24"/>
        </w:rPr>
        <w:t xml:space="preserve">Egger, R., &amp; Yu, J. (2022). A topic modeling comparison between lda, nmf, top2vec, and bertopic to demystify twitter posts. Frontiers in sociology, 7, 886498. https://doi.org/10.3389/fsoc.2022.886498</w:t>
      </w:r>
    </w:p>
    <w:p>
      <w:pPr>
        <w:spacing w:after="160" w:line="276" w:lineRule="auto"/>
        <w:ind w:left="720" w:hanging="720"/>
        <w:jc w:val="left"/>
      </w:pPr>
      <w:r>
        <w:rPr>
          <w:rFonts w:ascii="Times New Roman" w:cs="Times New Roman" w:eastAsia="Times New Roman" w:hAnsi="Times New Roman"/>
          <w:sz w:val="24"/>
          <w:szCs w:val="24"/>
        </w:rPr>
        <w:t xml:space="preserve">Fields, J., Chovanec, K., &amp; Madiraju, P. (2024). A survey of text classification with transformers: How wide? how large? how long? how accurate? how expensive? how safe?. IEEE Access, 12, 6518-6531. https://doi.org/10.1109/ACCESS.2024.3349952</w:t>
      </w:r>
    </w:p>
    <w:p>
      <w:pPr>
        <w:spacing w:after="160" w:line="276" w:lineRule="auto"/>
        <w:ind w:left="720" w:hanging="720"/>
        <w:jc w:val="left"/>
      </w:pPr>
      <w:r>
        <w:rPr>
          <w:rFonts w:ascii="Times New Roman" w:cs="Times New Roman" w:eastAsia="Times New Roman" w:hAnsi="Times New Roman"/>
          <w:sz w:val="24"/>
          <w:szCs w:val="24"/>
        </w:rPr>
        <w:t xml:space="preserve">Gillies, M., Murthy, D., Brenton, H., &amp; Olaniyan, R. (2022). Theme and Topic: How Qualitative Research and Topic Modeling Can Be Brought Together. arXiv. https://arxiv.org/abs/2210.00707</w:t>
      </w:r>
    </w:p>
    <w:p>
      <w:pPr>
        <w:spacing w:after="160" w:line="276" w:lineRule="auto"/>
        <w:ind w:left="720" w:hanging="720"/>
        <w:jc w:val="left"/>
      </w:pPr>
      <w:r>
        <w:rPr>
          <w:rFonts w:ascii="Times New Roman" w:cs="Times New Roman" w:eastAsia="Times New Roman" w:hAnsi="Times New Roman"/>
          <w:sz w:val="24"/>
          <w:szCs w:val="24"/>
        </w:rPr>
        <w:t xml:space="preserve">Grootendorst, M. (2022). BERTopic: Neural topic modeling with a class-based TF-IDF procedure. arXiv preprint arXiv:2203.05794. https://doi.org/10.48550/arXiv.2203.05794</w:t>
      </w:r>
    </w:p>
    <w:p>
      <w:pPr>
        <w:spacing w:after="160" w:line="276" w:lineRule="auto"/>
        <w:ind w:left="720" w:hanging="720"/>
        <w:jc w:val="left"/>
      </w:pPr>
      <w:r>
        <w:rPr>
          <w:rFonts w:ascii="Times New Roman" w:cs="Times New Roman" w:eastAsia="Times New Roman" w:hAnsi="Times New Roman"/>
          <w:sz w:val="24"/>
          <w:szCs w:val="24"/>
        </w:rPr>
        <w:t xml:space="preserve">Haman, M. (2020). The use of Twitter by state leaders and its impact on the public during the COVID-19 pandemic. Heliyon, 6(11). https://doi.org/10.1016/j.heliyon.2020.e05540</w:t>
      </w:r>
    </w:p>
    <w:p>
      <w:pPr>
        <w:spacing w:after="160" w:line="276" w:lineRule="auto"/>
        <w:ind w:left="720" w:hanging="720"/>
        <w:jc w:val="left"/>
      </w:pPr>
      <w:r>
        <w:rPr>
          <w:rFonts w:ascii="Times New Roman" w:cs="Times New Roman" w:eastAsia="Times New Roman" w:hAnsi="Times New Roman"/>
          <w:sz w:val="24"/>
          <w:szCs w:val="24"/>
        </w:rPr>
        <w:t xml:space="preserve">Lee, J., Ouellette, R. R., Murthy, D., Pretzer, B., Anand, T., &amp; Kong, G. (2024). Identifying e-cigarette content on TikTok: Using a BERTopic Modeling approach. Nicotine &amp; tobacco research : official journal of the Society for Research on Nicotine and Tobacco, ntae171. Advance online publication. https://doi.org/10.1093/ntr/ntae171</w:t>
      </w:r>
    </w:p>
    <w:p>
      <w:pPr>
        <w:spacing w:after="160" w:line="276" w:lineRule="auto"/>
        <w:ind w:left="720" w:hanging="720"/>
        <w:jc w:val="left"/>
      </w:pPr>
      <w:r>
        <w:rPr>
          <w:rFonts w:ascii="Times New Roman" w:cs="Times New Roman" w:eastAsia="Times New Roman" w:hAnsi="Times New Roman"/>
          <w:sz w:val="24"/>
          <w:szCs w:val="24"/>
        </w:rPr>
        <w:t xml:space="preserve">Li, D., Zhang, B., &amp; Zhou, Y. (2023, July 21). Can Large Language Models (LLM) label topics from a topic model?. SocArXiv. https://doi.org/10.31235/osf.io/23x4m</w:t>
      </w:r>
    </w:p>
    <w:p>
      <w:pPr>
        <w:spacing w:after="160" w:line="276" w:lineRule="auto"/>
        <w:ind w:left="720" w:hanging="720"/>
        <w:jc w:val="left"/>
      </w:pPr>
      <w:r>
        <w:rPr>
          <w:rFonts w:ascii="Times New Roman" w:cs="Times New Roman" w:eastAsia="Times New Roman" w:hAnsi="Times New Roman"/>
          <w:sz w:val="24"/>
          <w:szCs w:val="24"/>
        </w:rPr>
        <w:t xml:space="preserve">Martino, F., Brooks, R., Browne, J., Carah, N., Zorbas, C., Corben, K., Saleeba, E., Martin, J., Peeters, A., &amp; Backholer, K. (2021). The Nature and Extent of Online Marketing by Big Food and Big Alcohol During the COVID-19 Pandemic in Australia: Content Analysis Study. JMIR public health and surveillance, 7(3), e25202. https://doi.org/10.2196/25202</w:t>
      </w:r>
    </w:p>
    <w:p>
      <w:pPr>
        <w:spacing w:after="160" w:line="276" w:lineRule="auto"/>
        <w:ind w:left="720" w:hanging="720"/>
        <w:jc w:val="left"/>
      </w:pPr>
      <w:r>
        <w:rPr>
          <w:rFonts w:ascii="Times New Roman" w:cs="Times New Roman" w:eastAsia="Times New Roman" w:hAnsi="Times New Roman"/>
          <w:sz w:val="24"/>
          <w:szCs w:val="24"/>
        </w:rPr>
        <w:t xml:space="preserve">McInnes, L., Healy, J., &amp; Melville, J. (2018). Umap: Uniform manifold approximation and projection for dimension reduction. arXiv preprint arXiv:1802.03426. https://doi.org/10.48550/arXiv.1802.03426</w:t>
      </w:r>
    </w:p>
    <w:p>
      <w:pPr>
        <w:spacing w:after="160" w:line="276" w:lineRule="auto"/>
        <w:ind w:left="720" w:hanging="720"/>
        <w:jc w:val="left"/>
      </w:pPr>
      <w:r>
        <w:rPr>
          <w:rFonts w:ascii="Times New Roman" w:cs="Times New Roman" w:eastAsia="Times New Roman" w:hAnsi="Times New Roman"/>
          <w:sz w:val="24"/>
          <w:szCs w:val="24"/>
        </w:rPr>
        <w:t xml:space="preserve">Murthy, D. (2018). Twitter: Social communication in the twitter age (2nd ed.). Polity Press. http://lccn.loc.gov/2017031442</w:t>
      </w:r>
    </w:p>
    <w:p>
      <w:pPr>
        <w:spacing w:after="160" w:line="276" w:lineRule="auto"/>
        <w:ind w:left="720" w:hanging="720"/>
        <w:jc w:val="left"/>
      </w:pPr>
      <w:r>
        <w:rPr>
          <w:rFonts w:ascii="Times New Roman" w:cs="Times New Roman" w:eastAsia="Times New Roman" w:hAnsi="Times New Roman"/>
          <w:sz w:val="24"/>
          <w:szCs w:val="24"/>
        </w:rPr>
        <w:t xml:space="preserve">Murthy, D. (2024). Sociology of Twitter/X: Trends, Challenges, and Future Research Directions. Annual Review of Sociology, 50. https://doi.org/10.1146/annurev-soc-031021-035658</w:t>
      </w:r>
    </w:p>
    <w:p>
      <w:pPr>
        <w:spacing w:after="160" w:line="276" w:lineRule="auto"/>
        <w:ind w:left="720" w:hanging="720"/>
        <w:jc w:val="left"/>
      </w:pPr>
      <w:r>
        <w:rPr>
          <w:rFonts w:ascii="Times New Roman" w:cs="Times New Roman" w:eastAsia="Times New Roman" w:hAnsi="Times New Roman"/>
          <w:sz w:val="24"/>
          <w:szCs w:val="24"/>
        </w:rPr>
        <w:t xml:space="preserve">Newman, D., Lau, J. H., Grieser, K., &amp; Baldwin, T. (2010, June). Automatic evaluation of topic coherence. In Human language technologies: The 2010 annual conference of the North American chapter of the association for computational linguistics (pp. 100-108). https://aclanthology.org/N10-1012.pdf</w:t>
      </w:r>
    </w:p>
    <w:p>
      <w:pPr>
        <w:spacing w:after="160" w:line="276" w:lineRule="auto"/>
        <w:ind w:left="720" w:hanging="720"/>
        <w:jc w:val="left"/>
      </w:pPr>
      <w:r>
        <w:rPr>
          <w:rFonts w:ascii="Times New Roman" w:cs="Times New Roman" w:eastAsia="Times New Roman" w:hAnsi="Times New Roman"/>
          <w:sz w:val="24"/>
          <w:szCs w:val="24"/>
        </w:rPr>
        <w:t xml:space="preserve">Nowell, L. S., Norris, J. M., White, D. E., &amp; Moules, N. J. (2017). Thematic analysis: Striving to meet the trustworthiness criteria. International Journal of Qualitative Methods, 16(1). https://doi.org/10.1177/1609406917733847</w:t>
      </w:r>
    </w:p>
    <w:p>
      <w:pPr>
        <w:spacing w:after="160" w:line="276" w:lineRule="auto"/>
        <w:ind w:left="720" w:hanging="720"/>
        <w:jc w:val="left"/>
      </w:pPr>
      <w:r>
        <w:rPr>
          <w:rFonts w:ascii="Times New Roman" w:cs="Times New Roman" w:eastAsia="Times New Roman" w:hAnsi="Times New Roman"/>
          <w:sz w:val="24"/>
          <w:szCs w:val="24"/>
        </w:rPr>
        <w:t xml:space="preserve">Nunez-Mir, G. C., Iannone III, B. V., Pijanowski, B. C., Kong, N., &amp; Fei, S. (2016). Automated content analysis: addressing the big literature challenge in ecology and evolution. Methods in Ecology and Evolution, 7(11), 1262-1272. https://doi.org/10.1111/2041-210X.12602</w:t>
      </w:r>
    </w:p>
    <w:p>
      <w:pPr>
        <w:spacing w:after="160" w:line="276" w:lineRule="auto"/>
        <w:ind w:left="720" w:hanging="720"/>
        <w:jc w:val="left"/>
      </w:pPr>
      <w:r>
        <w:rPr>
          <w:rFonts w:ascii="Times New Roman" w:cs="Times New Roman" w:eastAsia="Times New Roman" w:hAnsi="Times New Roman"/>
          <w:sz w:val="24"/>
          <w:szCs w:val="24"/>
        </w:rPr>
        <w:t xml:space="preserve">OpenAI. (2024) API Models. https://platform.openai.com/docs/models/overview</w:t>
      </w:r>
    </w:p>
    <w:p>
      <w:pPr>
        <w:spacing w:after="160" w:line="276" w:lineRule="auto"/>
        <w:ind w:left="720" w:hanging="720"/>
        <w:jc w:val="left"/>
      </w:pPr>
      <w:r>
        <w:rPr>
          <w:rFonts w:ascii="Times New Roman" w:cs="Times New Roman" w:eastAsia="Times New Roman" w:hAnsi="Times New Roman"/>
          <w:sz w:val="24"/>
          <w:szCs w:val="24"/>
        </w:rPr>
        <w:t xml:space="preserve">Python Software Foundation. (2022). Python (version 3.9.12). https://www.python.org/</w:t>
      </w:r>
    </w:p>
    <w:p>
      <w:pPr>
        <w:spacing w:after="160" w:line="276" w:lineRule="auto"/>
        <w:ind w:left="720" w:hanging="720"/>
        <w:jc w:val="left"/>
      </w:pPr>
      <w:r>
        <w:rPr>
          <w:rFonts w:ascii="Times New Roman" w:cs="Times New Roman" w:eastAsia="Times New Roman" w:hAnsi="Times New Roman"/>
          <w:sz w:val="24"/>
          <w:szCs w:val="24"/>
        </w:rPr>
        <w:t xml:space="preserve">Ramos, J. (2003, December). Using tf-idf to determine word relevance in document queries. In Proceedings of the first instructional conference on machine learning (Vol. 242, No. 1, pp. 29-48). https://citeseerx.ist.psu.edu/document?repid=rep1&amp;type=pdf&amp;doi=b3bf6373ff41a115197cb5b30e57830c16130c2c</w:t>
      </w:r>
    </w:p>
    <w:p>
      <w:pPr>
        <w:spacing w:after="160" w:line="276" w:lineRule="auto"/>
        <w:ind w:left="720" w:hanging="720"/>
        <w:jc w:val="left"/>
      </w:pPr>
      <w:r>
        <w:rPr>
          <w:rFonts w:ascii="Times New Roman" w:cs="Times New Roman" w:eastAsia="Times New Roman" w:hAnsi="Times New Roman"/>
          <w:sz w:val="24"/>
          <w:szCs w:val="24"/>
        </w:rPr>
        <w:t xml:space="preserve">Röder, M., Both, A., &amp; Hinneburg, A. (2015, February). Exploring the space of topic coherence measures. In Proceedings of the eighth ACM international conference on Web search and data mining (pp. 399-408). https://doi.org/10.1145/2684822.2685324</w:t>
      </w:r>
    </w:p>
    <w:p>
      <w:pPr>
        <w:spacing w:after="160" w:line="276" w:lineRule="auto"/>
        <w:ind w:left="720" w:hanging="720"/>
        <w:jc w:val="left"/>
      </w:pPr>
      <w:r>
        <w:rPr>
          <w:rFonts w:ascii="Times New Roman" w:cs="Times New Roman" w:eastAsia="Times New Roman" w:hAnsi="Times New Roman"/>
          <w:sz w:val="24"/>
          <w:szCs w:val="24"/>
        </w:rPr>
        <w:t xml:space="preserve">Rufai, S. R., &amp; Bunce, C. (2020). World leaders' usage of Twitter in response to the COVID-19 pandemic: a content analysis. Journal of public health, 42(3), 510-516. https://doi.org/10.1093/pubmed/fdaa049</w:t>
      </w:r>
    </w:p>
    <w:p>
      <w:pPr>
        <w:spacing w:after="160" w:line="276" w:lineRule="auto"/>
        <w:ind w:left="720" w:hanging="720"/>
        <w:jc w:val="left"/>
      </w:pPr>
      <w:r>
        <w:rPr>
          <w:rFonts w:ascii="Times New Roman" w:cs="Times New Roman" w:eastAsia="Times New Roman" w:hAnsi="Times New Roman"/>
          <w:sz w:val="24"/>
          <w:szCs w:val="24"/>
        </w:rPr>
        <w:t xml:space="preserve">Wang, W., Khashabi, D., Feng, Y., Yin, P., Barzilay, R., &amp; Durrett, G. (2020). all-MiniLM-L6-v2 [Pretrained transformer model]. Hugging Face. https://huggingface.co/sentence-transformers/all-MiniLM-L6-v2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3f803fdbdb31238dccf6c853ad0eeba9c2185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2026-07-17T22:36:16.230Z</dcterms:created>
  <dcterms:modified xsi:type="dcterms:W3CDTF">2026-07-17T22:36:16.247Z</dcterms:modified>
</cp:coreProperties>
</file>

<file path=docProps/custom.xml><?xml version="1.0" encoding="utf-8"?>
<Properties xmlns="http://schemas.openxmlformats.org/officeDocument/2006/custom-properties" xmlns:vt="http://schemas.openxmlformats.org/officeDocument/2006/docPropsVTypes"/>
</file>