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This build a tboot.gz image and places it in /boot for your bootloader to use when booting up. You will also need a SINIT AC module for your type of processor that you must manually place in /boot. This module enables TXT to load tboot. Finally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2C54B9B0" w:rsidR="00142A40" w:rsidRPr="00142A40" w:rsidRDefault="00142A40" w:rsidP="00142A40">
      <w:pPr>
        <w:jc w:val="center"/>
        <w:rPr>
          <w:b/>
          <w:bCs/>
          <w:sz w:val="28"/>
          <w:szCs w:val="28"/>
        </w:rPr>
      </w:pPr>
      <w:r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7FC49FD" w:rsidR="00A926C8" w:rsidRPr="00A926C8" w:rsidRDefault="00A926C8" w:rsidP="00A926C8">
      <w:pPr>
        <w:jc w:val="center"/>
        <w:outlineLvl w:val="0"/>
        <w:rPr>
          <w:b/>
          <w:bCs/>
          <w:sz w:val="28"/>
          <w:szCs w:val="28"/>
        </w:rPr>
      </w:pPr>
      <w:r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61462054" w:rsidR="00142A40" w:rsidRDefault="00D44C8C">
      <w:r>
        <w:t>BIOS, handle limitation,</w:t>
      </w:r>
    </w:p>
    <w:p w14:paraId="44F127D1" w14:textId="4EFC34E1" w:rsidR="00D44C8C" w:rsidRPr="004D560E" w:rsidRDefault="00D44C8C" w:rsidP="00D44C8C">
      <w:pPr>
        <w:pStyle w:val="Heading2"/>
        <w:contextualSpacing w:val="0"/>
        <w:rPr>
          <w:b/>
          <w:bCs/>
          <w:sz w:val="24"/>
          <w:szCs w:val="24"/>
        </w:rPr>
      </w:pPr>
      <w:r>
        <w:rPr>
          <w:b/>
          <w:bCs/>
          <w:sz w:val="24"/>
          <w:szCs w:val="24"/>
        </w:rPr>
        <w:t>Attest Service</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49B197D6" w:rsidR="00227AC9" w:rsidRDefault="00142A40" w:rsidP="008C12ED">
      <w:pPr>
        <w:jc w:val="center"/>
        <w:outlineLvl w:val="0"/>
        <w:rPr>
          <w:b/>
          <w:sz w:val="28"/>
          <w:szCs w:val="28"/>
        </w:rPr>
      </w:pPr>
      <w:r>
        <w:br w:type="page"/>
      </w:r>
      <w:r w:rsidR="00A926C8" w:rsidRPr="006C492B">
        <w:rPr>
          <w:b/>
          <w:sz w:val="28"/>
          <w:szCs w:val="28"/>
        </w:rPr>
        <w:lastRenderedPageBreak/>
        <w:t>Initramfs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77777777" w:rsidR="00142A40" w:rsidRPr="00212C2F" w:rsidRDefault="00142A40" w:rsidP="00142A40">
      <w:pPr>
        <w:jc w:val="center"/>
        <w:rPr>
          <w:b/>
          <w:bCs/>
          <w:sz w:val="28"/>
          <w:szCs w:val="28"/>
        </w:rPr>
      </w:pPr>
      <w:r w:rsidRPr="00212C2F">
        <w:rPr>
          <w:b/>
          <w:bCs/>
          <w:sz w:val="28"/>
          <w:szCs w:val="28"/>
        </w:rPr>
        <w:lastRenderedPageBreak/>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3A7E4E05"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5E425014" w:rsidR="004454E9" w:rsidRPr="00613B0E" w:rsidRDefault="004454E9" w:rsidP="00613B0E">
      <w:pPr>
        <w:pStyle w:val="Heading2"/>
        <w:contextualSpacing w:val="0"/>
        <w:jc w:val="center"/>
        <w:rPr>
          <w:b/>
          <w:bCs/>
          <w:sz w:val="28"/>
          <w:szCs w:val="28"/>
        </w:rPr>
      </w:pPr>
      <w:r w:rsidRPr="00613B0E">
        <w:rPr>
          <w:b/>
          <w:bCs/>
          <w:sz w:val="28"/>
          <w:szCs w:val="28"/>
        </w:rPr>
        <w:lastRenderedPageBreak/>
        <w:t xml:space="preserve">Setting up </w:t>
      </w:r>
      <w:r w:rsidR="004D560E" w:rsidRPr="00613B0E">
        <w:rPr>
          <w:b/>
          <w:bCs/>
          <w:sz w:val="28"/>
          <w:szCs w:val="28"/>
        </w:rPr>
        <w:t xml:space="preserve">a </w:t>
      </w:r>
      <w:r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9A6C8D0" w14:textId="7C2F1E23" w:rsidR="00613B0E" w:rsidRPr="00D128CC" w:rsidRDefault="00654A6D" w:rsidP="00D128CC">
      <w:pPr>
        <w:rPr>
          <w:sz w:val="24"/>
          <w:szCs w:val="24"/>
        </w:rPr>
      </w:pPr>
      <w:r>
        <w:rPr>
          <w:sz w:val="24"/>
          <w:szCs w:val="24"/>
        </w:rPr>
        <w:br w:type="page"/>
      </w:r>
    </w:p>
    <w:p w14:paraId="5436E316" w14:textId="77777777" w:rsidR="00613B0E" w:rsidRPr="00613B0E" w:rsidRDefault="00613B0E" w:rsidP="00613B0E">
      <w:pPr>
        <w:jc w:val="both"/>
      </w:pPr>
    </w:p>
    <w:p w14:paraId="5F752CDF" w14:textId="122AFB06" w:rsidR="00FD6BB4" w:rsidRDefault="00FD6BB4" w:rsidP="004D560E">
      <w:pPr>
        <w:jc w:val="center"/>
        <w:rPr>
          <w:b/>
          <w:sz w:val="28"/>
          <w:szCs w:val="28"/>
        </w:rPr>
      </w:pPr>
      <w:r w:rsidRPr="004D560E">
        <w:rPr>
          <w:b/>
          <w:sz w:val="28"/>
          <w:szCs w:val="28"/>
        </w:rPr>
        <w:t>SimpleExample with a TPM 1.2 Tao</w:t>
      </w:r>
    </w:p>
    <w:p w14:paraId="78B22F1E" w14:textId="77777777" w:rsidR="004B12AC" w:rsidRDefault="004B12AC" w:rsidP="004D560E">
      <w:pPr>
        <w:jc w:val="center"/>
        <w:rPr>
          <w:b/>
          <w:sz w:val="28"/>
          <w:szCs w:val="28"/>
        </w:rPr>
      </w:pPr>
    </w:p>
    <w:p w14:paraId="66C694DF" w14:textId="40045BA5" w:rsidR="004B12AC" w:rsidRPr="004B12AC" w:rsidRDefault="004B12AC" w:rsidP="004B12AC">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0A63DC75" w14:textId="340D2E33" w:rsidR="004B12AC" w:rsidRDefault="00FD6BB4" w:rsidP="004B12AC">
      <w:pPr>
        <w:jc w:val="both"/>
        <w:rPr>
          <w:bCs/>
        </w:rPr>
      </w:pPr>
      <w:r>
        <w:rPr>
          <w:bCs/>
        </w:rPr>
        <w:br w:type="page"/>
      </w:r>
    </w:p>
    <w:p w14:paraId="27E6A298" w14:textId="77777777" w:rsidR="00A12EA3" w:rsidRDefault="00A12EA3" w:rsidP="004B12AC">
      <w:pPr>
        <w:jc w:val="both"/>
        <w:rPr>
          <w:bCs/>
        </w:rPr>
      </w:pPr>
    </w:p>
    <w:p w14:paraId="372D3238" w14:textId="3FCA4044" w:rsidR="00FD6BB4" w:rsidRPr="006D42DC" w:rsidRDefault="00FD6BB4" w:rsidP="00FD6BB4">
      <w:pPr>
        <w:jc w:val="center"/>
        <w:rPr>
          <w:b/>
          <w:sz w:val="28"/>
          <w:szCs w:val="28"/>
        </w:rPr>
      </w:pPr>
      <w:r w:rsidRPr="006D42DC">
        <w:rPr>
          <w:b/>
          <w:sz w:val="28"/>
          <w:szCs w:val="28"/>
        </w:rPr>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6D2C0E15" w14:textId="02A6A364" w:rsidR="004B12AC" w:rsidRDefault="004B12AC" w:rsidP="004B12AC">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5166C7EC" w14:textId="77777777" w:rsidR="00A12EA3" w:rsidRDefault="00A12EA3" w:rsidP="004B12AC">
      <w:pPr>
        <w:rPr>
          <w:bCs/>
        </w:rPr>
      </w:pPr>
    </w:p>
    <w:p w14:paraId="6A22D3E8" w14:textId="77777777" w:rsidR="00A12EA3" w:rsidRDefault="00A12EA3" w:rsidP="00A12EA3">
      <w:pPr>
        <w:rPr>
          <w:bCs/>
        </w:rPr>
      </w:pPr>
      <w:r>
        <w:rPr>
          <w:bCs/>
        </w:rPr>
        <w:t>In our example, the endorsement certificate is signed by the policy key but in real deployment one might rely of endorsement certificates provided by the TPM vendor.  These certificates can often be found in NvRam in compliant TPMs.</w:t>
      </w:r>
    </w:p>
    <w:p w14:paraId="6F1094A1" w14:textId="77777777" w:rsidR="00A12EA3" w:rsidRDefault="00A12EA3" w:rsidP="004B12AC">
      <w:pPr>
        <w:rPr>
          <w:bCs/>
        </w:rPr>
      </w:pPr>
    </w:p>
    <w:p w14:paraId="5D63410F" w14:textId="77777777" w:rsidR="00A12EA3" w:rsidRPr="004B12AC" w:rsidRDefault="00A12EA3" w:rsidP="004B12AC">
      <w:pPr>
        <w:rPr>
          <w:bCs/>
        </w:rPr>
      </w:pPr>
    </w:p>
    <w:p w14:paraId="55F87C2E" w14:textId="77777777" w:rsidR="00A12EA3" w:rsidRDefault="00A12EA3" w:rsidP="00A12EA3">
      <w:pPr>
        <w:numPr>
          <w:ilvl w:val="0"/>
          <w:numId w:val="28"/>
        </w:numPr>
        <w:ind w:left="360" w:hanging="360"/>
        <w:contextualSpacing/>
      </w:pPr>
      <w:r>
        <w:rPr>
          <w:b/>
        </w:rPr>
        <w:t>Preliminaries</w:t>
      </w:r>
      <w:r>
        <w:rPr>
          <w:b/>
        </w:rPr>
        <w:br/>
      </w:r>
      <w:r>
        <w:t>Install Cloudproxy and provision the TPM device as per the TPM 2.0 section in this document</w:t>
      </w:r>
      <w:r>
        <w:rPr>
          <w:b/>
        </w:rPr>
        <w:br/>
      </w:r>
      <w:r>
        <w:br/>
      </w:r>
      <w:r>
        <w:rPr>
          <w:rFonts w:ascii="Courier New" w:eastAsia="Courier New" w:hAnsi="Courier New" w:cs="Courier New"/>
        </w:rPr>
        <w:t>go install $GOPATH/src/github.com/jlmucb/cloudproxy/…</w:t>
      </w:r>
      <w:r>
        <w:br/>
      </w:r>
    </w:p>
    <w:p w14:paraId="38C0DE2F" w14:textId="238614FF" w:rsidR="00A12EA3" w:rsidRDefault="00A12EA3" w:rsidP="00A12EA3">
      <w:pPr>
        <w:numPr>
          <w:ilvl w:val="0"/>
          <w:numId w:val="28"/>
        </w:numPr>
        <w:ind w:left="360" w:hanging="360"/>
        <w:contextualSpacing/>
      </w:pPr>
      <w:r>
        <w:rPr>
          <w:b/>
        </w:rPr>
        <w:t>Prepare domain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cp $GOPATH/src/github.com/jlmucb/cloudproxy/go/apps/\</w:t>
      </w:r>
      <w:r>
        <w:rPr>
          <w:rFonts w:ascii="Courier New" w:eastAsia="Courier New" w:hAnsi="Courier New" w:cs="Courier New"/>
        </w:rPr>
        <w:br/>
        <w:t>simpleexample/SimpleDomain/domain_template.simpleexample .</w:t>
      </w:r>
      <w:r>
        <w:rPr>
          <w:rFonts w:ascii="Courier New" w:eastAsia="Courier New" w:hAnsi="Courier New" w:cs="Courier New"/>
        </w:rPr>
        <w:br/>
      </w:r>
    </w:p>
    <w:p w14:paraId="5A187303" w14:textId="5C27343C" w:rsidR="00A12EA3" w:rsidRDefault="00A12EA3" w:rsidP="00A12EA3">
      <w:pPr>
        <w:numPr>
          <w:ilvl w:val="0"/>
          <w:numId w:val="28"/>
        </w:numPr>
        <w:ind w:left="360" w:hanging="360"/>
        <w:contextualSpacing/>
      </w:pPr>
      <w:r>
        <w:rPr>
          <w:b/>
        </w:rPr>
        <w:t>Create domain</w:t>
      </w:r>
      <w:r>
        <w:br/>
      </w:r>
      <w:r>
        <w:br/>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-config_templat</w:t>
      </w:r>
      <w:r w:rsidR="00616FC2">
        <w:rPr>
          <w:rFonts w:ascii="Courier New" w:eastAsia="Courier New" w:hAnsi="Courier New" w:cs="Courier New"/>
        </w:rPr>
        <w:t>e domain_template.simpleexample</w:t>
      </w:r>
      <w:r>
        <w:rPr>
          <w:rFonts w:ascii="Courier New" w:eastAsia="Courier New" w:hAnsi="Courier New" w:cs="Courier New"/>
        </w:rPr>
        <w:br/>
      </w:r>
    </w:p>
    <w:p w14:paraId="77010DEE" w14:textId="77777777" w:rsidR="00A12EA3" w:rsidRDefault="00A12EA3" w:rsidP="00A12EA3">
      <w:pPr>
        <w:numPr>
          <w:ilvl w:val="0"/>
          <w:numId w:val="28"/>
        </w:numPr>
        <w:ind w:left="360" w:hanging="360"/>
        <w:contextualSpacing/>
      </w:pPr>
      <w:r>
        <w:rPr>
          <w:b/>
        </w:rPr>
        <w:t>Create endorsement cert for TPM2.0</w:t>
      </w:r>
      <w:r>
        <w:rPr>
          <w:b/>
        </w:rPr>
        <w:br/>
      </w:r>
      <w:r>
        <w:t>We generate a policy-key-signed X509 certificate for the endorsement key of the TPM (i.e. known as the primary object key for the TPM 2.0). This certificate will be used in the protocol used to obtain a certificate for the TPM signing key (i.e. quote key)</w:t>
      </w:r>
      <w:r>
        <w:br/>
      </w:r>
      <w:r>
        <w:br/>
      </w:r>
      <w:r>
        <w:rPr>
          <w:rFonts w:ascii="Courier New" w:eastAsia="Courier New" w:hAnsi="Courier New" w:cs="Courier New"/>
        </w:rPr>
        <w:t>sudo Endorsement \</w:t>
      </w:r>
      <w:r>
        <w:rPr>
          <w:rFonts w:ascii="Courier New" w:eastAsia="Courier New" w:hAnsi="Courier New" w:cs="Courier New"/>
        </w:rPr>
        <w:br/>
      </w:r>
      <w:r>
        <w:rPr>
          <w:rFonts w:ascii="Courier New" w:eastAsia="Courier New" w:hAnsi="Courier New" w:cs="Courier New"/>
        </w:rPr>
        <w:tab/>
        <w:t>-policy_key_is_ecdsa \</w:t>
      </w:r>
      <w:r>
        <w:rPr>
          <w:rFonts w:ascii="Courier New" w:eastAsia="Courier New" w:hAnsi="Courier New" w:cs="Courier New"/>
        </w:rPr>
        <w:br/>
      </w:r>
      <w:r>
        <w:rPr>
          <w:rFonts w:ascii="Courier New" w:eastAsia="Courier New" w:hAnsi="Courier New" w:cs="Courier New"/>
        </w:rPr>
        <w:tab/>
        <w:t>-policy_key_dir ./policy_keys \</w:t>
      </w:r>
      <w:r>
        <w:rPr>
          <w:rFonts w:ascii="Courier New" w:eastAsia="Courier New" w:hAnsi="Courier New" w:cs="Courier New"/>
        </w:rPr>
        <w:br/>
      </w:r>
      <w:r>
        <w:rPr>
          <w:rFonts w:ascii="Courier New" w:eastAsia="Courier New" w:hAnsi="Courier New" w:cs="Courier New"/>
        </w:rPr>
        <w:tab/>
        <w:t>-endorsement_save_file endorsement_cert \</w:t>
      </w:r>
      <w:r>
        <w:rPr>
          <w:rFonts w:ascii="Courier New" w:eastAsia="Courier New" w:hAnsi="Courier New" w:cs="Courier New"/>
        </w:rPr>
        <w:br/>
      </w:r>
      <w:r>
        <w:rPr>
          <w:rFonts w:ascii="Courier New" w:eastAsia="Courier New" w:hAnsi="Courier New" w:cs="Courier New"/>
        </w:rPr>
        <w:tab/>
        <w:t>-policy_key_password xxx</w:t>
      </w:r>
      <w:r>
        <w:br/>
      </w:r>
      <w:r>
        <w:lastRenderedPageBreak/>
        <w:br/>
      </w:r>
    </w:p>
    <w:p w14:paraId="1FF4D1A4" w14:textId="11666FED" w:rsidR="00A12EA3" w:rsidRDefault="00A12EA3" w:rsidP="00616FC2">
      <w:pPr>
        <w:numPr>
          <w:ilvl w:val="0"/>
          <w:numId w:val="28"/>
        </w:numPr>
        <w:ind w:left="360" w:hanging="360"/>
        <w:contextualSpacing/>
      </w:pPr>
      <w:r>
        <w:rPr>
          <w:b/>
        </w:rPr>
        <w:t>Start Quote Server</w:t>
      </w:r>
      <w:r>
        <w:rPr>
          <w:b/>
        </w:rPr>
        <w:br/>
      </w:r>
      <w:r>
        <w:t>When a TPM2.0 rooted Cloudproxy host comes up, it interacts with the Quote server to obtain a (policy-key-signed) certificate for the TPM quote key.</w:t>
      </w:r>
      <w:r>
        <w:br/>
      </w:r>
      <w:r>
        <w:br/>
      </w:r>
      <w:r>
        <w:rPr>
          <w:rFonts w:ascii="Courier New" w:eastAsia="Courier New" w:hAnsi="Courier New" w:cs="Courier New"/>
        </w:rPr>
        <w:t>QuoteServer -pass xxx -path ./policy_keys &amp;</w:t>
      </w:r>
      <w:r>
        <w:br/>
      </w:r>
      <w:r w:rsidRPr="00616FC2">
        <w:rPr>
          <w:b/>
        </w:rPr>
        <w:br/>
      </w:r>
    </w:p>
    <w:p w14:paraId="0E1B3ED9" w14:textId="77777777" w:rsidR="00A12EA3" w:rsidRDefault="00A12EA3" w:rsidP="00A12EA3">
      <w:pPr>
        <w:numPr>
          <w:ilvl w:val="0"/>
          <w:numId w:val="28"/>
        </w:numPr>
        <w:ind w:left="360" w:hanging="360"/>
        <w:contextualSpacing/>
      </w:pPr>
      <w:r>
        <w:rPr>
          <w:b/>
        </w:rPr>
        <w:t>Initialize and start Cloudproxy host</w:t>
      </w:r>
      <w:r>
        <w:br/>
      </w:r>
      <w:r>
        <w:br/>
      </w:r>
      <w:r>
        <w:rPr>
          <w:rFonts w:ascii="Courier New" w:eastAsia="Courier New" w:hAnsi="Courier New" w:cs="Courier New"/>
        </w:rPr>
        <w:t>sudo tao host init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-stacked -parent_type TPM2 \</w:t>
      </w:r>
      <w:r>
        <w:rPr>
          <w:rFonts w:ascii="Courier New" w:eastAsia="Courier New" w:hAnsi="Courier New" w:cs="Courier New"/>
        </w:rPr>
        <w:br/>
      </w:r>
      <w:r>
        <w:rPr>
          <w:rFonts w:ascii="Courier New" w:eastAsia="Courier New" w:hAnsi="Courier New" w:cs="Courier New"/>
        </w:rPr>
        <w:tab/>
        <w:t>-hosting process</w:t>
      </w:r>
    </w:p>
    <w:p w14:paraId="22AC5220" w14:textId="5933B69F" w:rsidR="00A12EA3" w:rsidRDefault="00701574" w:rsidP="00701574">
      <w:pPr>
        <w:ind w:firstLine="720"/>
      </w:pPr>
      <w:r>
        <w:rPr>
          <w:rFonts w:ascii="Courier New" w:eastAsia="Courier New" w:hAnsi="Courier New" w:cs="Courier New"/>
        </w:rPr>
        <w:br/>
        <w:t xml:space="preserve">   </w:t>
      </w:r>
      <w:bookmarkStart w:id="1" w:name="_GoBack"/>
      <w:bookmarkEnd w:id="1"/>
      <w:r w:rsidR="00A12EA3">
        <w:rPr>
          <w:rFonts w:ascii="Courier New" w:eastAsia="Courier New" w:hAnsi="Courier New" w:cs="Courier New"/>
        </w:rPr>
        <w:t>sudo tao host start -tao_domain . &amp;</w:t>
      </w:r>
      <w:r w:rsidR="00A12EA3">
        <w:rPr>
          <w:rFonts w:ascii="Courier New" w:eastAsia="Courier New" w:hAnsi="Courier New" w:cs="Courier New"/>
        </w:rPr>
        <w:br/>
      </w:r>
    </w:p>
    <w:p w14:paraId="47D74D12" w14:textId="77777777" w:rsidR="00A12EA3" w:rsidRDefault="00A12EA3" w:rsidP="00A12EA3">
      <w:pPr>
        <w:numPr>
          <w:ilvl w:val="0"/>
          <w:numId w:val="28"/>
        </w:numPr>
        <w:ind w:left="360" w:hanging="360"/>
        <w:contextualSpacing/>
      </w:pPr>
      <w:r>
        <w:rPr>
          <w:b/>
        </w:rPr>
        <w:t>Launch SimpleDomainService, SimpleServer and SimpleClient</w:t>
      </w:r>
      <w:r>
        <w:br/>
      </w:r>
    </w:p>
    <w:p w14:paraId="29B49544" w14:textId="77777777" w:rsidR="00A12EA3" w:rsidRDefault="00A12EA3" w:rsidP="00A12EA3">
      <w:pPr>
        <w:ind w:firstLine="720"/>
      </w:pPr>
      <w:r>
        <w:rPr>
          <w:rFonts w:ascii="Courier New" w:eastAsia="Courier New" w:hAnsi="Courier New" w:cs="Courier New"/>
        </w:rPr>
        <w:t>mkdir SimpleDomainService</w:t>
      </w:r>
      <w:r>
        <w:rPr>
          <w:rFonts w:ascii="Courier New" w:eastAsia="Courier New" w:hAnsi="Courier New" w:cs="Courier New"/>
        </w:rPr>
        <w:br/>
      </w:r>
      <w:r>
        <w:rPr>
          <w:rFonts w:ascii="Courier New" w:eastAsia="Courier New" w:hAnsi="Courier New" w:cs="Courier New"/>
        </w:rPr>
        <w:tab/>
        <w:t>tao run -tao_domain . $GOPATH/bin/SimpleDomainService \</w:t>
      </w:r>
    </w:p>
    <w:p w14:paraId="0FCF107F" w14:textId="77777777" w:rsidR="00A12EA3" w:rsidRDefault="00A12EA3" w:rsidP="00A12EA3">
      <w:pPr>
        <w:ind w:left="360" w:firstLine="720"/>
      </w:pPr>
      <w:r>
        <w:rPr>
          <w:rFonts w:ascii="Courier New" w:eastAsia="Courier New" w:hAnsi="Courier New" w:cs="Courier New"/>
        </w:rPr>
        <w:t>-config tao.config \</w:t>
      </w:r>
      <w:r>
        <w:rPr>
          <w:rFonts w:ascii="Courier New" w:eastAsia="Courier New" w:hAnsi="Courier New" w:cs="Courier New"/>
        </w:rPr>
        <w:br/>
      </w:r>
      <w:r>
        <w:rPr>
          <w:rFonts w:ascii="Courier New" w:eastAsia="Courier New" w:hAnsi="Courier New" w:cs="Courier New"/>
        </w:rPr>
        <w:tab/>
        <w:t>-service_path ./SimpleDomainService &amp;</w:t>
      </w:r>
    </w:p>
    <w:p w14:paraId="15B893DC" w14:textId="77777777" w:rsidR="00A12EA3" w:rsidRDefault="00A12EA3" w:rsidP="00A12EA3">
      <w:pPr>
        <w:ind w:firstLine="720"/>
      </w:pPr>
    </w:p>
    <w:p w14:paraId="650D097B" w14:textId="77777777" w:rsidR="00A12EA3" w:rsidRDefault="00A12EA3" w:rsidP="00A12EA3">
      <w:pPr>
        <w:ind w:firstLine="720"/>
      </w:pPr>
      <w:r>
        <w:rPr>
          <w:rFonts w:ascii="Courier New" w:eastAsia="Courier New" w:hAnsi="Courier New" w:cs="Courier New"/>
        </w:rPr>
        <w:t>mkdir SimpleServer</w:t>
      </w:r>
      <w:r>
        <w:rPr>
          <w:rFonts w:ascii="Courier New" w:eastAsia="Courier New" w:hAnsi="Courier New" w:cs="Courier New"/>
        </w:rPr>
        <w:br/>
      </w:r>
      <w:r>
        <w:rPr>
          <w:rFonts w:ascii="Courier New" w:eastAsia="Courier New" w:hAnsi="Courier New" w:cs="Courier New"/>
        </w:rPr>
        <w:tab/>
        <w:t>tao run -tao_domain . $GOPATH/bin/SimpleServer &amp;</w:t>
      </w:r>
    </w:p>
    <w:p w14:paraId="4031941E" w14:textId="77777777" w:rsidR="00A12EA3" w:rsidRDefault="00A12EA3" w:rsidP="00A12EA3">
      <w:pPr>
        <w:ind w:firstLine="720"/>
      </w:pPr>
    </w:p>
    <w:p w14:paraId="490C13F8" w14:textId="77777777" w:rsidR="00A12EA3" w:rsidRDefault="00A12EA3" w:rsidP="00A12EA3">
      <w:pPr>
        <w:ind w:firstLine="720"/>
      </w:pPr>
      <w:r>
        <w:rPr>
          <w:rFonts w:ascii="Courier New" w:eastAsia="Courier New" w:hAnsi="Courier New" w:cs="Courier New"/>
        </w:rPr>
        <w:t>mkdir SimpleClient</w:t>
      </w:r>
      <w:r>
        <w:rPr>
          <w:rFonts w:ascii="Courier New" w:eastAsia="Courier New" w:hAnsi="Courier New" w:cs="Courier New"/>
        </w:rPr>
        <w:br/>
      </w:r>
      <w:r>
        <w:rPr>
          <w:rFonts w:ascii="Courier New" w:eastAsia="Courier New" w:hAnsi="Courier New" w:cs="Courier New"/>
        </w:rPr>
        <w:tab/>
        <w:t>tao run -tao_domain . $GOPATH/bin/SimpleClient &amp;</w:t>
      </w:r>
    </w:p>
    <w:p w14:paraId="6F66FF76" w14:textId="77777777" w:rsidR="00A12EA3" w:rsidRDefault="00A12EA3" w:rsidP="00A12EA3">
      <w:pPr>
        <w:ind w:firstLine="720"/>
      </w:pPr>
      <w:r>
        <w:br/>
      </w:r>
    </w:p>
    <w:p w14:paraId="2EDC6661" w14:textId="06ACE991" w:rsidR="0002127B" w:rsidRDefault="0002127B">
      <w:pPr>
        <w:rPr>
          <w:sz w:val="24"/>
          <w:szCs w:val="24"/>
        </w:rPr>
      </w:pPr>
      <w:r>
        <w:rPr>
          <w:sz w:val="24"/>
          <w:szCs w:val="24"/>
        </w:rPr>
        <w:br w:type="page"/>
      </w:r>
    </w:p>
    <w:p w14:paraId="512EDFA4" w14:textId="37481253" w:rsidR="0002127B" w:rsidRPr="006D42DC" w:rsidRDefault="0002127B" w:rsidP="0002127B">
      <w:pPr>
        <w:jc w:val="center"/>
        <w:rPr>
          <w:b/>
          <w:sz w:val="28"/>
          <w:szCs w:val="28"/>
        </w:rPr>
      </w:pPr>
      <w:r w:rsidRPr="006D42DC">
        <w:rPr>
          <w:b/>
          <w:sz w:val="28"/>
          <w:szCs w:val="28"/>
        </w:rPr>
        <w:lastRenderedPageBreak/>
        <w:t xml:space="preserve">SimpleExample </w:t>
      </w:r>
      <w:r>
        <w:rPr>
          <w:b/>
          <w:sz w:val="28"/>
          <w:szCs w:val="28"/>
        </w:rPr>
        <w:t>in VM using stacked host,</w:t>
      </w:r>
      <w:r w:rsidRPr="006D42DC">
        <w:rPr>
          <w:b/>
          <w:sz w:val="28"/>
          <w:szCs w:val="28"/>
        </w:rPr>
        <w:t xml:space="preserve"> </w:t>
      </w:r>
      <w:r w:rsidR="00D00694">
        <w:rPr>
          <w:b/>
          <w:sz w:val="28"/>
          <w:szCs w:val="28"/>
        </w:rPr>
        <w:t>KVM host under</w:t>
      </w:r>
      <w:r>
        <w:rPr>
          <w:b/>
          <w:sz w:val="28"/>
          <w:szCs w:val="28"/>
        </w:rPr>
        <w:t xml:space="preserve"> </w:t>
      </w:r>
      <w:r w:rsidRPr="006D42DC">
        <w:rPr>
          <w:b/>
          <w:sz w:val="28"/>
          <w:szCs w:val="28"/>
        </w:rPr>
        <w:t xml:space="preserve">TPM </w:t>
      </w:r>
      <w:r>
        <w:rPr>
          <w:b/>
          <w:sz w:val="28"/>
          <w:szCs w:val="28"/>
        </w:rPr>
        <w:t>2.0</w:t>
      </w:r>
      <w:r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612D5DB9" w:rsidR="004E51F3" w:rsidRPr="004B12AC" w:rsidRDefault="004E51F3" w:rsidP="004E51F3">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As with the prior two examples,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r w:rsidR="002A687F">
        <w:rPr>
          <w:bCs/>
        </w:rPr>
        <w:t xml:space="preserve">  This is our first “non-trivial” example of a stacked Tao.</w:t>
      </w:r>
    </w:p>
    <w:p w14:paraId="318385A0" w14:textId="77777777" w:rsidR="004E51F3" w:rsidRDefault="004E51F3" w:rsidP="00D14CCE">
      <w:pPr>
        <w:rPr>
          <w:sz w:val="24"/>
          <w:szCs w:val="24"/>
        </w:rPr>
      </w:pPr>
    </w:p>
    <w:p w14:paraId="7F7EF4D1" w14:textId="77777777" w:rsidR="004E51F3" w:rsidRDefault="004E51F3" w:rsidP="00D14CCE">
      <w:pPr>
        <w:rPr>
          <w:sz w:val="24"/>
          <w:szCs w:val="24"/>
        </w:rPr>
      </w:pPr>
    </w:p>
    <w:p w14:paraId="4482F2AE" w14:textId="475902AF" w:rsidR="004E51F3" w:rsidRPr="002A687F" w:rsidRDefault="004E51F3" w:rsidP="00D14CCE">
      <w:pPr>
        <w:rPr>
          <w:b/>
          <w:bCs/>
          <w:sz w:val="24"/>
          <w:szCs w:val="24"/>
        </w:rPr>
      </w:pPr>
      <w:r w:rsidRPr="002A687F">
        <w:rPr>
          <w:b/>
          <w:bCs/>
          <w:sz w:val="24"/>
          <w:szCs w:val="24"/>
        </w:rPr>
        <w:t>Build the KVM instance</w:t>
      </w:r>
    </w:p>
    <w:p w14:paraId="6EA4E7AE" w14:textId="77777777" w:rsidR="004E51F3" w:rsidRDefault="004E51F3" w:rsidP="00D14CCE">
      <w:pPr>
        <w:rPr>
          <w:sz w:val="24"/>
          <w:szCs w:val="24"/>
        </w:rPr>
      </w:pPr>
    </w:p>
    <w:p w14:paraId="3CC8D2CF" w14:textId="2708DF3B" w:rsidR="004E51F3" w:rsidRPr="002A687F" w:rsidRDefault="004E51F3" w:rsidP="00D14CCE">
      <w:pPr>
        <w:rPr>
          <w:b/>
          <w:bCs/>
          <w:sz w:val="24"/>
          <w:szCs w:val="24"/>
        </w:rPr>
      </w:pPr>
      <w:r w:rsidRPr="002A687F">
        <w:rPr>
          <w:b/>
          <w:bCs/>
          <w:sz w:val="24"/>
          <w:szCs w:val="24"/>
        </w:rPr>
        <w:t>Provision the TPM endorsement certificate</w:t>
      </w:r>
    </w:p>
    <w:p w14:paraId="1A689D59" w14:textId="77777777" w:rsidR="004E51F3" w:rsidRDefault="004E51F3" w:rsidP="00D14CCE">
      <w:pPr>
        <w:rPr>
          <w:sz w:val="24"/>
          <w:szCs w:val="24"/>
        </w:rPr>
      </w:pPr>
    </w:p>
    <w:p w14:paraId="3A691AAD" w14:textId="6D31334A" w:rsidR="004E51F3" w:rsidRPr="002A687F" w:rsidRDefault="004E51F3" w:rsidP="00D14CCE">
      <w:pPr>
        <w:rPr>
          <w:b/>
          <w:bCs/>
          <w:sz w:val="24"/>
          <w:szCs w:val="24"/>
        </w:rPr>
      </w:pPr>
      <w:r w:rsidRPr="002A687F">
        <w:rPr>
          <w:b/>
          <w:bCs/>
          <w:sz w:val="24"/>
          <w:szCs w:val="24"/>
        </w:rPr>
        <w:t>Build the Linux VM</w:t>
      </w:r>
    </w:p>
    <w:p w14:paraId="138992ED" w14:textId="77777777" w:rsidR="004E51F3" w:rsidRDefault="004E51F3" w:rsidP="00D14CCE">
      <w:pPr>
        <w:rPr>
          <w:sz w:val="24"/>
          <w:szCs w:val="24"/>
        </w:rPr>
      </w:pPr>
    </w:p>
    <w:p w14:paraId="1FD63716" w14:textId="0A2B6E15" w:rsidR="004E51F3" w:rsidRPr="002A687F" w:rsidRDefault="004E51F3" w:rsidP="004E51F3">
      <w:pPr>
        <w:rPr>
          <w:b/>
          <w:bCs/>
          <w:sz w:val="24"/>
          <w:szCs w:val="24"/>
        </w:rPr>
      </w:pPr>
      <w:r w:rsidRPr="002A687F">
        <w:rPr>
          <w:b/>
          <w:bCs/>
          <w:sz w:val="24"/>
          <w:szCs w:val="24"/>
        </w:rPr>
        <w:t>Run two Linux VM’s, one with with the simpleclient and one with simpleserver.</w:t>
      </w:r>
    </w:p>
    <w:sectPr w:rsidR="004E51F3" w:rsidRPr="002A687F">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FB750" w14:textId="77777777" w:rsidR="007E4471" w:rsidRDefault="007E4471" w:rsidP="00046BB8">
      <w:pPr>
        <w:spacing w:line="240" w:lineRule="auto"/>
      </w:pPr>
      <w:r>
        <w:separator/>
      </w:r>
    </w:p>
  </w:endnote>
  <w:endnote w:type="continuationSeparator" w:id="0">
    <w:p w14:paraId="2E04B55A" w14:textId="77777777" w:rsidR="007E4471" w:rsidRDefault="007E447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4E51F3" w:rsidRDefault="004E51F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4E51F3" w:rsidRDefault="004E51F3"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4E51F3" w:rsidRDefault="004E51F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1574">
      <w:rPr>
        <w:rStyle w:val="PageNumber"/>
        <w:noProof/>
      </w:rPr>
      <w:t>38</w:t>
    </w:r>
    <w:r>
      <w:rPr>
        <w:rStyle w:val="PageNumber"/>
      </w:rPr>
      <w:fldChar w:fldCharType="end"/>
    </w:r>
  </w:p>
  <w:p w14:paraId="0F0D550C" w14:textId="77777777" w:rsidR="004E51F3" w:rsidRDefault="004E51F3"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B3D27" w14:textId="77777777" w:rsidR="007E4471" w:rsidRDefault="007E4471" w:rsidP="00046BB8">
      <w:pPr>
        <w:spacing w:line="240" w:lineRule="auto"/>
      </w:pPr>
      <w:r>
        <w:separator/>
      </w:r>
    </w:p>
  </w:footnote>
  <w:footnote w:type="continuationSeparator" w:id="0">
    <w:p w14:paraId="70977388" w14:textId="77777777" w:rsidR="007E4471" w:rsidRDefault="007E4471" w:rsidP="00046BB8">
      <w:pPr>
        <w:spacing w:line="240" w:lineRule="auto"/>
      </w:pPr>
      <w:r>
        <w:continuationSeparator/>
      </w:r>
    </w:p>
  </w:footnote>
  <w:footnote w:id="1">
    <w:p w14:paraId="798788E7" w14:textId="137992F8" w:rsidR="004E51F3" w:rsidRPr="00E05FCF" w:rsidRDefault="004E51F3"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4E51F3" w:rsidRPr="00D407B8" w:rsidRDefault="004E51F3"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0">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9"/>
  </w:num>
  <w:num w:numId="2">
    <w:abstractNumId w:val="5"/>
  </w:num>
  <w:num w:numId="3">
    <w:abstractNumId w:val="17"/>
  </w:num>
  <w:num w:numId="4">
    <w:abstractNumId w:val="6"/>
  </w:num>
  <w:num w:numId="5">
    <w:abstractNumId w:val="13"/>
  </w:num>
  <w:num w:numId="6">
    <w:abstractNumId w:val="18"/>
  </w:num>
  <w:num w:numId="7">
    <w:abstractNumId w:val="20"/>
  </w:num>
  <w:num w:numId="8">
    <w:abstractNumId w:val="24"/>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1"/>
  </w:num>
  <w:num w:numId="16">
    <w:abstractNumId w:val="8"/>
  </w:num>
  <w:num w:numId="17">
    <w:abstractNumId w:val="25"/>
  </w:num>
  <w:num w:numId="18">
    <w:abstractNumId w:val="12"/>
  </w:num>
  <w:num w:numId="19">
    <w:abstractNumId w:val="15"/>
  </w:num>
  <w:num w:numId="20">
    <w:abstractNumId w:val="11"/>
  </w:num>
  <w:num w:numId="21">
    <w:abstractNumId w:val="4"/>
  </w:num>
  <w:num w:numId="22">
    <w:abstractNumId w:val="16"/>
  </w:num>
  <w:num w:numId="23">
    <w:abstractNumId w:val="22"/>
  </w:num>
  <w:num w:numId="24">
    <w:abstractNumId w:val="23"/>
  </w:num>
  <w:num w:numId="25">
    <w:abstractNumId w:val="26"/>
  </w:num>
  <w:num w:numId="26">
    <w:abstractNumId w:val="14"/>
  </w:num>
  <w:num w:numId="27">
    <w:abstractNumId w:val="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3127"/>
    <w:rsid w:val="00443AAB"/>
    <w:rsid w:val="004454E9"/>
    <w:rsid w:val="004463B7"/>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705D"/>
    <w:rsid w:val="004D0E97"/>
    <w:rsid w:val="004D560E"/>
    <w:rsid w:val="004E51F3"/>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0621"/>
    <w:rsid w:val="0054207C"/>
    <w:rsid w:val="00543634"/>
    <w:rsid w:val="00543C71"/>
    <w:rsid w:val="005528B1"/>
    <w:rsid w:val="005533B4"/>
    <w:rsid w:val="00553814"/>
    <w:rsid w:val="00556111"/>
    <w:rsid w:val="0056129F"/>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62CBE"/>
    <w:rsid w:val="00665359"/>
    <w:rsid w:val="00665A07"/>
    <w:rsid w:val="00667257"/>
    <w:rsid w:val="0067190F"/>
    <w:rsid w:val="00682B3B"/>
    <w:rsid w:val="00686330"/>
    <w:rsid w:val="0069036D"/>
    <w:rsid w:val="006969A5"/>
    <w:rsid w:val="006A05BF"/>
    <w:rsid w:val="006A0B94"/>
    <w:rsid w:val="006A7015"/>
    <w:rsid w:val="006B3EE0"/>
    <w:rsid w:val="006C1185"/>
    <w:rsid w:val="006C1265"/>
    <w:rsid w:val="006C4233"/>
    <w:rsid w:val="006C44F7"/>
    <w:rsid w:val="006C492B"/>
    <w:rsid w:val="006D5F62"/>
    <w:rsid w:val="006F2FF8"/>
    <w:rsid w:val="006F5068"/>
    <w:rsid w:val="00700C1E"/>
    <w:rsid w:val="00701574"/>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7824"/>
    <w:rsid w:val="007A7E16"/>
    <w:rsid w:val="007B6A40"/>
    <w:rsid w:val="007B74CC"/>
    <w:rsid w:val="007D6753"/>
    <w:rsid w:val="007E3090"/>
    <w:rsid w:val="007E4471"/>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20D1"/>
    <w:rsid w:val="009C30E5"/>
    <w:rsid w:val="009E1B8D"/>
    <w:rsid w:val="009F027E"/>
    <w:rsid w:val="009F0942"/>
    <w:rsid w:val="009F37F9"/>
    <w:rsid w:val="009F47A0"/>
    <w:rsid w:val="00A12765"/>
    <w:rsid w:val="00A12EA3"/>
    <w:rsid w:val="00A267D3"/>
    <w:rsid w:val="00A30D88"/>
    <w:rsid w:val="00A403CB"/>
    <w:rsid w:val="00A41D2F"/>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65D60"/>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516032-679D-D64A-8459-74006563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39</Pages>
  <Words>8645</Words>
  <Characters>49278</Characters>
  <Application>Microsoft Macintosh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cp:lastPrinted>2016-07-19T21:45:00Z</cp:lastPrinted>
  <dcterms:created xsi:type="dcterms:W3CDTF">2016-07-19T21:45:00Z</dcterms:created>
  <dcterms:modified xsi:type="dcterms:W3CDTF">2016-07-29T20:26:00Z</dcterms:modified>
</cp:coreProperties>
</file>