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CF231E5"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5CDBB3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BF1D30">
        <w:rPr>
          <w:i/>
          <w:iCs/>
        </w:rPr>
        <w:t>SimpleClient</w:t>
      </w:r>
      <w:r w:rsidR="000D51CB">
        <w:t xml:space="preserve"> and </w:t>
      </w:r>
      <w:r w:rsidR="00BF1D30">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67D9A240" w:rsidR="000528AC" w:rsidRDefault="000D51CB" w:rsidP="00813017">
      <w:r>
        <w:t xml:space="preserve">When it starts, </w:t>
      </w:r>
      <w:r w:rsidR="00BF1D30">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29A8E5D" w:rsidR="0099411B" w:rsidRDefault="00BF1D30" w:rsidP="00D215ED">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and also employs the support functions in</w:t>
      </w:r>
      <w:r w:rsidR="0099411B">
        <w:t xml:space="preserve"> </w:t>
      </w:r>
      <w:r w:rsidR="00106109" w:rsidRPr="00D215ED">
        <w:rPr>
          <w:rFonts w:ascii="Courier New" w:hAnsi="Courier New" w:cs="Courier New"/>
        </w:rPr>
        <w:t>$CLOUDPROXY/</w:t>
      </w:r>
      <w:r w:rsidR="0099411B" w:rsidRPr="00D215ED">
        <w:rPr>
          <w:rFonts w:ascii="Courier New" w:hAnsi="Courier New" w:cs="Courier New"/>
        </w:rPr>
        <w:t>go/apps/simpleexample/taosupport</w:t>
      </w:r>
      <w:r w:rsidR="00813017">
        <w:rPr>
          <w:rFonts w:ascii="Courier New" w:hAnsi="Courier New" w:cs="Courier New"/>
        </w:rPr>
        <w:t>/taosupport.go</w:t>
      </w:r>
      <w:r w:rsidR="0099411B">
        <w:t xml:space="preserve">.  </w:t>
      </w:r>
    </w:p>
    <w:p w14:paraId="05A6B8E7" w14:textId="77777777" w:rsidR="0099411B" w:rsidRDefault="0099411B" w:rsidP="0099411B"/>
    <w:p w14:paraId="228B0293" w14:textId="2EE55397" w:rsidR="00F33516" w:rsidRDefault="0099411B" w:rsidP="00E552A6">
      <w:r>
        <w:t xml:space="preserve">Just as </w:t>
      </w:r>
      <w:r w:rsidR="00BF1D30">
        <w:rPr>
          <w:i/>
          <w:iCs/>
        </w:rPr>
        <w:t>SimpleClient</w:t>
      </w:r>
      <w:r>
        <w:t xml:space="preserve">, </w:t>
      </w:r>
      <w:r w:rsidR="00BF1D30">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72673424"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t>./copybins</w:t>
      </w:r>
      <w:bookmarkStart w:id="0" w:name="_GoBack"/>
      <w:bookmarkEnd w:id="0"/>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p>
    <w:p w14:paraId="7439A580" w14:textId="2230725F"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proofErr w:type="gramStart"/>
      <w:r>
        <w:t>is  concatenated</w:t>
      </w:r>
      <w:proofErr w:type="gramEnd"/>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w:t>
      </w:r>
      <w:proofErr w:type="gramStart"/>
      <w:r w:rsidRPr="0023188D">
        <w:rPr>
          <w:i/>
          <w:iCs/>
        </w:rPr>
        <w:t>template.simpleexample</w:t>
      </w:r>
      <w:proofErr w:type="gramEnd"/>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 xml:space="preserve">$BINPATH/tao host init -tao_domain $DOMAIN -hosting process -root -pass </w:t>
      </w:r>
      <w:r w:rsidRPr="00440C62">
        <w:rPr>
          <w:rFonts w:ascii="Courier New" w:hAnsi="Courier New" w:cs="Courier New"/>
          <w:sz w:val="20"/>
          <w:szCs w:val="20"/>
        </w:rPr>
        <w:lastRenderedPageBreak/>
        <w:t>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w:t>
      </w:r>
      <w:r w:rsidRPr="005B00BE">
        <w:rPr>
          <w:rFonts w:ascii="Courier New" w:hAnsi="Courier New" w:cs="Courier New"/>
          <w:sz w:val="20"/>
          <w:szCs w:val="20"/>
        </w:rPr>
        <w:lastRenderedPageBreak/>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w:t>
      </w:r>
      <w:proofErr w:type="gramStart"/>
      <w:r w:rsidRPr="009904C1">
        <w:rPr>
          <w:rFonts w:ascii="Courier New" w:hAnsi="Courier New" w:cs="Courier New"/>
          <w:sz w:val="20"/>
          <w:szCs w:val="20"/>
        </w:rPr>
        <w:t>After :</w:t>
      </w:r>
      <w:proofErr w:type="gramEnd"/>
      <w:r w:rsidRPr="009904C1">
        <w:rPr>
          <w:rFonts w:ascii="Courier New" w:hAnsi="Courier New" w:cs="Courier New"/>
          <w:sz w:val="20"/>
          <w:szCs w:val="20"/>
        </w:rPr>
        <w:t xml:space="preserve">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04:50:f</w:t>
      </w:r>
      <w:proofErr w:type="gramEnd"/>
      <w:r w:rsidRPr="009904C1">
        <w:rPr>
          <w:rFonts w:ascii="Courier New" w:hAnsi="Courier New" w:cs="Courier New"/>
          <w:sz w:val="20"/>
          <w:szCs w:val="20"/>
        </w:rPr>
        <w:t>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w:t>
      </w:r>
      <w:proofErr w:type="gramStart"/>
      <w:r w:rsidRPr="009904C1">
        <w:rPr>
          <w:rFonts w:ascii="Courier New" w:hAnsi="Courier New" w:cs="Courier New"/>
          <w:sz w:val="20"/>
          <w:szCs w:val="20"/>
        </w:rPr>
        <w:t>9:47:d</w:t>
      </w:r>
      <w:proofErr w:type="gramEnd"/>
      <w:r w:rsidRPr="009904C1">
        <w:rPr>
          <w:rFonts w:ascii="Courier New" w:hAnsi="Courier New" w:cs="Courier New"/>
          <w:sz w:val="20"/>
          <w:szCs w:val="20"/>
        </w:rPr>
        <w:t>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77:f</w:t>
      </w:r>
      <w:proofErr w:type="gramEnd"/>
      <w:r w:rsidRPr="009904C1">
        <w:rPr>
          <w:rFonts w:ascii="Courier New" w:hAnsi="Courier New" w:cs="Courier New"/>
          <w:sz w:val="20"/>
          <w:szCs w:val="20"/>
        </w:rPr>
        <w:t>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be:61:79:3</w:t>
      </w:r>
      <w:proofErr w:type="gramEnd"/>
      <w:r w:rsidRPr="009904C1">
        <w:rPr>
          <w:rFonts w:ascii="Courier New" w:hAnsi="Courier New" w:cs="Courier New"/>
          <w:sz w:val="20"/>
          <w:szCs w:val="20"/>
        </w:rPr>
        <w:t>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w:t>
      </w:r>
      <w:proofErr w:type="gramStart"/>
      <w:r w:rsidRPr="009904C1">
        <w:rPr>
          <w:rFonts w:ascii="Courier New" w:hAnsi="Courier New" w:cs="Courier New"/>
          <w:sz w:val="20"/>
          <w:szCs w:val="20"/>
        </w:rPr>
        <w:t>d:dc</w:t>
      </w:r>
      <w:proofErr w:type="gramEnd"/>
      <w:r w:rsidRPr="009904C1">
        <w:rPr>
          <w:rFonts w:ascii="Courier New" w:hAnsi="Courier New" w:cs="Courier New"/>
          <w:sz w:val="20"/>
          <w:szCs w:val="20"/>
        </w:rPr>
        <w:t>:f5:99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30:44:02:20:73:01</w:t>
      </w:r>
      <w:proofErr w:type="gramEnd"/>
      <w:r w:rsidRPr="009904C1">
        <w:rPr>
          <w:rFonts w:ascii="Courier New" w:hAnsi="Courier New" w:cs="Courier New"/>
          <w:sz w:val="20"/>
          <w:szCs w:val="20"/>
        </w:rPr>
        <w:t>:e7:94:3d:0d:5e:6f:e4:38:98:45:e2:d0: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w:t>
      </w:r>
      <w:proofErr w:type="gramStart"/>
      <w:r w:rsidRPr="009904C1">
        <w:rPr>
          <w:rFonts w:ascii="Courier New" w:hAnsi="Courier New" w:cs="Courier New"/>
          <w:sz w:val="20"/>
          <w:szCs w:val="20"/>
        </w:rPr>
        <w:t>93:d</w:t>
      </w:r>
      <w:proofErr w:type="gramEnd"/>
      <w:r w:rsidRPr="009904C1">
        <w:rPr>
          <w:rFonts w:ascii="Courier New" w:hAnsi="Courier New" w:cs="Courier New"/>
          <w:sz w:val="20"/>
          <w:szCs w:val="20"/>
        </w:rPr>
        <w:t>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w:t>
      </w:r>
      <w:proofErr w:type="gramStart"/>
      <w:r w:rsidRPr="009904C1">
        <w:rPr>
          <w:rFonts w:ascii="Courier New" w:hAnsi="Courier New" w:cs="Courier New"/>
          <w:sz w:val="20"/>
          <w:szCs w:val="20"/>
        </w:rPr>
        <w:t>d:d</w:t>
      </w:r>
      <w:proofErr w:type="gramEnd"/>
      <w:r w:rsidRPr="009904C1">
        <w:rPr>
          <w:rFonts w:ascii="Courier New" w:hAnsi="Courier New" w:cs="Courier New"/>
          <w:sz w:val="20"/>
          <w:szCs w:val="20"/>
        </w:rPr>
        <w:t>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w:t>
      </w:r>
      <w:proofErr w:type="gramStart"/>
      <w:r w:rsidRPr="009904C1">
        <w:rPr>
          <w:rFonts w:ascii="Courier New" w:hAnsi="Courier New" w:cs="Courier New"/>
          <w:sz w:val="20"/>
          <w:szCs w:val="20"/>
        </w:rPr>
        <w:t>9:64:71:d</w:t>
      </w:r>
      <w:proofErr w:type="gramEnd"/>
      <w:r w:rsidRPr="009904C1">
        <w:rPr>
          <w:rFonts w:ascii="Courier New" w:hAnsi="Courier New" w:cs="Courier New"/>
          <w:sz w:val="20"/>
          <w:szCs w:val="20"/>
        </w:rPr>
        <w:t>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versions of Hosted Systems simply re-initialize (get new program keys and certificates) using </w:t>
      </w:r>
      <w:r w:rsidR="00D84E93">
        <w:lastRenderedPageBreak/>
        <w:t>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7D9B326"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w:t>
      </w:r>
      <w:proofErr w:type="gramStart"/>
      <w:r w:rsidR="00A54EC5">
        <w:rPr>
          <w:color w:val="auto"/>
        </w:rPr>
        <w:t xml:space="preserve">the </w:t>
      </w:r>
      <w:r>
        <w:rPr>
          <w:color w:val="auto"/>
        </w:rPr>
        <w:t xml:space="preserve"> </w:t>
      </w:r>
      <w:r w:rsidR="00A54EC5">
        <w:rPr>
          <w:rFonts w:ascii="Courier New" w:hAnsi="Courier New" w:cs="Courier New"/>
          <w:color w:val="auto"/>
        </w:rPr>
        <w:t>libtao</w:t>
      </w:r>
      <w:proofErr w:type="gramEnd"/>
      <w:r>
        <w:rPr>
          <w:rFonts w:ascii="Courier New" w:hAnsi="Courier New" w:cs="Courier New"/>
          <w:color w:val="auto"/>
        </w:rPr>
        <w:t>.a</w:t>
      </w:r>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proofErr w:type="gramStart"/>
      <w:r w:rsidRPr="00A54EC5">
        <w:rPr>
          <w:rFonts w:ascii="Courier New" w:eastAsia="Times New Roman" w:hAnsi="Courier New" w:cs="Courier New"/>
          <w:color w:val="222222"/>
          <w:sz w:val="20"/>
          <w:szCs w:val="20"/>
          <w:shd w:val="clear" w:color="auto" w:fill="FFFFFF"/>
        </w:rPr>
        <w:t>libauth.a</w:t>
      </w:r>
      <w:proofErr w:type="gramEnd"/>
      <w:r w:rsidRPr="00A54EC5">
        <w:rPr>
          <w:rFonts w:ascii="Courier New" w:eastAsia="Times New Roman" w:hAnsi="Courier New" w:cs="Courier New"/>
          <w:color w:val="222222"/>
          <w:sz w:val="20"/>
          <w:szCs w:val="20"/>
          <w:shd w:val="clear" w:color="auto" w:fill="FFFFFF"/>
        </w:rPr>
        <w:t xml:space="preserve">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w:t>
      </w:r>
      <w:proofErr w:type="gramStart"/>
      <w:r w:rsidRPr="007C00FA">
        <w:rPr>
          <w:rFonts w:ascii="Courier New" w:hAnsi="Courier New" w:cs="Courier New"/>
          <w:sz w:val="20"/>
          <w:szCs w:val="20"/>
        </w:rPr>
        <w:t>DIR}/..</w:t>
      </w:r>
      <w:proofErr w:type="gramEnd"/>
      <w:r w:rsidRPr="007C00FA">
        <w:rPr>
          <w:rFonts w:ascii="Courier New" w:hAnsi="Courier New" w:cs="Courier New"/>
          <w:sz w:val="20"/>
          <w:szCs w:val="20"/>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486CA4EE" w:rsidR="007C00FA" w:rsidRPr="007C00FA" w:rsidRDefault="003722AC" w:rsidP="00A54EC5">
      <w:pPr>
        <w:outlineLvl w:val="0"/>
        <w:rPr>
          <w:rFonts w:asciiTheme="minorBidi" w:hAnsiTheme="minorBidi" w:cstheme="minorBidi"/>
          <w:b/>
          <w:bCs/>
          <w:color w:val="auto"/>
        </w:rPr>
      </w:pPr>
      <w:r>
        <w:rPr>
          <w:rFonts w:asciiTheme="minorBidi" w:hAnsiTheme="minorBidi" w:cstheme="minorBidi"/>
          <w:color w:val="auto"/>
        </w:rPr>
        <w:t xml:space="preserve">You will need to link </w:t>
      </w:r>
      <w:proofErr w:type="gramStart"/>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proofErr w:type="gramEnd"/>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 xml:space="preserve">To produce these files, you win need to </w:t>
      </w:r>
      <w:proofErr w:type="gramStart"/>
      <w:r w:rsidR="00A54EC5">
        <w:rPr>
          <w:color w:val="auto"/>
        </w:rPr>
        <w:t>copy</w:t>
      </w:r>
      <w:r w:rsidR="007C00FA">
        <w:rPr>
          <w:color w:val="auto"/>
        </w:rPr>
        <w:t xml:space="preserve">  </w:t>
      </w:r>
      <w:r w:rsidR="007C00FA" w:rsidRPr="0089300C">
        <w:rPr>
          <w:rFonts w:ascii="Courier New" w:hAnsi="Courier New" w:cs="Courier New"/>
          <w:color w:val="auto"/>
          <w:sz w:val="20"/>
          <w:szCs w:val="20"/>
        </w:rPr>
        <w:t>$</w:t>
      </w:r>
      <w:proofErr w:type="gramEnd"/>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go/tao/proto/{attestation.proto, ca.proto, datalog_guard.proto and acl_guard.proto} </w:t>
      </w:r>
      <w:r w:rsidR="007C00FA" w:rsidRPr="007C00FA">
        <w:rPr>
          <w:color w:val="auto"/>
        </w:rPr>
        <w:t>as</w:t>
      </w:r>
      <w:r w:rsidR="007C00FA">
        <w:rPr>
          <w:color w:val="auto"/>
        </w:rPr>
        <w:t xml:space="preserve"> well as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go/apps/simpleexample/domain_policy/domain_policy.proto </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 xml:space="preserve">protoc –cpp_out=. </w:t>
      </w:r>
      <w:proofErr w:type="gramStart"/>
      <w:r w:rsidR="007C00FA" w:rsidRPr="007C00FA">
        <w:rPr>
          <w:rFonts w:ascii="Courier New" w:hAnsi="Courier New" w:cs="Courier New"/>
          <w:color w:val="auto"/>
          <w:sz w:val="20"/>
          <w:szCs w:val="20"/>
        </w:rPr>
        <w:t>*.proto</w:t>
      </w:r>
      <w:proofErr w:type="gramEnd"/>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234B60D8" w:rsidR="003520A5" w:rsidRDefault="00F110E8" w:rsidP="00E73B67">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sidRPr="007C00FA">
        <w:rPr>
          <w:rFonts w:ascii="Courier New" w:hAnsi="Courier New" w:cs="Courier New"/>
          <w:sz w:val="20"/>
          <w:szCs w:val="20"/>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lastRenderedPageBreak/>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proofErr w:type="gramStart"/>
      <w:r w:rsidRPr="00A54EC5">
        <w:rPr>
          <w:rFonts w:ascii="Courier New" w:hAnsi="Courier New" w:cs="Courier New"/>
          <w:color w:val="auto"/>
          <w:sz w:val="20"/>
          <w:szCs w:val="20"/>
        </w:rPr>
        <w:t>libmodp.a</w:t>
      </w:r>
      <w:proofErr w:type="gramEnd"/>
      <w:r w:rsidRPr="00A54EC5">
        <w:rPr>
          <w:rFonts w:ascii="Courier New" w:hAnsi="Courier New" w:cs="Courier New"/>
          <w:color w:val="auto"/>
          <w:sz w:val="20"/>
          <w:szCs w:val="20"/>
        </w:rPr>
        <w:t xml:space="preserve">,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proofErr w:type="gramStart"/>
      <w:r w:rsidRPr="0089300C">
        <w:rPr>
          <w:b/>
          <w:bCs/>
          <w:color w:val="auto"/>
        </w:rPr>
        <w:t>libmodp.a</w:t>
      </w:r>
      <w:proofErr w:type="gramEnd"/>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proofErr w:type="gramStart"/>
      <w:r w:rsidRPr="0089300C">
        <w:rPr>
          <w:b/>
          <w:bCs/>
          <w:color w:val="auto"/>
        </w:rPr>
        <w:t>libchromium.a</w:t>
      </w:r>
      <w:proofErr w:type="gramEnd"/>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proofErr w:type="gramStart"/>
      <w:r w:rsidRPr="0089300C">
        <w:rPr>
          <w:b/>
          <w:bCs/>
        </w:rPr>
        <w:t>libauth.a</w:t>
      </w:r>
      <w:proofErr w:type="gramEnd"/>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proofErr w:type="gramStart"/>
      <w:r w:rsidR="00535CD3">
        <w:rPr>
          <w:rFonts w:ascii="Courier New" w:hAnsi="Courier New" w:cs="Courier New"/>
          <w:color w:val="auto"/>
          <w:sz w:val="20"/>
          <w:szCs w:val="20"/>
        </w:rPr>
        <w:t>binary.go</w:t>
      </w:r>
      <w:proofErr w:type="gramEnd"/>
      <w:r w:rsidR="00535CD3">
        <w:rPr>
          <w:rFonts w:ascii="Courier New" w:hAnsi="Courier New" w:cs="Courier New"/>
          <w:color w:val="auto"/>
          <w:sz w:val="20"/>
          <w:szCs w:val="20"/>
        </w:rPr>
        <w:t xml:space="preserve">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proofErr w:type="gramStart"/>
      <w:r w:rsidR="006769CB">
        <w:rPr>
          <w:rFonts w:ascii="Courier New" w:hAnsi="Courier New" w:cs="Courier New"/>
          <w:color w:val="auto"/>
          <w:sz w:val="20"/>
          <w:szCs w:val="20"/>
        </w:rPr>
        <w:t>binary.go</w:t>
      </w:r>
      <w:proofErr w:type="gramEnd"/>
      <w:r w:rsidR="006769CB">
        <w:rPr>
          <w:rFonts w:ascii="Courier New" w:hAnsi="Courier New" w:cs="Courier New"/>
          <w:color w:val="auto"/>
          <w:sz w:val="20"/>
          <w:szCs w:val="20"/>
        </w:rPr>
        <w:t xml:space="preserve">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w:t>
      </w:r>
      <w:proofErr w:type="gramStart"/>
      <w:r>
        <w:t>… .</w:t>
      </w:r>
      <w:proofErr w:type="gramEnd"/>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proofErr w:type="gramStart"/>
      <w:r w:rsidRPr="0089300C">
        <w:rPr>
          <w:b/>
          <w:bCs/>
          <w:color w:val="auto"/>
        </w:rPr>
        <w:t>libtao.a</w:t>
      </w:r>
      <w:proofErr w:type="gramEnd"/>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w:t>
      </w:r>
      <w:proofErr w:type="gramStart"/>
      <w:r w:rsidR="006769CB">
        <w:rPr>
          <w:color w:val="auto"/>
        </w:rPr>
        <w:t>libtao.a</w:t>
      </w:r>
      <w:proofErr w:type="gramEnd"/>
      <w:r w:rsidR="006769CB">
        <w:rPr>
          <w:color w:val="auto"/>
        </w:rPr>
        <w:t xml:space="preserve">)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lastRenderedPageBreak/>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DEA36" w14:textId="77777777" w:rsidR="001134CE" w:rsidRDefault="001134CE" w:rsidP="00046BB8">
      <w:pPr>
        <w:spacing w:line="240" w:lineRule="auto"/>
      </w:pPr>
      <w:r>
        <w:separator/>
      </w:r>
    </w:p>
  </w:endnote>
  <w:endnote w:type="continuationSeparator" w:id="0">
    <w:p w14:paraId="0F9E4A29" w14:textId="77777777" w:rsidR="001134CE" w:rsidRDefault="001134CE"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8D702C" w:rsidRDefault="008D702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8D702C" w:rsidRDefault="008D702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8D702C" w:rsidRDefault="008D702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23A9">
      <w:rPr>
        <w:rStyle w:val="PageNumber"/>
        <w:noProof/>
      </w:rPr>
      <w:t>13</w:t>
    </w:r>
    <w:r>
      <w:rPr>
        <w:rStyle w:val="PageNumber"/>
      </w:rPr>
      <w:fldChar w:fldCharType="end"/>
    </w:r>
  </w:p>
  <w:p w14:paraId="0F0D550C" w14:textId="77777777" w:rsidR="008D702C" w:rsidRDefault="008D702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C1124" w14:textId="77777777" w:rsidR="001134CE" w:rsidRDefault="001134CE" w:rsidP="00046BB8">
      <w:pPr>
        <w:spacing w:line="240" w:lineRule="auto"/>
      </w:pPr>
      <w:r>
        <w:separator/>
      </w:r>
    </w:p>
  </w:footnote>
  <w:footnote w:type="continuationSeparator" w:id="0">
    <w:p w14:paraId="33D36873" w14:textId="77777777" w:rsidR="001134CE" w:rsidRDefault="001134CE" w:rsidP="00046BB8">
      <w:pPr>
        <w:spacing w:line="240" w:lineRule="auto"/>
      </w:pPr>
      <w:r>
        <w:continuationSeparator/>
      </w:r>
    </w:p>
  </w:footnote>
  <w:footnote w:id="1">
    <w:p w14:paraId="798788E7" w14:textId="3099B122" w:rsidR="008D702C" w:rsidRPr="00E05FCF" w:rsidRDefault="008D702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8D702C" w:rsidRPr="00A92E31" w:rsidRDefault="008D702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8D702C" w:rsidRPr="003A58BB" w:rsidRDefault="008D702C"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8D702C" w:rsidRPr="000C7D18" w:rsidRDefault="008D702C"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8D702C" w:rsidRPr="00556111" w:rsidRDefault="008D702C"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8D702C" w:rsidRPr="00D27FE7" w:rsidRDefault="008D702C">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8D702C" w:rsidRPr="00455133" w:rsidRDefault="008D702C"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8D702C" w:rsidRPr="00A403CB" w:rsidRDefault="008D702C">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8D702C" w:rsidRPr="003A6088" w:rsidRDefault="008D702C">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8D702C" w:rsidRPr="001D7AA5" w:rsidRDefault="008D702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8D702C" w:rsidRPr="00027091" w:rsidRDefault="008D702C">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8D702C" w:rsidRPr="00B6743D" w:rsidRDefault="008D702C">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8D702C" w:rsidRPr="00520046" w:rsidRDefault="008D702C"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8D702C" w:rsidRPr="001118F1" w:rsidRDefault="008D702C"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8D702C" w:rsidRPr="00914E36" w:rsidRDefault="008D702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8D702C" w:rsidRPr="00D84E93" w:rsidRDefault="008D702C">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8D702C" w:rsidRPr="00362AA8" w:rsidRDefault="008D702C"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FB2"/>
    <w:rsid w:val="0026216B"/>
    <w:rsid w:val="00264419"/>
    <w:rsid w:val="0026600F"/>
    <w:rsid w:val="0026799A"/>
    <w:rsid w:val="00274F41"/>
    <w:rsid w:val="002768E0"/>
    <w:rsid w:val="00277DE4"/>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103EC"/>
    <w:rsid w:val="006106F8"/>
    <w:rsid w:val="00611254"/>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3FBFE4-055E-5547-BE2C-D217F9D1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51</Pages>
  <Words>16123</Words>
  <Characters>91906</Characters>
  <Application>Microsoft Macintosh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2016-08-11T21:33:00Z</cp:lastPrinted>
  <dcterms:created xsi:type="dcterms:W3CDTF">2016-08-11T21:33:00Z</dcterms:created>
  <dcterms:modified xsi:type="dcterms:W3CDTF">2016-09-14T22:37:00Z</dcterms:modified>
</cp:coreProperties>
</file>