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77777777" w:rsidR="00355B2C" w:rsidRDefault="00760C01" w:rsidP="00A65E5A">
      <w:pPr>
        <w:jc w:val="center"/>
        <w:outlineLvl w:val="0"/>
      </w:pPr>
      <w:proofErr w:type="spellStart"/>
      <w:r>
        <w:t>manferdelli</w:t>
      </w:r>
      <w:proofErr w:type="spellEnd"/>
      <w:r>
        <w:t xml:space="preserve">@, </w:t>
      </w:r>
      <w:proofErr w:type="spellStart"/>
      <w:r>
        <w:t>tmroeder</w:t>
      </w:r>
      <w:proofErr w:type="spellEnd"/>
      <w:r>
        <w:t>@</w:t>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sidP="00A65E5A">
      <w:pPr>
        <w:outlineLvl w:val="0"/>
      </w:pPr>
      <w:r>
        <w:t xml:space="preserve">Readers can consult [1] for a fuller description.  </w:t>
      </w:r>
    </w:p>
    <w:p w14:paraId="5AC3BD58" w14:textId="77777777" w:rsidR="00355B2C" w:rsidRDefault="00355B2C"/>
    <w:p w14:paraId="2243BE33" w14:textId="77777777" w:rsidR="00355B2C" w:rsidRDefault="00760C01" w:rsidP="00A65E5A">
      <w:pPr>
        <w:outlineLvl w:val="0"/>
        <w:rPr>
          <w:b/>
          <w:sz w:val="24"/>
          <w:szCs w:val="24"/>
        </w:rPr>
      </w:pPr>
      <w:r>
        <w:rPr>
          <w:b/>
          <w:sz w:val="24"/>
          <w:szCs w:val="24"/>
        </w:rPr>
        <w:t>The Tao</w:t>
      </w:r>
    </w:p>
    <w:p w14:paraId="60DFC5A8" w14:textId="77777777" w:rsidR="00897C64" w:rsidRDefault="00897C64"/>
    <w:p w14:paraId="69D300D6" w14:textId="14ECDB7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69302A3A" w:rsidR="00355B2C" w:rsidRDefault="00F872B9">
      <w:proofErr w:type="spellStart"/>
      <w:r>
        <w:rPr>
          <w:i/>
        </w:rPr>
        <w:t>Add</w:t>
      </w:r>
      <w:r w:rsidR="002C1239" w:rsidRPr="00EB3907">
        <w:rPr>
          <w:i/>
        </w:rPr>
        <w:t>HostedProgram</w:t>
      </w:r>
      <w:proofErr w:type="spellEnd"/>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4ACCD00F"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proofErr w:type="spellStart"/>
      <w:r w:rsidRPr="00EB3907">
        <w:rPr>
          <w:i/>
        </w:rPr>
        <w:t>GetRandom</w:t>
      </w:r>
      <w:proofErr w:type="spellEnd"/>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in its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7A8BB434" w14:textId="77777777" w:rsidR="00F33CD6" w:rsidRPr="00813F96" w:rsidRDefault="00F33CD6" w:rsidP="00F33CD6">
      <w:pPr>
        <w:ind w:left="720"/>
        <w:rPr>
          <w:sz w:val="16"/>
          <w:szCs w:val="16"/>
        </w:rPr>
      </w:pPr>
      <w:proofErr w:type="gramStart"/>
      <w:r w:rsidRPr="00813F96">
        <w:rPr>
          <w:rFonts w:ascii="Courier New" w:eastAsia="Courier New" w:hAnsi="Courier New" w:cs="Courier New"/>
          <w:sz w:val="16"/>
          <w:szCs w:val="16"/>
        </w:rPr>
        <w:t>key(</w:t>
      </w:r>
      <w:proofErr w:type="gramEnd"/>
      <w:r w:rsidRPr="00813F96">
        <w:rPr>
          <w:rFonts w:ascii="Courier New" w:eastAsia="Courier New" w:hAnsi="Courier New" w:cs="Courier New"/>
          <w:sz w:val="16"/>
          <w:szCs w:val="16"/>
        </w:rPr>
        <w:t>[080110011801224508011241046cdc82f70552eb...]).Program([25fac93bd4cc868352c78f4d34df6d2747a17f85...])</w:t>
      </w:r>
    </w:p>
    <w:p w14:paraId="5C8D2055" w14:textId="77777777" w:rsidR="00F33CD6" w:rsidRDefault="00F33CD6" w:rsidP="00F33CD6"/>
    <w:p w14:paraId="69EAB630" w14:textId="73E65FCF" w:rsidR="00F33CD6" w:rsidRDefault="00F33CD6" w:rsidP="00F33CD6">
      <w:r>
        <w:t xml:space="preserve">Here, </w:t>
      </w:r>
      <w:proofErr w:type="gramStart"/>
      <w:r w:rsidRPr="00813F96">
        <w:rPr>
          <w:rFonts w:ascii="Courier New" w:hAnsi="Courier New" w:cs="Courier New"/>
        </w:rPr>
        <w:t>key(</w:t>
      </w:r>
      <w:proofErr w:type="gramEnd"/>
      <w:r w:rsidRPr="00813F96">
        <w:rPr>
          <w:rFonts w:ascii="Courier New" w:hAnsi="Courier New" w:cs="Courier New"/>
        </w:rPr>
        <w:t>[</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813F96">
        <w:t xml:space="preserve">. </w:t>
      </w:r>
      <w:r w:rsidR="00455133">
        <w:t>If the host were a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2"/>
      </w:r>
      <w:r>
        <w:t>.</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1059773F" w14:textId="45297F1B"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proofErr w:type="spellStart"/>
      <w:r w:rsidR="00DE6469">
        <w:t>tao</w:t>
      </w:r>
      <w:proofErr w:type="spellEnd"/>
      <w:r w:rsidR="00DE6469">
        <w:t xml:space="preserve"> package (along with the basic </w:t>
      </w:r>
      <w:proofErr w:type="spellStart"/>
      <w:r w:rsidR="00DE6469">
        <w:t>tao</w:t>
      </w:r>
      <w:proofErr w:type="spellEnd"/>
      <w:r w:rsidR="00DE6469">
        <w:t xml:space="preserve"> functions above and can be called, for example as </w:t>
      </w:r>
      <w:proofErr w:type="spellStart"/>
      <w:proofErr w:type="gramStart"/>
      <w:r w:rsidR="00DE6469" w:rsidRPr="00DE6469">
        <w:rPr>
          <w:i/>
        </w:rPr>
        <w:t>tao.StartHostedProgram</w:t>
      </w:r>
      <w:proofErr w:type="spellEnd"/>
      <w:proofErr w:type="gramEnd"/>
      <w:r w:rsidR="00DE6469">
        <w:t>, etc.</w:t>
      </w:r>
    </w:p>
    <w:p w14:paraId="6128F7C1" w14:textId="77777777" w:rsidR="00347101" w:rsidRDefault="00347101"/>
    <w:p w14:paraId="37521316" w14:textId="1EDB4D53" w:rsidR="00897C64" w:rsidRDefault="00F33CD6" w:rsidP="00A65E5A">
      <w:pPr>
        <w:outlineLvl w:val="0"/>
      </w:pPr>
      <w:proofErr w:type="spellStart"/>
      <w:r w:rsidRPr="00611254">
        <w:rPr>
          <w:i/>
        </w:rPr>
        <w:t>DomainLoad</w:t>
      </w:r>
      <w:proofErr w:type="spellEnd"/>
      <w:r w:rsidR="009F027E">
        <w:t xml:space="preserve"> is used to store and retrieve Program Certificates and sealed data.</w:t>
      </w:r>
    </w:p>
    <w:p w14:paraId="55FFB969" w14:textId="77777777" w:rsidR="00F33CD6" w:rsidRDefault="00F33CD6"/>
    <w:p w14:paraId="34B10F63" w14:textId="77777777" w:rsidR="00813F96" w:rsidRDefault="00813F96" w:rsidP="00A65E5A">
      <w:pPr>
        <w:outlineLvl w:val="0"/>
        <w:rPr>
          <w:i/>
        </w:rPr>
      </w:pPr>
      <w:proofErr w:type="spellStart"/>
      <w:r>
        <w:rPr>
          <w:i/>
        </w:rPr>
        <w:t>GetTaoName</w:t>
      </w:r>
      <w:proofErr w:type="spellEnd"/>
    </w:p>
    <w:p w14:paraId="58D0448F" w14:textId="77777777" w:rsidR="00813F96" w:rsidRDefault="00813F96">
      <w:pPr>
        <w:rPr>
          <w:i/>
        </w:rPr>
      </w:pPr>
    </w:p>
    <w:p w14:paraId="48E2FD96" w14:textId="77777777" w:rsidR="00813F96" w:rsidRDefault="00813F96" w:rsidP="00A65E5A">
      <w:pPr>
        <w:outlineLvl w:val="0"/>
        <w:rPr>
          <w:i/>
        </w:rPr>
      </w:pPr>
      <w:proofErr w:type="spellStart"/>
      <w:r>
        <w:rPr>
          <w:i/>
        </w:rPr>
        <w:t>GetSharedSecret</w:t>
      </w:r>
      <w:proofErr w:type="spellEnd"/>
    </w:p>
    <w:p w14:paraId="66D84B25" w14:textId="77777777" w:rsidR="00DE6469" w:rsidRDefault="00DE6469">
      <w:pPr>
        <w:rPr>
          <w:i/>
        </w:rPr>
      </w:pPr>
    </w:p>
    <w:p w14:paraId="12C7B870" w14:textId="12FB6D0B" w:rsidR="00DE6469" w:rsidRDefault="00DE6469" w:rsidP="00A65E5A">
      <w:pPr>
        <w:outlineLvl w:val="0"/>
        <w:rPr>
          <w:i/>
        </w:rPr>
      </w:pPr>
      <w:r>
        <w:rPr>
          <w:i/>
        </w:rPr>
        <w:t>Parent</w:t>
      </w:r>
    </w:p>
    <w:p w14:paraId="48404DDA" w14:textId="77777777" w:rsidR="00813F96" w:rsidRDefault="00813F96">
      <w:pPr>
        <w:rPr>
          <w:i/>
        </w:rPr>
      </w:pPr>
    </w:p>
    <w:p w14:paraId="4E78C237" w14:textId="472742F3" w:rsidR="00F33CD6" w:rsidRDefault="009F027E">
      <w:proofErr w:type="spellStart"/>
      <w:r w:rsidRPr="00611254">
        <w:rPr>
          <w:i/>
        </w:rPr>
        <w:t>Extend</w:t>
      </w:r>
      <w:r w:rsidR="00813F96">
        <w:rPr>
          <w:i/>
        </w:rPr>
        <w:t>TaoName</w:t>
      </w:r>
      <w:proofErr w:type="spellEnd"/>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w:t>
      </w:r>
      <w:proofErr w:type="spellStart"/>
      <w:r>
        <w:t>datalog</w:t>
      </w:r>
      <w:proofErr w:type="spellEnd"/>
      <w:r>
        <w:t xml:space="preserve"> guard: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w:t>
      </w:r>
      <w:r w:rsidR="00B614F5">
        <w:t xml:space="preserve">See </w:t>
      </w:r>
      <w:r>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7F220C10" w:rsidR="007606C5" w:rsidRDefault="007606C5" w:rsidP="00F33CD6">
      <w:proofErr w:type="spellStart"/>
      <w:r>
        <w:t>Cloudproxy</w:t>
      </w:r>
      <w:proofErr w:type="spellEnd"/>
      <w:r>
        <w:t xml:space="preserve"> requires that the lowest level system software be measured by a hardware component which must also be able to provide attest services and seal/unseal services (and 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TPM 2.0 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38DC4559" w14:textId="0A8C63E1" w:rsidR="00D16E32" w:rsidRDefault="00D16E32" w:rsidP="00A65E5A">
      <w:pPr>
        <w:outlineLvl w:val="0"/>
      </w:pPr>
      <w:r>
        <w:lastRenderedPageBreak/>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w:t>
      </w:r>
      <w:proofErr w:type="spellStart"/>
      <w:r w:rsidR="007E71DF" w:rsidRPr="001D0C40">
        <w:t>Cloudproxy</w:t>
      </w:r>
      <w:proofErr w:type="spellEnd"/>
      <w:r w:rsidR="007E71DF" w:rsidRPr="001D0C40">
        <w:t xml:space="preserve"> elements.  A full working version of the example is in </w:t>
      </w:r>
      <w:proofErr w:type="spellStart"/>
      <w:r>
        <w:t>cloudproxy</w:t>
      </w:r>
      <w:proofErr w:type="spellEnd"/>
      <w:r>
        <w:t>/</w:t>
      </w:r>
      <w:r w:rsidR="007E71DF" w:rsidRPr="001D0C40">
        <w:t>go/apps/</w:t>
      </w:r>
      <w:proofErr w:type="spellStart"/>
      <w:r w:rsidR="007E71DF" w:rsidRPr="001D0C40">
        <w:t>simpleexample</w:t>
      </w:r>
      <w:proofErr w:type="spellEnd"/>
      <w:r>
        <w:t xml:space="preserve"> for the Go version and </w:t>
      </w:r>
      <w:proofErr w:type="spellStart"/>
      <w:r>
        <w:t>cloudproxy</w:t>
      </w:r>
      <w:proofErr w:type="spellEnd"/>
      <w:r>
        <w:t>/</w:t>
      </w:r>
      <w:proofErr w:type="spellStart"/>
      <w:r>
        <w:t>simpleexample</w:t>
      </w:r>
      <w:proofErr w:type="spellEnd"/>
      <w:r>
        <w:t xml:space="preserv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w:t>
      </w:r>
      <w:proofErr w:type="spellStart"/>
      <w:r w:rsidR="004A6144" w:rsidRPr="001D0C40">
        <w:t>simpleexample</w:t>
      </w:r>
      <w:proofErr w:type="spellEnd"/>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w:t>
      </w:r>
      <w:proofErr w:type="spellStart"/>
      <w:r w:rsidR="003C569D">
        <w:t>protobuf</w:t>
      </w:r>
      <w:proofErr w:type="spellEnd"/>
      <w:r w:rsidR="003C569D">
        <w:t xml:space="preserve">, </w:t>
      </w:r>
      <w:proofErr w:type="spellStart"/>
      <w:r w:rsidR="003C569D">
        <w:t>gtest</w:t>
      </w:r>
      <w:proofErr w:type="spellEnd"/>
      <w:r w:rsidR="003C569D">
        <w:t xml:space="preserve"> and </w:t>
      </w:r>
      <w:proofErr w:type="spellStart"/>
      <w:r w:rsidR="003C569D">
        <w:t>gflags</w:t>
      </w:r>
      <w:proofErr w:type="spellEnd"/>
      <w:r w:rsidR="00205F22">
        <w:t xml:space="preserve"> </w:t>
      </w:r>
      <w:r w:rsidR="00750D69">
        <w:t xml:space="preserve">and others </w:t>
      </w:r>
      <w:r w:rsidR="00205F22">
        <w:t xml:space="preserve">to compile and run </w:t>
      </w:r>
      <w:proofErr w:type="spellStart"/>
      <w:r w:rsidR="00205F22">
        <w:t>SimpleE</w:t>
      </w:r>
      <w:r>
        <w:t>xample</w:t>
      </w:r>
      <w:proofErr w:type="spellEnd"/>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protobuf</w:t>
      </w:r>
      <w:proofErr w:type="spellEnd"/>
      <w:r w:rsidRPr="00A267D3">
        <w:rPr>
          <w:rFonts w:ascii="Courier New" w:hAnsi="Courier New" w:cs="Courier New"/>
          <w:sz w:val="16"/>
          <w:szCs w:val="16"/>
        </w:rPr>
        <w:t>/{</w:t>
      </w:r>
      <w:proofErr w:type="spellStart"/>
      <w:proofErr w:type="gramStart"/>
      <w:r w:rsidRPr="00A267D3">
        <w:rPr>
          <w:rFonts w:ascii="Courier New" w:hAnsi="Courier New" w:cs="Courier New"/>
          <w:sz w:val="16"/>
          <w:szCs w:val="16"/>
        </w:rPr>
        <w:t>proto,protoc</w:t>
      </w:r>
      <w:proofErr w:type="spellEnd"/>
      <w:proofErr w:type="gramEnd"/>
      <w:r w:rsidRPr="00A267D3">
        <w:rPr>
          <w:rFonts w:ascii="Courier New" w:hAnsi="Courier New" w:cs="Courier New"/>
          <w:sz w:val="16"/>
          <w:szCs w:val="16"/>
        </w:rPr>
        <w:t>-gen-go}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glog</w:t>
      </w:r>
      <w:proofErr w:type="spellEnd"/>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/lint/</w:t>
      </w:r>
      <w:proofErr w:type="spellStart"/>
      <w:r w:rsidRPr="00A267D3">
        <w:rPr>
          <w:rFonts w:ascii="Courier New" w:hAnsi="Courier New" w:cs="Courier New"/>
          <w:sz w:val="16"/>
          <w:szCs w:val="16"/>
        </w:rPr>
        <w:t>golint</w:t>
      </w:r>
      <w:proofErr w:type="spellEnd"/>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gcfg</w:t>
      </w:r>
      <w:proofErr w:type="spellEnd"/>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w:t>
      </w:r>
      <w:proofErr w:type="spellStart"/>
      <w:r w:rsidRPr="00A267D3">
        <w:rPr>
          <w:rFonts w:ascii="Courier New" w:hAnsi="Courier New" w:cs="Courier New"/>
          <w:sz w:val="16"/>
          <w:szCs w:val="16"/>
        </w:rPr>
        <w:t>tpm</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tpm</w:t>
      </w:r>
      <w:proofErr w:type="spellEnd"/>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tao</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auth</w:t>
      </w:r>
      <w:proofErr w:type="spellEnd"/>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protorpc</w:t>
      </w:r>
      <w:proofErr w:type="spellEnd"/>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kevinawalsh</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datalog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dlengine</w:t>
      </w:r>
      <w:proofErr w:type="spellEnd"/>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go.text</w:t>
      </w:r>
      <w:proofErr w:type="spellEnd"/>
      <w:r w:rsidRPr="00A267D3">
        <w:rPr>
          <w:rFonts w:ascii="Courier New" w:hAnsi="Courier New" w:cs="Courier New"/>
          <w:sz w:val="16"/>
          <w:szCs w:val="16"/>
        </w:rPr>
        <w: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w:t>
      </w:r>
      <w:proofErr w:type="spellStart"/>
      <w:r w:rsidRPr="00A267D3">
        <w:rPr>
          <w:rFonts w:ascii="Courier New" w:hAnsi="Courier New" w:cs="Courier New"/>
          <w:sz w:val="16"/>
          <w:szCs w:val="16"/>
        </w:rPr>
        <w:t>api</w:t>
      </w:r>
      <w:proofErr w:type="spellEnd"/>
      <w:r w:rsidRPr="00A267D3">
        <w:rPr>
          <w:rFonts w:ascii="Courier New" w:hAnsi="Courier New" w:cs="Courier New"/>
          <w:sz w:val="16"/>
          <w:szCs w:val="16"/>
        </w:rPr>
        <w:t>-go-client/compute/v1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w:t>
      </w:r>
      <w:proofErr w:type="spellStart"/>
      <w:proofErr w:type="gramStart"/>
      <w:r w:rsidR="00D16E32">
        <w:t>simpleclient.go</w:t>
      </w:r>
      <w:proofErr w:type="spellEnd"/>
      <w:proofErr w:type="gramEnd"/>
      <w:r w:rsidR="00D16E32">
        <w:t>)</w:t>
      </w:r>
    </w:p>
    <w:p w14:paraId="1E2A8D1E" w14:textId="24A35B9E" w:rsidR="007E71DF" w:rsidRPr="001D0C40" w:rsidRDefault="007E71DF" w:rsidP="007E71DF">
      <w:pPr>
        <w:pStyle w:val="ListParagraph"/>
        <w:numPr>
          <w:ilvl w:val="0"/>
          <w:numId w:val="2"/>
        </w:numPr>
      </w:pPr>
      <w:r w:rsidRPr="001D0C40">
        <w:t>Simple Server</w:t>
      </w:r>
      <w:r w:rsidR="00D16E32">
        <w:t xml:space="preserve"> (in </w:t>
      </w:r>
      <w:proofErr w:type="spellStart"/>
      <w:proofErr w:type="gramStart"/>
      <w:r w:rsidR="00D16E32">
        <w:t>simpleserver.go</w:t>
      </w:r>
      <w:proofErr w:type="spellEnd"/>
      <w:proofErr w:type="gramEnd"/>
      <w:r w:rsidR="00D16E32">
        <w:t>)</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proofErr w:type="spellStart"/>
      <w:proofErr w:type="gramStart"/>
      <w:r w:rsidR="003C569D">
        <w:t>simpledomainservice.go</w:t>
      </w:r>
      <w:proofErr w:type="spellEnd"/>
      <w:proofErr w:type="gramEnd"/>
      <w:r w:rsidR="003C569D">
        <w:t>)</w:t>
      </w:r>
    </w:p>
    <w:p w14:paraId="4B2E0933" w14:textId="77777777" w:rsidR="007E71DF" w:rsidRPr="001D0C40" w:rsidRDefault="007E71DF" w:rsidP="007E71DF"/>
    <w:p w14:paraId="4023D281" w14:textId="77777777" w:rsidR="007E71DF" w:rsidRPr="001D0C40" w:rsidRDefault="007E71DF" w:rsidP="00A65E5A">
      <w:pPr>
        <w:outlineLvl w:val="0"/>
      </w:pPr>
      <w:r w:rsidRPr="001D0C40">
        <w:t xml:space="preserve">Common code used by the client and server is in </w:t>
      </w:r>
      <w:proofErr w:type="spellStart"/>
      <w:r w:rsidRPr="001D0C40">
        <w:t>simplecommon.go</w:t>
      </w:r>
      <w:proofErr w:type="spellEnd"/>
      <w:r w:rsidRPr="001D0C40">
        <w:t>.</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w:t>
      </w:r>
      <w:proofErr w:type="spellStart"/>
      <w:r w:rsidR="003C569D">
        <w:t>SimpleExample</w:t>
      </w:r>
      <w:proofErr w:type="spellEnd"/>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A65E5A">
      <w:pPr>
        <w:outlineLvl w:val="0"/>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lastRenderedPageBreak/>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proofErr w:type="gram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52FC7D3E"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t>LoadDomain</w:t>
      </w:r>
      <w:proofErr w:type="spellEnd"/>
      <w:r>
        <w:t xml:space="preserve"> will attempt to load verification keys only. For example, </w:t>
      </w:r>
      <w:proofErr w:type="spellStart"/>
      <w:r>
        <w:t>LoadDomain</w:t>
      </w:r>
      <w:proofErr w:type="spellEnd"/>
      <w:r>
        <w:t xml:space="preserve"> is called with a </w:t>
      </w:r>
      <w:proofErr w:type="spellStart"/>
      <w:r>
        <w:t>configPath</w:t>
      </w:r>
      <w:proofErr w:type="spellEnd"/>
      <w:r>
        <w:t xml:space="preserve"> and </w:t>
      </w:r>
      <w:proofErr w:type="gramStart"/>
      <w:r>
        <w:t>an</w:t>
      </w:r>
      <w:proofErr w:type="gramEnd"/>
      <w:r>
        <w:t xml:space="preserve"> nil password to load the policy verification key.</w:t>
      </w:r>
    </w:p>
    <w:p w14:paraId="224AF6EB" w14:textId="77777777" w:rsidR="002D7206" w:rsidRDefault="002D7206" w:rsidP="002D7206"/>
    <w:p w14:paraId="30EF6266" w14:textId="625A6930" w:rsidR="002D7206" w:rsidRDefault="002D7206" w:rsidP="002D7206">
      <w:r>
        <w:t xml:space="preserve">A configuration object, type </w:t>
      </w:r>
      <w:proofErr w:type="spellStart"/>
      <w:r>
        <w:t>DomainConfig</w:t>
      </w:r>
      <w:proofErr w:type="spellEnd"/>
      <w:r>
        <w:t>, holds configuration info</w:t>
      </w:r>
      <w:r w:rsidR="0089681E">
        <w:t>rmation for the domain between T</w:t>
      </w:r>
      <w:r>
        <w:t>ao activations.</w:t>
      </w:r>
    </w:p>
    <w:p w14:paraId="0F5FE6A6" w14:textId="56B5B687" w:rsidR="00AF4EB1" w:rsidRDefault="00492274" w:rsidP="00492274">
      <w:r>
        <w:t>The network interface for the Tao channel</w:t>
      </w:r>
      <w:r w:rsidR="00CF71CB">
        <w:t xml:space="preserve"> consists of</w:t>
      </w:r>
      <w:r>
        <w:t>:</w:t>
      </w:r>
    </w:p>
    <w:p w14:paraId="20415D83" w14:textId="77777777"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guard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06AD3DEA" w14:textId="77777777" w:rsidR="00492274" w:rsidRPr="006430A9" w:rsidRDefault="00492274" w:rsidP="00492274">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gramStart"/>
      <w:r w:rsidRPr="006430A9">
        <w:rPr>
          <w:rFonts w:ascii="Courier New" w:eastAsia="Courier New" w:hAnsi="Courier New" w:cs="Courier New"/>
          <w:sz w:val="16"/>
          <w:szCs w:val="16"/>
        </w:rPr>
        <w:t>Listen(</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3FF517D7" w14:textId="77777777" w:rsidR="00EB6453" w:rsidRDefault="00EB6453"/>
    <w:p w14:paraId="36254DF2" w14:textId="77777777" w:rsidR="00355B2C" w:rsidRDefault="00355B2C"/>
    <w:p w14:paraId="45B9C410" w14:textId="71181834" w:rsidR="00355B2C" w:rsidRDefault="00760C01" w:rsidP="00A65E5A">
      <w:pPr>
        <w:outlineLvl w:val="0"/>
      </w:pPr>
      <w:r>
        <w:rPr>
          <w:b/>
          <w:sz w:val="24"/>
          <w:szCs w:val="24"/>
        </w:rPr>
        <w:t>The API -- C++</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A65E5A">
      <w:pPr>
        <w:outlineLvl w:val="0"/>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A65E5A">
      <w:pPr>
        <w:outlineLvl w:val="0"/>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A65E5A">
      <w:pPr>
        <w:outlineLvl w:val="0"/>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A65E5A">
      <w:pPr>
        <w:outlineLvl w:val="0"/>
        <w:rPr>
          <w:b/>
          <w:sz w:val="24"/>
          <w:szCs w:val="24"/>
        </w:rPr>
      </w:pPr>
      <w:r>
        <w:rPr>
          <w:b/>
          <w:sz w:val="24"/>
          <w:szCs w:val="24"/>
        </w:rPr>
        <w:t>Run</w:t>
      </w:r>
      <w:r w:rsidR="00520046">
        <w:rPr>
          <w:b/>
          <w:sz w:val="24"/>
          <w:szCs w:val="24"/>
        </w:rPr>
        <w:t>n</w:t>
      </w:r>
      <w:r>
        <w:rPr>
          <w:b/>
          <w:sz w:val="24"/>
          <w:szCs w:val="24"/>
        </w:rPr>
        <w:t xml:space="preserve">ing </w:t>
      </w:r>
      <w:proofErr w:type="spellStart"/>
      <w:r>
        <w:rPr>
          <w:b/>
          <w:sz w:val="24"/>
          <w:szCs w:val="24"/>
        </w:rPr>
        <w:t>SimpleExample</w:t>
      </w:r>
      <w:proofErr w:type="spellEnd"/>
    </w:p>
    <w:p w14:paraId="79C9DAB7" w14:textId="77777777" w:rsidR="00451F53" w:rsidRDefault="00451F53" w:rsidP="00451F53">
      <w:pPr>
        <w:rPr>
          <w:b/>
          <w:sz w:val="24"/>
          <w:szCs w:val="24"/>
        </w:rPr>
      </w:pPr>
    </w:p>
    <w:p w14:paraId="3F0F132D" w14:textId="77777777" w:rsidR="00C0417D" w:rsidRDefault="00520046" w:rsidP="00451F53">
      <w:r>
        <w:t xml:space="preserve">When the </w:t>
      </w:r>
      <w:proofErr w:type="spellStart"/>
      <w:r>
        <w:t>tao</w:t>
      </w:r>
      <w:proofErr w:type="spellEnd"/>
      <w:r>
        <w:t xml:space="preserve"> starts on a Host System, it </w:t>
      </w:r>
      <w:r w:rsidR="001A2510">
        <w:t>requires</w:t>
      </w:r>
      <w:r>
        <w:t xml:space="preserve"> </w:t>
      </w:r>
      <w:r w:rsidR="00C0417D">
        <w:t>three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06DADEDF" w:rsidR="00C0417D" w:rsidRDefault="00C0417D" w:rsidP="00C0417D">
      <w:pPr>
        <w:pStyle w:val="ListParagraph"/>
        <w:numPr>
          <w:ilvl w:val="0"/>
          <w:numId w:val="9"/>
        </w:numPr>
      </w:pPr>
      <w:r>
        <w:t>H</w:t>
      </w:r>
      <w:r w:rsidR="00D343E3">
        <w:t>ost d</w:t>
      </w:r>
      <w:r>
        <w:t>ata</w:t>
      </w:r>
      <w:r w:rsidR="00D343E3">
        <w:t>,</w:t>
      </w:r>
    </w:p>
    <w:p w14:paraId="53CAE1CA" w14:textId="10EFBD42" w:rsidR="00C0417D" w:rsidRDefault="00C0417D" w:rsidP="00C0417D">
      <w:pPr>
        <w:pStyle w:val="ListParagraph"/>
        <w:numPr>
          <w:ilvl w:val="0"/>
          <w:numId w:val="9"/>
        </w:numPr>
      </w:pPr>
      <w:r>
        <w:lastRenderedPageBreak/>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for example the policy key and certificate.</w:t>
      </w:r>
    </w:p>
    <w:p w14:paraId="51BB88A3" w14:textId="77777777" w:rsidR="00C0417D" w:rsidRDefault="00C0417D" w:rsidP="00C0417D"/>
    <w:p w14:paraId="697C0978" w14:textId="21B58B14" w:rsidR="00C0417D" w:rsidRDefault="00C0417D" w:rsidP="00C0417D">
      <w:r>
        <w:t xml:space="preserve">In addition, we need an implementation for the “Host System.”  In our case, the Host System is Linux and the implementation (whether using a soft </w:t>
      </w:r>
      <w:proofErr w:type="spellStart"/>
      <w:r>
        <w:t>tao</w:t>
      </w:r>
      <w:proofErr w:type="spellEnd"/>
      <w:r>
        <w:t xml:space="preserve"> or a TPM) is </w:t>
      </w:r>
      <w:proofErr w:type="spellStart"/>
      <w:r>
        <w:t>linux_host</w:t>
      </w:r>
      <w:proofErr w:type="spellEnd"/>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4018F1F9" w:rsidR="00C0417D" w:rsidRDefault="00C0417D" w:rsidP="00A65E5A">
      <w:pPr>
        <w:outlineLvl w:val="0"/>
      </w:pPr>
      <w:r>
        <w:t>The Host Data consists of…</w:t>
      </w:r>
    </w:p>
    <w:p w14:paraId="1807A8B0" w14:textId="77777777" w:rsidR="00C0417D" w:rsidRDefault="00C0417D" w:rsidP="00C0417D"/>
    <w:p w14:paraId="78DF297F" w14:textId="4C7CF9EE" w:rsidR="00C0417D" w:rsidRDefault="00C0417D" w:rsidP="00C0417D">
      <w:r>
        <w:t xml:space="preserve">The Domain data (in our case for the </w:t>
      </w:r>
      <w:proofErr w:type="spellStart"/>
      <w:r>
        <w:t>simpleexample</w:t>
      </w:r>
      <w:proofErr w:type="spellEnd"/>
      <w:r>
        <w:t xml:space="preserve"> domain) including the policy key and corresponding private key, hostname, and information related to the guards used</w:t>
      </w:r>
      <w:r>
        <w:rPr>
          <w:rStyle w:val="FootnoteReference"/>
        </w:rPr>
        <w:footnoteReference w:id="5"/>
      </w:r>
      <w:r>
        <w:t xml:space="preserve"> as well as signatures over the binaries that are part of the domain</w:t>
      </w:r>
      <w:r w:rsidR="00C511D1">
        <w:t xml:space="preserve">. In our case, these are the </w:t>
      </w:r>
      <w:proofErr w:type="spellStart"/>
      <w:r w:rsidR="00C511D1">
        <w:t>simpleclient</w:t>
      </w:r>
      <w:proofErr w:type="spellEnd"/>
      <w:r w:rsidR="00C511D1">
        <w:t xml:space="preserve"> and </w:t>
      </w:r>
      <w:proofErr w:type="spellStart"/>
      <w:r w:rsidR="00C511D1">
        <w:t>simpleserver</w:t>
      </w:r>
      <w:proofErr w:type="spellEnd"/>
      <w:r w:rsidR="00C511D1">
        <w:t xml:space="preserve"> binaries.</w:t>
      </w:r>
    </w:p>
    <w:p w14:paraId="583C4060" w14:textId="77777777" w:rsidR="00C0417D" w:rsidRDefault="00C0417D" w:rsidP="00C0417D"/>
    <w:p w14:paraId="1A7E93F2" w14:textId="40169649" w:rsidR="00C0417D" w:rsidRDefault="00C0417D" w:rsidP="00C0417D">
      <w:r>
        <w:t xml:space="preserve">In </w:t>
      </w:r>
      <w:proofErr w:type="spellStart"/>
      <w:r>
        <w:t>simpleexample</w:t>
      </w:r>
      <w:proofErr w:type="spellEnd"/>
      <w:r>
        <w:t xml:space="preserve">, </w:t>
      </w:r>
      <w:r w:rsidR="00C511D1">
        <w:t xml:space="preserve">all this information is in </w:t>
      </w:r>
      <w:proofErr w:type="spellStart"/>
      <w:r>
        <w:t>SimpleDomain</w:t>
      </w:r>
      <w:proofErr w:type="spellEnd"/>
      <w:r>
        <w:t>/</w:t>
      </w:r>
      <w:proofErr w:type="spellStart"/>
      <w:r>
        <w:t>domain.simpleexample</w:t>
      </w:r>
      <w:proofErr w:type="spellEnd"/>
      <w:r>
        <w:t>. Other sub-directories</w:t>
      </w:r>
      <w:r w:rsidR="00C511D1">
        <w:t xml:space="preserve"> of </w:t>
      </w:r>
      <w:proofErr w:type="spellStart"/>
      <w:r w:rsidR="00C511D1">
        <w:t>Si</w:t>
      </w:r>
      <w:r>
        <w:t>mpleDomain</w:t>
      </w:r>
      <w:proofErr w:type="spellEnd"/>
      <w:r w:rsidR="00C511D1">
        <w:t>/</w:t>
      </w:r>
      <w:proofErr w:type="spellStart"/>
      <w:r w:rsidR="00C511D1">
        <w:t>domain.simpleexample</w:t>
      </w:r>
      <w:proofErr w:type="spellEnd"/>
      <w:r>
        <w:t xml:space="preserve">, namely, </w:t>
      </w:r>
      <w:proofErr w:type="spellStart"/>
      <w:r>
        <w:t>SimpleClient</w:t>
      </w:r>
      <w:proofErr w:type="spellEnd"/>
      <w:r>
        <w:t xml:space="preserve">, </w:t>
      </w:r>
      <w:proofErr w:type="spellStart"/>
      <w:r>
        <w:t>SimpleServer</w:t>
      </w:r>
      <w:proofErr w:type="spellEnd"/>
      <w:r>
        <w:t xml:space="preserve"> and </w:t>
      </w:r>
      <w:proofErr w:type="spellStart"/>
      <w:r>
        <w:t>SimpleDomainService</w:t>
      </w:r>
      <w:proofErr w:type="spellEnd"/>
      <w:r>
        <w:t xml:space="preserve"> store files containing data</w:t>
      </w:r>
      <w:r w:rsidR="00C511D1">
        <w:t xml:space="preserve"> (like sealed keys and Program Certificates)</w:t>
      </w:r>
      <w:r>
        <w:t>, for these programs.</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780253E7" w14:textId="0ACBB140" w:rsidR="007D6753" w:rsidRDefault="007D6753"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TAO_HOST_DIR</w:t>
      </w:r>
      <w:r>
        <w:rPr>
          <w:rFonts w:ascii="Courier New" w:hAnsi="Courier New" w:cs="Courier New"/>
          <w:sz w:val="16"/>
          <w:szCs w:val="16"/>
        </w:rPr>
        <w:t>=</w:t>
      </w:r>
      <w:r w:rsidR="00EC093E" w:rsidRPr="00EC093E">
        <w:rPr>
          <w:rFonts w:ascii="Courier New" w:hAnsi="Courier New" w:cs="Courier New"/>
          <w:sz w:val="16"/>
          <w:szCs w:val="16"/>
        </w:rPr>
        <w:t>~/</w:t>
      </w:r>
      <w:r w:rsidRPr="007D6753">
        <w:rPr>
          <w:rFonts w:ascii="Courier New" w:hAnsi="Courier New" w:cs="Courier New"/>
          <w:sz w:val="16"/>
          <w:szCs w:val="16"/>
        </w:rPr>
        <w:t>src/github.com/jlmucb/cloudproxy/go/apps/simpleexample/SimpleDomain</w:t>
      </w:r>
      <w:r w:rsidRPr="004057D7">
        <w:rPr>
          <w:rFonts w:ascii="Courier New" w:hAnsi="Courier New" w:cs="Courier New"/>
          <w:sz w:val="16"/>
          <w:szCs w:val="16"/>
        </w:rPr>
        <w:t xml:space="preserve"> </w:t>
      </w:r>
    </w:p>
    <w:p w14:paraId="19ABCF07" w14:textId="0C59BF5B" w:rsidR="00C511D1" w:rsidRPr="004057D7" w:rsidRDefault="00C511D1" w:rsidP="00C51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TEMPLATE=$TAO_HOST_DIR/</w:t>
      </w:r>
      <w:proofErr w:type="spellStart"/>
      <w:r w:rsidRPr="004057D7">
        <w:rPr>
          <w:rFonts w:ascii="Courier New" w:hAnsi="Courier New" w:cs="Courier New"/>
          <w:sz w:val="16"/>
          <w:szCs w:val="16"/>
        </w:rPr>
        <w:t>domain_template.simpleexample</w:t>
      </w:r>
      <w:proofErr w:type="spellEnd"/>
    </w:p>
    <w:p w14:paraId="7CD00ADD" w14:textId="3833B39E" w:rsidR="003A0EB2" w:rsidRDefault="00C511D1"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DOMAIN=$TAO_HOST_DIR/</w:t>
      </w:r>
      <w:proofErr w:type="spellStart"/>
      <w:r w:rsidRPr="004057D7">
        <w:rPr>
          <w:rFonts w:ascii="Courier New" w:hAnsi="Courier New" w:cs="Courier New"/>
          <w:sz w:val="16"/>
          <w:szCs w:val="16"/>
        </w:rPr>
        <w:t>domain.simpleexample</w:t>
      </w:r>
      <w:proofErr w:type="spellEnd"/>
    </w:p>
    <w:p w14:paraId="709E9FDC" w14:textId="1DB5732C" w:rsidR="00C511D1" w:rsidRDefault="00C511D1" w:rsidP="007D67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r w:rsidR="006103EC">
        <w:rPr>
          <w:rFonts w:ascii="Courier New" w:hAnsi="Courier New" w:cs="Courier New"/>
          <w:sz w:val="16"/>
          <w:szCs w:val="16"/>
        </w:rPr>
        <w:t>~/bin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F613D4">
        <w:t>SimpleDomain</w:t>
      </w:r>
      <w:proofErr w:type="spellEnd"/>
      <w:r w:rsidR="006F2FF8" w:rsidRPr="00F613D4">
        <w:t>/</w:t>
      </w:r>
      <w:proofErr w:type="spellStart"/>
      <w:r w:rsidR="006F2FF8" w:rsidRPr="00F613D4">
        <w:t>domain_template.simpleexample</w:t>
      </w:r>
      <w:proofErr w:type="spellEnd"/>
      <w:r w:rsidR="006F2FF8">
        <w:t xml:space="preserve">.  However, you can generate such a template by running </w:t>
      </w:r>
      <w:proofErr w:type="spellStart"/>
      <w:r w:rsidR="006F2FF8">
        <w:t>gentemplate</w:t>
      </w:r>
      <w:proofErr w:type="spellEnd"/>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w:t>
      </w:r>
      <w:proofErr w:type="gramStart"/>
      <w:r>
        <w:rPr>
          <w:rFonts w:ascii="Courier New" w:hAnsi="Courier New" w:cs="Courier New"/>
          <w:sz w:val="16"/>
          <w:szCs w:val="16"/>
        </w:rPr>
        <w:t>template.pb</w:t>
      </w:r>
      <w:proofErr w:type="gramEnd"/>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proofErr w:type="spellStart"/>
      <w:r w:rsidRPr="00277DE4">
        <w:rPr>
          <w:rFonts w:ascii="Courier New" w:hAnsi="Courier New" w:cs="Courier New"/>
          <w:sz w:val="16"/>
          <w:szCs w:val="16"/>
        </w:rPr>
        <w:t>sed</w:t>
      </w:r>
      <w:proofErr w:type="spellEnd"/>
      <w:r w:rsidRPr="00277DE4">
        <w:rPr>
          <w:rFonts w:ascii="Courier New" w:hAnsi="Courier New" w:cs="Courier New"/>
          <w:sz w:val="16"/>
          <w:szCs w:val="16"/>
        </w:rPr>
        <w:t xml:space="preserve"> "s/REPLACE_WIT</w:t>
      </w:r>
      <w:r>
        <w:rPr>
          <w:rFonts w:ascii="Courier New" w:hAnsi="Courier New" w:cs="Courier New"/>
          <w:sz w:val="16"/>
          <w:szCs w:val="16"/>
        </w:rPr>
        <w:t>H_DOMAIN_GUARD_TYPE/</w:t>
      </w:r>
      <w:proofErr w:type="spellStart"/>
      <w:r>
        <w:rPr>
          <w:rFonts w:ascii="Courier New" w:hAnsi="Courier New" w:cs="Courier New"/>
          <w:sz w:val="16"/>
          <w:szCs w:val="16"/>
        </w:rPr>
        <w:t>Datalog</w:t>
      </w:r>
      <w:proofErr w:type="spellEnd"/>
      <w:r>
        <w:rPr>
          <w:rFonts w:ascii="Courier New" w:hAnsi="Courier New" w:cs="Courier New"/>
          <w:sz w:val="16"/>
          <w:szCs w:val="16"/>
        </w:rPr>
        <w:t>/g"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 xml:space="preserve">This template contains information included in the policy cert, the basic </w:t>
      </w:r>
      <w:proofErr w:type="spellStart"/>
      <w:r>
        <w:rPr>
          <w:sz w:val="16"/>
          <w:szCs w:val="16"/>
        </w:rPr>
        <w:t>datalog</w:t>
      </w:r>
      <w:proofErr w:type="spellEnd"/>
      <w:r>
        <w:rPr>
          <w:sz w:val="16"/>
          <w:szCs w:val="16"/>
        </w:rPr>
        <w:t xml:space="preserve"> rules used by the domain when authenticating images and the location of the images which must me measured and included in the policy database in </w:t>
      </w:r>
      <w:proofErr w:type="spellStart"/>
      <w:r>
        <w:rPr>
          <w:sz w:val="16"/>
          <w:szCs w:val="16"/>
        </w:rPr>
        <w:t>SimpleDomainService</w:t>
      </w:r>
      <w:proofErr w:type="spellEnd"/>
      <w:r>
        <w:rPr>
          <w:sz w:val="16"/>
          <w:szCs w:val="16"/>
        </w:rPr>
        <w:t>.</w:t>
      </w:r>
    </w:p>
    <w:p w14:paraId="0A104C4F" w14:textId="77777777" w:rsidR="00C511D1" w:rsidRDefault="00C511D1" w:rsidP="00451F53"/>
    <w:p w14:paraId="70B77436" w14:textId="7CC5DFF6"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217899A2" w14:textId="77777777" w:rsidR="006F2FF8" w:rsidRDefault="00C511D1"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r w:rsidR="006F2FF8" w:rsidRPr="006F2FF8">
        <w:t xml:space="preserve"> </w:t>
      </w:r>
      <w:proofErr w:type="spellStart"/>
      <w:r w:rsidR="006F2FF8" w:rsidRPr="006F2FF8">
        <w:rPr>
          <w:rFonts w:ascii="Courier New" w:hAnsi="Courier New" w:cs="Courier New"/>
          <w:sz w:val="16"/>
          <w:szCs w:val="16"/>
        </w:rPr>
        <w:t>tao</w:t>
      </w:r>
      <w:proofErr w:type="spellEnd"/>
      <w:r w:rsidR="006F2FF8" w:rsidRPr="006F2FF8">
        <w:rPr>
          <w:rFonts w:ascii="Courier New" w:hAnsi="Courier New" w:cs="Courier New"/>
          <w:sz w:val="16"/>
          <w:szCs w:val="16"/>
        </w:rPr>
        <w:t xml:space="preserve"> domain </w:t>
      </w:r>
      <w:proofErr w:type="spellStart"/>
      <w:r w:rsidR="006F2FF8" w:rsidRPr="006F2FF8">
        <w:rPr>
          <w:rFonts w:ascii="Courier New" w:hAnsi="Courier New" w:cs="Courier New"/>
          <w:sz w:val="16"/>
          <w:szCs w:val="16"/>
        </w:rPr>
        <w:t>newsoft</w:t>
      </w:r>
      <w:proofErr w:type="spellEnd"/>
      <w:r w:rsidR="006F2FF8" w:rsidRPr="006F2FF8">
        <w:rPr>
          <w:rFonts w:ascii="Courier New" w:hAnsi="Courier New" w:cs="Courier New"/>
          <w:sz w:val="16"/>
          <w:szCs w:val="16"/>
        </w:rPr>
        <w:t xml:space="preserve"> -</w:t>
      </w:r>
      <w:proofErr w:type="spellStart"/>
      <w:r w:rsidR="006F2FF8">
        <w:rPr>
          <w:rFonts w:ascii="Courier New" w:hAnsi="Courier New" w:cs="Courier New"/>
          <w:sz w:val="16"/>
          <w:szCs w:val="16"/>
        </w:rPr>
        <w:t>soft_pass</w:t>
      </w:r>
      <w:proofErr w:type="spellEnd"/>
      <w:r w:rsidR="006F2FF8">
        <w:rPr>
          <w:rFonts w:ascii="Courier New" w:hAnsi="Courier New" w:cs="Courier New"/>
          <w:sz w:val="16"/>
          <w:szCs w:val="16"/>
        </w:rPr>
        <w:t xml:space="preserve"> xxx -</w:t>
      </w:r>
      <w:proofErr w:type="spellStart"/>
      <w:r w:rsidR="006F2FF8">
        <w:rPr>
          <w:rFonts w:ascii="Courier New" w:hAnsi="Courier New" w:cs="Courier New"/>
          <w:sz w:val="16"/>
          <w:szCs w:val="16"/>
        </w:rPr>
        <w:t>config_template</w:t>
      </w:r>
      <w:proofErr w:type="spellEnd"/>
      <w:r w:rsidR="006F2FF8">
        <w:rPr>
          <w:rFonts w:ascii="Courier New" w:hAnsi="Courier New" w:cs="Courier New"/>
          <w:sz w:val="16"/>
          <w:szCs w:val="16"/>
        </w:rPr>
        <w:t xml:space="preserve"> $TEMPLATE  </w:t>
      </w:r>
    </w:p>
    <w:p w14:paraId="0A21FD38" w14:textId="6E8B2131" w:rsidR="006F2FF8" w:rsidRPr="006F2FF8" w:rsidRDefault="006F2FF8"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$DOMAIN</w:t>
      </w:r>
      <w:r w:rsidRPr="006F2FF8">
        <w:rPr>
          <w:rFonts w:ascii="Courier New" w:hAnsi="Courier New" w:cs="Courier New"/>
          <w:sz w:val="16"/>
          <w:szCs w:val="16"/>
        </w:rPr>
        <w:t>/</w:t>
      </w:r>
      <w:proofErr w:type="spellStart"/>
      <w:r w:rsidRPr="006F2FF8">
        <w:rPr>
          <w:rFonts w:ascii="Courier New" w:hAnsi="Courier New" w:cs="Courier New"/>
          <w:sz w:val="16"/>
          <w:szCs w:val="16"/>
        </w:rPr>
        <w:t>linux_tao_host</w:t>
      </w:r>
      <w:proofErr w:type="spellEnd"/>
      <w:r w:rsidRPr="006F2FF8">
        <w:rPr>
          <w:rFonts w:ascii="Courier New" w:hAnsi="Courier New" w:cs="Courier New"/>
          <w:sz w:val="16"/>
          <w:szCs w:val="16"/>
        </w:rPr>
        <w:t>"</w:t>
      </w:r>
      <w:r>
        <w:rPr>
          <w:rFonts w:ascii="Courier New" w:hAnsi="Courier New" w:cs="Courier New"/>
          <w:sz w:val="16"/>
          <w:szCs w:val="16"/>
        </w:rPr>
        <w:t xml:space="preserve"> &gt;&gt; $TEMPLATE</w:t>
      </w:r>
    </w:p>
    <w:p w14:paraId="093E4C90" w14:textId="77777777" w:rsidR="006F2FF8" w:rsidRDefault="006F2FF8"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5523583" w14:textId="5D8D1A7E" w:rsidR="00094435" w:rsidRPr="00C849F4" w:rsidRDefault="000E1361"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sz w:val="16"/>
          <w:szCs w:val="16"/>
        </w:rPr>
      </w:pPr>
      <w:r w:rsidRPr="00C849F4">
        <w:rPr>
          <w:sz w:val="16"/>
          <w:szCs w:val="16"/>
        </w:rPr>
        <w:t>“</w:t>
      </w:r>
      <w:proofErr w:type="spellStart"/>
      <w:r w:rsidRPr="00C849F4">
        <w:rPr>
          <w:rFonts w:ascii="Courier New" w:hAnsi="Courier New" w:cs="Courier New"/>
          <w:sz w:val="16"/>
          <w:szCs w:val="16"/>
        </w:rPr>
        <w:t>newsoft</w:t>
      </w:r>
      <w:proofErr w:type="spellEnd"/>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p>
    <w:p w14:paraId="0C67D50B" w14:textId="77777777" w:rsidR="00C511D1" w:rsidRDefault="00C511D1" w:rsidP="00451F53"/>
    <w:p w14:paraId="41C317B0" w14:textId="74709F0A" w:rsidR="00C511D1" w:rsidRDefault="00C511D1" w:rsidP="00451F53">
      <w:r>
        <w:t xml:space="preserve">To initialize the domain, call </w:t>
      </w:r>
      <w:proofErr w:type="spellStart"/>
      <w:r>
        <w:t>initidomain</w:t>
      </w:r>
      <w:proofErr w:type="spellEnd"/>
      <w:r>
        <w:t xml:space="preserve"> which does the following:</w:t>
      </w:r>
    </w:p>
    <w:p w14:paraId="616735F6" w14:textId="525531F4" w:rsidR="00872165" w:rsidRDefault="00872165" w:rsidP="00667257">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00277DE4" w:rsidRPr="00277DE4">
        <w:rPr>
          <w:rFonts w:ascii="Courier New" w:hAnsi="Courier New" w:cs="Courier New"/>
          <w:sz w:val="16"/>
          <w:szCs w:val="16"/>
        </w:rPr>
        <w:t>tao</w:t>
      </w:r>
      <w:proofErr w:type="spellEnd"/>
      <w:r w:rsidR="00277DE4" w:rsidRPr="00277DE4">
        <w:rPr>
          <w:rFonts w:ascii="Courier New" w:hAnsi="Courier New" w:cs="Courier New"/>
          <w:sz w:val="16"/>
          <w:szCs w:val="16"/>
        </w:rPr>
        <w:t xml:space="preserve"> domain </w:t>
      </w:r>
      <w:proofErr w:type="spellStart"/>
      <w:r w:rsidR="00277DE4" w:rsidRPr="00277DE4">
        <w:rPr>
          <w:rFonts w:ascii="Courier New" w:hAnsi="Courier New" w:cs="Courier New"/>
          <w:sz w:val="16"/>
          <w:szCs w:val="16"/>
        </w:rPr>
        <w:t>init</w:t>
      </w:r>
      <w:proofErr w:type="spellEnd"/>
      <w:r w:rsidR="00277DE4" w:rsidRPr="00277DE4">
        <w:rPr>
          <w:rFonts w:ascii="Courier New" w:hAnsi="Courier New" w:cs="Courier New"/>
          <w:sz w:val="16"/>
          <w:szCs w:val="16"/>
        </w:rPr>
        <w:t xml:space="preserve"> -</w:t>
      </w:r>
      <w:proofErr w:type="spellStart"/>
      <w:r w:rsidR="00277DE4" w:rsidRPr="00277DE4">
        <w:rPr>
          <w:rFonts w:ascii="Courier New" w:hAnsi="Courier New" w:cs="Courier New"/>
          <w:sz w:val="16"/>
          <w:szCs w:val="16"/>
        </w:rPr>
        <w:t>tao_domain</w:t>
      </w:r>
      <w:proofErr w:type="spellEnd"/>
      <w:r w:rsidR="00277DE4" w:rsidRPr="00277DE4">
        <w:rPr>
          <w:rFonts w:ascii="Courier New" w:hAnsi="Courier New" w:cs="Courier New"/>
          <w:sz w:val="16"/>
          <w:szCs w:val="16"/>
        </w:rPr>
        <w:t xml:space="preserve"> $DOMAIN</w:t>
      </w:r>
      <w:r>
        <w:rPr>
          <w:rFonts w:ascii="Courier New" w:hAnsi="Courier New" w:cs="Courier New"/>
          <w:sz w:val="16"/>
          <w:szCs w:val="16"/>
        </w:rPr>
        <w:t xml:space="preserve"> </w:t>
      </w:r>
      <w:r w:rsidR="00277DE4" w:rsidRPr="00277DE4">
        <w:rPr>
          <w:rFonts w:ascii="Courier New" w:hAnsi="Courier New" w:cs="Courier New"/>
          <w:sz w:val="16"/>
          <w:szCs w:val="16"/>
        </w:rPr>
        <w:t>-</w:t>
      </w:r>
      <w:proofErr w:type="spellStart"/>
      <w:r w:rsidR="00277DE4" w:rsidRPr="00277DE4">
        <w:rPr>
          <w:rFonts w:ascii="Courier New" w:hAnsi="Courier New" w:cs="Courier New"/>
          <w:sz w:val="16"/>
          <w:szCs w:val="16"/>
        </w:rPr>
        <w:t>config_template</w:t>
      </w:r>
      <w:proofErr w:type="spellEnd"/>
      <w:r w:rsidR="00277DE4" w:rsidRPr="00277DE4">
        <w:rPr>
          <w:rFonts w:ascii="Courier New" w:hAnsi="Courier New" w:cs="Courier New"/>
          <w:sz w:val="16"/>
          <w:szCs w:val="16"/>
        </w:rPr>
        <w:t xml:space="preserve"> $TEMPLATE </w:t>
      </w:r>
      <w:r>
        <w:rPr>
          <w:rFonts w:ascii="Courier New" w:hAnsi="Courier New" w:cs="Courier New"/>
          <w:sz w:val="16"/>
          <w:szCs w:val="16"/>
        </w:rPr>
        <w:t>-</w:t>
      </w:r>
      <w:proofErr w:type="spellStart"/>
      <w:r>
        <w:rPr>
          <w:rFonts w:ascii="Courier New" w:hAnsi="Courier New" w:cs="Courier New"/>
          <w:sz w:val="16"/>
          <w:szCs w:val="16"/>
        </w:rPr>
        <w:t>pub_domain_address</w:t>
      </w:r>
      <w:proofErr w:type="spellEnd"/>
      <w:r>
        <w:rPr>
          <w:rFonts w:ascii="Courier New" w:hAnsi="Courier New" w:cs="Courier New"/>
          <w:sz w:val="16"/>
          <w:szCs w:val="16"/>
        </w:rPr>
        <w:t xml:space="preserve"> "1.2.3.4" </w:t>
      </w:r>
      <w:r w:rsidR="00277DE4" w:rsidRPr="00277DE4">
        <w:rPr>
          <w:rFonts w:ascii="Courier New" w:hAnsi="Courier New" w:cs="Courier New"/>
          <w:sz w:val="16"/>
          <w:szCs w:val="16"/>
        </w:rPr>
        <w:t xml:space="preserve">-pass </w:t>
      </w:r>
      <w:r w:rsidR="00200238">
        <w:rPr>
          <w:rFonts w:ascii="Courier New" w:hAnsi="Courier New" w:cs="Courier New"/>
          <w:sz w:val="16"/>
          <w:szCs w:val="16"/>
        </w:rPr>
        <w:t>xxx</w:t>
      </w:r>
    </w:p>
    <w:p w14:paraId="6B323100" w14:textId="77777777" w:rsidR="007059A9" w:rsidRDefault="007059A9" w:rsidP="007059A9">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Pr>
          <w:rFonts w:ascii="Courier New" w:hAnsi="Courier New" w:cs="Courier New"/>
          <w:sz w:val="16"/>
          <w:szCs w:val="16"/>
        </w:rPr>
        <w:t>domain poli</w:t>
      </w:r>
      <w:r w:rsidRPr="000E5856">
        <w:rPr>
          <w:rFonts w:ascii="Courier New" w:hAnsi="Courier New" w:cs="Courier New"/>
          <w:sz w:val="16"/>
          <w:szCs w:val="16"/>
        </w:rPr>
        <w:t>cy -</w:t>
      </w:r>
      <w:proofErr w:type="spellStart"/>
      <w:r w:rsidRPr="000E5856">
        <w:rPr>
          <w:rFonts w:ascii="Courier New" w:hAnsi="Courier New" w:cs="Courier New"/>
          <w:sz w:val="16"/>
          <w:szCs w:val="16"/>
        </w:rPr>
        <w:t>add_host</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add_programs</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add_linux_host</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add_guard</w:t>
      </w:r>
      <w:proofErr w:type="spellEnd"/>
      <w:r w:rsidRPr="000E5856">
        <w:rPr>
          <w:rFonts w:ascii="Courier New" w:hAnsi="Courier New" w:cs="Courier New"/>
          <w:sz w:val="16"/>
          <w:szCs w:val="16"/>
        </w:rPr>
        <w:t xml:space="preserve"> -</w:t>
      </w:r>
      <w:proofErr w:type="spellStart"/>
      <w:r w:rsidRPr="000E5856">
        <w:rPr>
          <w:rFonts w:ascii="Courier New" w:hAnsi="Courier New" w:cs="Courier New"/>
          <w:sz w:val="16"/>
          <w:szCs w:val="16"/>
        </w:rPr>
        <w:t>tao_domain</w:t>
      </w:r>
      <w:proofErr w:type="spellEnd"/>
      <w:r w:rsidRPr="000E5856">
        <w:rPr>
          <w:rFonts w:ascii="Courier New" w:hAnsi="Courier New" w:cs="Courier New"/>
          <w:sz w:val="16"/>
          <w:szCs w:val="16"/>
        </w:rPr>
        <w:t xml:space="preserve"> </w:t>
      </w:r>
      <w:r>
        <w:rPr>
          <w:rFonts w:ascii="Courier New" w:hAnsi="Courier New" w:cs="Courier New"/>
          <w:sz w:val="16"/>
          <w:szCs w:val="16"/>
        </w:rPr>
        <w:t>\</w:t>
      </w:r>
    </w:p>
    <w:p w14:paraId="272FADFB" w14:textId="7F8EBD64" w:rsidR="007059A9" w:rsidRDefault="007059A9" w:rsidP="007059A9">
      <w:pPr>
        <w:ind w:left="560"/>
        <w:rPr>
          <w:rFonts w:ascii="Courier New" w:hAnsi="Courier New" w:cs="Courier New"/>
          <w:sz w:val="16"/>
          <w:szCs w:val="16"/>
        </w:rPr>
      </w:pPr>
      <w:r>
        <w:rPr>
          <w:rFonts w:ascii="Courier New" w:hAnsi="Courier New" w:cs="Courier New"/>
          <w:sz w:val="16"/>
          <w:szCs w:val="16"/>
        </w:rPr>
        <w:t xml:space="preserve">      $DOMAIN -pass xxx </w:t>
      </w:r>
      <w:r w:rsidRPr="000E5856">
        <w:rPr>
          <w:rFonts w:ascii="Courier New" w:hAnsi="Courier New" w:cs="Courier New"/>
          <w:sz w:val="16"/>
          <w:szCs w:val="16"/>
        </w:rPr>
        <w:t>-</w:t>
      </w:r>
      <w:proofErr w:type="spellStart"/>
      <w:r w:rsidRPr="000E5856">
        <w:rPr>
          <w:rFonts w:ascii="Courier New" w:hAnsi="Courier New" w:cs="Courier New"/>
          <w:sz w:val="16"/>
          <w:szCs w:val="16"/>
        </w:rPr>
        <w:t>config_template</w:t>
      </w:r>
      <w:proofErr w:type="spellEnd"/>
      <w:r w:rsidRPr="000E5856">
        <w:rPr>
          <w:rFonts w:ascii="Courier New" w:hAnsi="Courier New" w:cs="Courier New"/>
          <w:sz w:val="16"/>
          <w:szCs w:val="16"/>
        </w:rPr>
        <w:t xml:space="preserve"> </w:t>
      </w:r>
      <w:r>
        <w:rPr>
          <w:rFonts w:ascii="Courier New" w:hAnsi="Courier New" w:cs="Courier New"/>
          <w:sz w:val="16"/>
          <w:szCs w:val="16"/>
        </w:rPr>
        <w:t>$TEMPLATE</w:t>
      </w:r>
    </w:p>
    <w:p w14:paraId="66807FF0" w14:textId="6867C86F" w:rsidR="00094435" w:rsidRDefault="0081036F"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proofErr w:type="gramStart"/>
      <w:r w:rsidR="007059A9" w:rsidRPr="007059A9">
        <w:rPr>
          <w:sz w:val="16"/>
          <w:szCs w:val="16"/>
        </w:rPr>
        <w:t>cert,keys</w:t>
      </w:r>
      <w:proofErr w:type="gramEnd"/>
      <w:r w:rsidR="007059A9" w:rsidRPr="007059A9">
        <w:rPr>
          <w:sz w:val="16"/>
          <w:szCs w:val="16"/>
        </w:rPr>
        <w:t>,host.config</w:t>
      </w:r>
      <w:proofErr w:type="spellEnd"/>
      <w:r w:rsidR="007059A9" w:rsidRPr="007059A9">
        <w:rPr>
          <w:sz w:val="16"/>
          <w:szCs w:val="16"/>
        </w:rPr>
        <w:t>}</w:t>
      </w:r>
      <w:r w:rsidR="007059A9">
        <w:rPr>
          <w:sz w:val="16"/>
          <w:szCs w:val="16"/>
        </w:rPr>
        <w:t>.</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bookmarkStart w:id="0" w:name="_GoBack"/>
      <w:bookmarkEnd w:id="0"/>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16BE4F67" w14:textId="4B254049" w:rsidR="00553814" w:rsidRDefault="00096659"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0F3EE083" w14:textId="32980819" w:rsidR="00F613D4" w:rsidRDefault="00F613D4" w:rsidP="00F613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 xml:space="preserve"> </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5F4D57" w:rsidR="00096659" w:rsidRPr="00301D68" w:rsidRDefault="00096659" w:rsidP="00096659">
      <w:r>
        <w:t xml:space="preserve">Finally, to run a Hosted System, </w:t>
      </w:r>
      <w:r w:rsidR="00D17F01">
        <w:t>like</w:t>
      </w:r>
      <w:r>
        <w:t xml:space="preserve"> </w:t>
      </w:r>
      <w:proofErr w:type="spellStart"/>
      <w:r>
        <w:t>simlpeclient</w:t>
      </w:r>
      <w:proofErr w:type="spellEnd"/>
      <w:r>
        <w:t>, we would say:</w:t>
      </w:r>
    </w:p>
    <w:p w14:paraId="53068AFF" w14:textId="05E1BA21"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–pass xxx &amp;</w:t>
      </w:r>
    </w:p>
    <w:p w14:paraId="064483BC" w14:textId="19B25858" w:rsidR="00A65E5A" w:rsidRPr="004057D7" w:rsidRDefault="00102FF1" w:rsidP="00A65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$BINPATH/</w:t>
      </w:r>
      <w:proofErr w:type="spellStart"/>
      <w:r>
        <w:rPr>
          <w:rFonts w:ascii="Courier New" w:hAnsi="Courier New" w:cs="Courier New"/>
          <w:sz w:val="16"/>
          <w:szCs w:val="16"/>
        </w:rPr>
        <w:t>tao</w:t>
      </w:r>
      <w:proofErr w:type="spellEnd"/>
      <w:r w:rsidR="00A65E5A" w:rsidRPr="00A65E5A">
        <w:rPr>
          <w:rFonts w:ascii="Courier New" w:hAnsi="Courier New" w:cs="Courier New"/>
          <w:sz w:val="16"/>
          <w:szCs w:val="16"/>
        </w:rPr>
        <w:t xml:space="preserve"> host stop -</w:t>
      </w:r>
      <w:proofErr w:type="spellStart"/>
      <w:r w:rsidR="00A65E5A" w:rsidRPr="00A65E5A">
        <w:rPr>
          <w:rFonts w:ascii="Courier New" w:hAnsi="Courier New" w:cs="Courier New"/>
          <w:sz w:val="16"/>
          <w:szCs w:val="16"/>
        </w:rPr>
        <w:t>tao_domain</w:t>
      </w:r>
      <w:proofErr w:type="spellEnd"/>
      <w:r w:rsidR="00A65E5A" w:rsidRPr="00A65E5A">
        <w:rPr>
          <w:rFonts w:ascii="Courier New" w:hAnsi="Courier New" w:cs="Courier New"/>
          <w:sz w:val="16"/>
          <w:szCs w:val="16"/>
        </w:rPr>
        <w:t xml:space="preserve"> </w:t>
      </w:r>
      <w:r>
        <w:rPr>
          <w:rFonts w:ascii="Courier New" w:hAnsi="Courier New" w:cs="Courier New"/>
          <w:sz w:val="16"/>
          <w:szCs w:val="16"/>
        </w:rPr>
        <w:t>$DOMAIN</w:t>
      </w:r>
    </w:p>
    <w:p w14:paraId="69CD47E3" w14:textId="77777777" w:rsidR="00451F53" w:rsidRDefault="00451F53" w:rsidP="00451F53"/>
    <w:p w14:paraId="343C6BAF" w14:textId="63109761" w:rsidR="001A3E6E" w:rsidRDefault="00301D68" w:rsidP="00451F53">
      <w:r>
        <w:t>We have provided an additional script, “</w:t>
      </w:r>
      <w:proofErr w:type="spellStart"/>
      <w: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3990847D" w14:textId="1B6B48B6" w:rsidR="00766FF2" w:rsidRDefault="00766FF2" w:rsidP="00451F53">
      <w:r>
        <w:t xml:space="preserve">So to run </w:t>
      </w:r>
      <w:proofErr w:type="spellStart"/>
      <w:r>
        <w:t>simple</w:t>
      </w:r>
      <w:r w:rsidR="00C849F4">
        <w:t>example</w:t>
      </w:r>
      <w:proofErr w:type="spellEnd"/>
      <w:r>
        <w:t xml:space="preserve"> the very first time, call </w:t>
      </w:r>
      <w:proofErr w:type="spellStart"/>
      <w:r>
        <w:t>initkey</w:t>
      </w:r>
      <w:proofErr w:type="spellEnd"/>
      <w:r>
        <w:t xml:space="preserve">, </w:t>
      </w:r>
      <w:proofErr w:type="spellStart"/>
      <w:r>
        <w:t>initdomain</w:t>
      </w:r>
      <w:proofErr w:type="spellEnd"/>
      <w:r>
        <w:t xml:space="preserve"> and </w:t>
      </w:r>
      <w:proofErr w:type="spellStart"/>
      <w:r>
        <w:t>inithost</w:t>
      </w:r>
      <w:proofErr w:type="spellEnd"/>
      <w:r>
        <w:t xml:space="preserve">.  If no host is running, call </w:t>
      </w:r>
      <w:proofErr w:type="spellStart"/>
      <w:r>
        <w:t>runhost</w:t>
      </w:r>
      <w:proofErr w:type="spellEnd"/>
      <w:r>
        <w:t xml:space="preserve">.  Each time you run tests call </w:t>
      </w:r>
      <w:proofErr w:type="spellStart"/>
      <w:r>
        <w:t>runall</w:t>
      </w:r>
      <w:proofErr w:type="spellEnd"/>
      <w:r w:rsidR="00C849F4">
        <w:t xml:space="preserve"> but remember to kill these services afterwards</w:t>
      </w:r>
      <w:r>
        <w:t>.</w:t>
      </w:r>
      <w:r w:rsidR="003A0EB2">
        <w:t xml:space="preserve">  To list Hosted Programs currently running call:</w:t>
      </w:r>
    </w:p>
    <w:p w14:paraId="54C818C6" w14:textId="2A7926B6" w:rsidR="003A0EB2" w:rsidRPr="00054C20" w:rsidRDefault="003A0EB2" w:rsidP="00054C20">
      <w:pPr>
        <w:ind w:left="720"/>
        <w:rPr>
          <w:rFonts w:ascii="Courier New" w:hAnsi="Courier New" w:cs="Courier New"/>
          <w:sz w:val="16"/>
          <w:szCs w:val="16"/>
        </w:rPr>
      </w:pPr>
      <w:proofErr w:type="spellStart"/>
      <w:r w:rsidRPr="00054C20">
        <w:rPr>
          <w:rFonts w:ascii="Courier New" w:hAnsi="Courier New" w:cs="Courier New"/>
          <w:sz w:val="16"/>
          <w:szCs w:val="16"/>
        </w:rPr>
        <w:t>tao</w:t>
      </w:r>
      <w:proofErr w:type="spellEnd"/>
      <w:r w:rsidRPr="00054C20">
        <w:rPr>
          <w:rFonts w:ascii="Courier New" w:hAnsi="Courier New" w:cs="Courier New"/>
          <w:sz w:val="16"/>
          <w:szCs w:val="16"/>
        </w:rPr>
        <w:t xml:space="preserve"> list …</w:t>
      </w:r>
    </w:p>
    <w:p w14:paraId="04CED396" w14:textId="1E293733" w:rsidR="003A0EB2" w:rsidRDefault="00054C20" w:rsidP="00A65E5A">
      <w:pPr>
        <w:outlineLvl w:val="0"/>
      </w:pPr>
      <w:r>
        <w:t xml:space="preserve">To kill hosted programs call </w:t>
      </w:r>
    </w:p>
    <w:p w14:paraId="63FB37EE" w14:textId="34DB0896" w:rsidR="00054C20" w:rsidRPr="00054C20" w:rsidRDefault="00054C20" w:rsidP="00054C20">
      <w:pPr>
        <w:ind w:left="720"/>
        <w:rPr>
          <w:rFonts w:ascii="Courier New" w:hAnsi="Courier New" w:cs="Courier New"/>
          <w:sz w:val="16"/>
          <w:szCs w:val="16"/>
        </w:rPr>
      </w:pPr>
      <w:proofErr w:type="spellStart"/>
      <w:r w:rsidRPr="00054C20">
        <w:rPr>
          <w:rFonts w:ascii="Courier New" w:hAnsi="Courier New" w:cs="Courier New"/>
          <w:sz w:val="16"/>
          <w:szCs w:val="16"/>
        </w:rPr>
        <w:t>tao</w:t>
      </w:r>
      <w:proofErr w:type="spellEnd"/>
      <w:r w:rsidRPr="00054C20">
        <w:rPr>
          <w:rFonts w:ascii="Courier New" w:hAnsi="Courier New" w:cs="Courier New"/>
          <w:sz w:val="16"/>
          <w:szCs w:val="16"/>
        </w:rPr>
        <w:t xml:space="preserve"> </w:t>
      </w:r>
      <w:r>
        <w:rPr>
          <w:rFonts w:ascii="Courier New" w:hAnsi="Courier New" w:cs="Courier New"/>
          <w:sz w:val="16"/>
          <w:szCs w:val="16"/>
        </w:rPr>
        <w:t>kill</w:t>
      </w:r>
      <w:r w:rsidRPr="00054C20">
        <w:rPr>
          <w:rFonts w:ascii="Courier New" w:hAnsi="Courier New" w:cs="Courier New"/>
          <w:sz w:val="16"/>
          <w:szCs w:val="16"/>
        </w:rPr>
        <w:t xml:space="preserve"> …</w:t>
      </w:r>
    </w:p>
    <w:p w14:paraId="4FB19E80" w14:textId="77777777" w:rsidR="00451F53" w:rsidRDefault="00451F53"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the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 xml:space="preserve">The first option to deal with “brittle keys” protecting application data is standard: use a distributed key server like </w:t>
      </w:r>
      <w:proofErr w:type="spellStart"/>
      <w:r>
        <w:t>Keyczar</w:t>
      </w:r>
      <w:proofErr w:type="spellEnd"/>
      <w:r>
        <w:t xml:space="preserve"> (or many others).  In this case, </w:t>
      </w:r>
      <w:proofErr w:type="spellStart"/>
      <w:r>
        <w:t>Cloudlproxy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77777777" w:rsidR="00A30D88" w:rsidRDefault="00E84287" w:rsidP="00E84287">
      <w:pPr>
        <w:pStyle w:val="ListParagraph"/>
        <w:numPr>
          <w:ilvl w:val="0"/>
          <w:numId w:val="10"/>
        </w:numPr>
      </w:pPr>
      <w:r>
        <w:t>Write a more complicated</w:t>
      </w:r>
      <w:r w:rsidR="00C70717">
        <w:t xml:space="preserve"> set of domain applications; for example, see “go/apps/</w:t>
      </w:r>
      <w:proofErr w:type="spellStart"/>
      <w:r w:rsidR="00C70717">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3B5DBA36"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A30D88">
        <w:t xml:space="preserve">  </w:t>
      </w:r>
      <w:proofErr w:type="spellStart"/>
      <w:r w:rsidR="00A30D88">
        <w:t>Simpleexample</w:t>
      </w:r>
      <w:proofErr w:type="spellEnd"/>
      <w:r w:rsidR="00A30D88">
        <w:t xml:space="preserve"> should run fine in the VM(s) with slight changes to the initialization scripts.</w:t>
      </w:r>
    </w:p>
    <w:p w14:paraId="51B12B45" w14:textId="750CC094" w:rsidR="006266BE" w:rsidRPr="00E84287" w:rsidRDefault="006266BE" w:rsidP="00E84287">
      <w:pPr>
        <w:pStyle w:val="ListParagraph"/>
        <w:numPr>
          <w:ilvl w:val="0"/>
          <w:numId w:val="10"/>
        </w:numPr>
      </w:pPr>
      <w:r>
        <w:t>Explore the Data log engine (examples?)</w:t>
      </w:r>
    </w:p>
    <w:p w14:paraId="173D2532" w14:textId="77777777" w:rsidR="00E84287" w:rsidRDefault="00E84287"/>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8">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9">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0">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 xml:space="preserve">Beekman,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07BE8600" w:rsidR="00E168C2" w:rsidRPr="00E168C2" w:rsidRDefault="00E168C2" w:rsidP="00A65E5A">
      <w:pPr>
        <w:jc w:val="center"/>
        <w:outlineLvl w:val="0"/>
        <w:rPr>
          <w:b/>
          <w:sz w:val="28"/>
          <w:szCs w:val="28"/>
        </w:rPr>
      </w:pPr>
      <w:r w:rsidRPr="00E168C2">
        <w:rPr>
          <w:b/>
          <w:sz w:val="28"/>
          <w:szCs w:val="28"/>
        </w:rPr>
        <w:lastRenderedPageBreak/>
        <w:t>The Guard</w:t>
      </w:r>
      <w:r w:rsidR="00B069DE">
        <w:rPr>
          <w:b/>
          <w:sz w:val="28"/>
          <w:szCs w:val="28"/>
        </w:rPr>
        <w:t>s</w:t>
      </w:r>
      <w:r w:rsidR="001C70B4">
        <w:rPr>
          <w:b/>
          <w:sz w:val="28"/>
          <w:szCs w:val="28"/>
        </w:rPr>
        <w:t xml:space="preserve"> (remove this)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77777777" w:rsidR="00355B2C" w:rsidRDefault="00355B2C"/>
    <w:sectPr w:rsidR="00355B2C">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6AD08" w14:textId="77777777" w:rsidR="00A93AF6" w:rsidRDefault="00A93AF6" w:rsidP="00046BB8">
      <w:pPr>
        <w:spacing w:line="240" w:lineRule="auto"/>
      </w:pPr>
      <w:r>
        <w:separator/>
      </w:r>
    </w:p>
  </w:endnote>
  <w:endnote w:type="continuationSeparator" w:id="0">
    <w:p w14:paraId="06266A23" w14:textId="77777777" w:rsidR="00A93AF6" w:rsidRDefault="00A93AF6"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099">
      <w:rPr>
        <w:rStyle w:val="PageNumber"/>
        <w:noProof/>
      </w:rPr>
      <w:t>9</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758F2" w14:textId="77777777" w:rsidR="00A93AF6" w:rsidRDefault="00A93AF6" w:rsidP="00046BB8">
      <w:pPr>
        <w:spacing w:line="240" w:lineRule="auto"/>
      </w:pPr>
      <w:r>
        <w:separator/>
      </w:r>
    </w:p>
  </w:footnote>
  <w:footnote w:type="continuationSeparator" w:id="0">
    <w:p w14:paraId="23ADF3F1" w14:textId="77777777" w:rsidR="00A93AF6" w:rsidRDefault="00A93AF6"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w:t>
      </w:r>
      <w:proofErr w:type="gramStart"/>
      <w:r w:rsidRPr="00A92E31">
        <w:rPr>
          <w:sz w:val="20"/>
          <w:szCs w:val="20"/>
        </w:rPr>
        <w:t>primitives</w:t>
      </w:r>
      <w:proofErr w:type="gramEnd"/>
      <w:r w:rsidRPr="00A92E31">
        <w:rPr>
          <w:sz w:val="20"/>
          <w:szCs w:val="20"/>
        </w:rPr>
        <w:t xml:space="preserve">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5">
    <w:p w14:paraId="614A8CA6" w14:textId="77777777" w:rsidR="00C0417D" w:rsidRPr="00520046" w:rsidRDefault="00C0417D"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54C20"/>
    <w:rsid w:val="000564B1"/>
    <w:rsid w:val="0009017B"/>
    <w:rsid w:val="00094435"/>
    <w:rsid w:val="00096659"/>
    <w:rsid w:val="000A2442"/>
    <w:rsid w:val="000B3939"/>
    <w:rsid w:val="000C5C08"/>
    <w:rsid w:val="000E1361"/>
    <w:rsid w:val="000E5856"/>
    <w:rsid w:val="000F382E"/>
    <w:rsid w:val="00102FF1"/>
    <w:rsid w:val="00107ECB"/>
    <w:rsid w:val="001172D8"/>
    <w:rsid w:val="001A2510"/>
    <w:rsid w:val="001A2AF5"/>
    <w:rsid w:val="001A3E6E"/>
    <w:rsid w:val="001B6BC8"/>
    <w:rsid w:val="001C70B4"/>
    <w:rsid w:val="001D0C40"/>
    <w:rsid w:val="001D5C31"/>
    <w:rsid w:val="001D7AA5"/>
    <w:rsid w:val="00200238"/>
    <w:rsid w:val="00205F22"/>
    <w:rsid w:val="0023213C"/>
    <w:rsid w:val="00240F72"/>
    <w:rsid w:val="0025714E"/>
    <w:rsid w:val="00277DE4"/>
    <w:rsid w:val="002C0099"/>
    <w:rsid w:val="002C1239"/>
    <w:rsid w:val="002D03B5"/>
    <w:rsid w:val="002D7206"/>
    <w:rsid w:val="00301D68"/>
    <w:rsid w:val="00305B6E"/>
    <w:rsid w:val="0033251C"/>
    <w:rsid w:val="00337AC5"/>
    <w:rsid w:val="00347101"/>
    <w:rsid w:val="00353B8B"/>
    <w:rsid w:val="00355B2C"/>
    <w:rsid w:val="00362AA8"/>
    <w:rsid w:val="003703A0"/>
    <w:rsid w:val="003763DA"/>
    <w:rsid w:val="00380B0D"/>
    <w:rsid w:val="003A0EB2"/>
    <w:rsid w:val="003A5124"/>
    <w:rsid w:val="003A6088"/>
    <w:rsid w:val="003B47A5"/>
    <w:rsid w:val="003C3157"/>
    <w:rsid w:val="003C569D"/>
    <w:rsid w:val="003D219C"/>
    <w:rsid w:val="00401698"/>
    <w:rsid w:val="00403DFD"/>
    <w:rsid w:val="004057D7"/>
    <w:rsid w:val="00410E53"/>
    <w:rsid w:val="00424C22"/>
    <w:rsid w:val="00427557"/>
    <w:rsid w:val="00451F53"/>
    <w:rsid w:val="00455133"/>
    <w:rsid w:val="004555AA"/>
    <w:rsid w:val="00457EBA"/>
    <w:rsid w:val="00492274"/>
    <w:rsid w:val="004948DD"/>
    <w:rsid w:val="004A6144"/>
    <w:rsid w:val="004A7143"/>
    <w:rsid w:val="004C705D"/>
    <w:rsid w:val="004D0E97"/>
    <w:rsid w:val="004F16A8"/>
    <w:rsid w:val="005109A8"/>
    <w:rsid w:val="00520046"/>
    <w:rsid w:val="00533CB1"/>
    <w:rsid w:val="00543634"/>
    <w:rsid w:val="00553814"/>
    <w:rsid w:val="00567836"/>
    <w:rsid w:val="0057646D"/>
    <w:rsid w:val="005C0B57"/>
    <w:rsid w:val="006103EC"/>
    <w:rsid w:val="00611254"/>
    <w:rsid w:val="00615E73"/>
    <w:rsid w:val="00621A85"/>
    <w:rsid w:val="006266BE"/>
    <w:rsid w:val="00626B28"/>
    <w:rsid w:val="00630AAD"/>
    <w:rsid w:val="006430A9"/>
    <w:rsid w:val="00643DBE"/>
    <w:rsid w:val="006558F4"/>
    <w:rsid w:val="00665359"/>
    <w:rsid w:val="00667257"/>
    <w:rsid w:val="006F2FF8"/>
    <w:rsid w:val="00705374"/>
    <w:rsid w:val="007059A9"/>
    <w:rsid w:val="00750D69"/>
    <w:rsid w:val="00757B75"/>
    <w:rsid w:val="007606C5"/>
    <w:rsid w:val="007609FE"/>
    <w:rsid w:val="00760C01"/>
    <w:rsid w:val="00761680"/>
    <w:rsid w:val="00764631"/>
    <w:rsid w:val="00766FF2"/>
    <w:rsid w:val="007D6753"/>
    <w:rsid w:val="007E71DF"/>
    <w:rsid w:val="007F65F1"/>
    <w:rsid w:val="0081036F"/>
    <w:rsid w:val="00813F96"/>
    <w:rsid w:val="00847033"/>
    <w:rsid w:val="00865B7F"/>
    <w:rsid w:val="00872165"/>
    <w:rsid w:val="00893356"/>
    <w:rsid w:val="0089681E"/>
    <w:rsid w:val="00897C64"/>
    <w:rsid w:val="008A2C10"/>
    <w:rsid w:val="008B47F7"/>
    <w:rsid w:val="008B4F6B"/>
    <w:rsid w:val="008E1DF3"/>
    <w:rsid w:val="008F38DE"/>
    <w:rsid w:val="008F48C4"/>
    <w:rsid w:val="00914E36"/>
    <w:rsid w:val="009206D9"/>
    <w:rsid w:val="00996297"/>
    <w:rsid w:val="00996FBB"/>
    <w:rsid w:val="009C30E5"/>
    <w:rsid w:val="009E1B8D"/>
    <w:rsid w:val="009F027E"/>
    <w:rsid w:val="00A267D3"/>
    <w:rsid w:val="00A30D88"/>
    <w:rsid w:val="00A56241"/>
    <w:rsid w:val="00A63BD9"/>
    <w:rsid w:val="00A65E5A"/>
    <w:rsid w:val="00A6747C"/>
    <w:rsid w:val="00A77F63"/>
    <w:rsid w:val="00A92E31"/>
    <w:rsid w:val="00A93AF6"/>
    <w:rsid w:val="00AA2A9C"/>
    <w:rsid w:val="00AB78C8"/>
    <w:rsid w:val="00AD1C89"/>
    <w:rsid w:val="00AF222B"/>
    <w:rsid w:val="00AF4EB1"/>
    <w:rsid w:val="00B069DE"/>
    <w:rsid w:val="00B07E0A"/>
    <w:rsid w:val="00B33A99"/>
    <w:rsid w:val="00B40D52"/>
    <w:rsid w:val="00B42835"/>
    <w:rsid w:val="00B47925"/>
    <w:rsid w:val="00B603BE"/>
    <w:rsid w:val="00B614F5"/>
    <w:rsid w:val="00B649F3"/>
    <w:rsid w:val="00B90A39"/>
    <w:rsid w:val="00BA2EDC"/>
    <w:rsid w:val="00BC0A5C"/>
    <w:rsid w:val="00BD4241"/>
    <w:rsid w:val="00BF7CB6"/>
    <w:rsid w:val="00C0417D"/>
    <w:rsid w:val="00C12D92"/>
    <w:rsid w:val="00C2207C"/>
    <w:rsid w:val="00C3608A"/>
    <w:rsid w:val="00C511D1"/>
    <w:rsid w:val="00C516B9"/>
    <w:rsid w:val="00C67607"/>
    <w:rsid w:val="00C70717"/>
    <w:rsid w:val="00C849F4"/>
    <w:rsid w:val="00CA78D4"/>
    <w:rsid w:val="00CE6318"/>
    <w:rsid w:val="00CF71CB"/>
    <w:rsid w:val="00D05827"/>
    <w:rsid w:val="00D16E32"/>
    <w:rsid w:val="00D17F01"/>
    <w:rsid w:val="00D343E3"/>
    <w:rsid w:val="00D55022"/>
    <w:rsid w:val="00D60A83"/>
    <w:rsid w:val="00D6324D"/>
    <w:rsid w:val="00D73C68"/>
    <w:rsid w:val="00D915C4"/>
    <w:rsid w:val="00D92643"/>
    <w:rsid w:val="00DB1DE7"/>
    <w:rsid w:val="00DC153F"/>
    <w:rsid w:val="00DE6469"/>
    <w:rsid w:val="00E168C2"/>
    <w:rsid w:val="00E262C6"/>
    <w:rsid w:val="00E30D56"/>
    <w:rsid w:val="00E34007"/>
    <w:rsid w:val="00E46071"/>
    <w:rsid w:val="00E711B7"/>
    <w:rsid w:val="00E84287"/>
    <w:rsid w:val="00E84824"/>
    <w:rsid w:val="00E87DE5"/>
    <w:rsid w:val="00EA1C55"/>
    <w:rsid w:val="00EA3099"/>
    <w:rsid w:val="00EA4B7A"/>
    <w:rsid w:val="00EB3907"/>
    <w:rsid w:val="00EB6453"/>
    <w:rsid w:val="00EC093E"/>
    <w:rsid w:val="00EE08F2"/>
    <w:rsid w:val="00F3164F"/>
    <w:rsid w:val="00F33CD6"/>
    <w:rsid w:val="00F40762"/>
    <w:rsid w:val="00F41053"/>
    <w:rsid w:val="00F613D4"/>
    <w:rsid w:val="00F64D4B"/>
    <w:rsid w:val="00F872B9"/>
    <w:rsid w:val="00FA392D"/>
    <w:rsid w:val="00FC2695"/>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D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ecs.berkeley.edu/Pubs/TechRpts/2013/EECS-2013-135.pdf" TargetMode="External"/><Relationship Id="rId9" Type="http://schemas.openxmlformats.org/officeDocument/2006/relationships/hyperlink" Target="http://www.eecs.berkeley.edu/Pubs/TechRpts/2013/EECS-2013-135.pdf" TargetMode="External"/><Relationship Id="rId10" Type="http://schemas.openxmlformats.org/officeDocument/2006/relationships/hyperlink" Target="http://www.trustedcomputinggroup.org/resources/tpm_library_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C5A966-8B7C-0543-A4DC-B67409BA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4253</Words>
  <Characters>24245</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44</cp:revision>
  <cp:lastPrinted>2016-02-16T01:51:00Z</cp:lastPrinted>
  <dcterms:created xsi:type="dcterms:W3CDTF">2016-02-16T01:51:00Z</dcterms:created>
  <dcterms:modified xsi:type="dcterms:W3CDTF">2016-02-17T03:19:00Z</dcterms:modified>
</cp:coreProperties>
</file>