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AIK or Quote Key,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3BD4A8E3"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1EC01D7D"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2ADEE1F9" w14:textId="77777777" w:rsidR="00C0417D" w:rsidRDefault="00C0417D" w:rsidP="00C0417D"/>
    <w:p w14:paraId="6B112A49" w14:textId="618AE1B1" w:rsidR="001A2510"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domain was initialized (see below)</w:t>
      </w:r>
      <w:r w:rsidR="00CA2B18">
        <w:t xml:space="preserve">.  The initialization </w:t>
      </w:r>
      <w:r w:rsidR="00976FEB">
        <w:t>procedure</w:t>
      </w:r>
      <w:r w:rsidR="00CA2B18">
        <w:t xml:space="preserve"> provides a certificate for the soft Tao root</w:t>
      </w:r>
      <w:r w:rsidR="00976FEB">
        <w:t xml:space="preserve"> key</w:t>
      </w:r>
      <w:r w:rsidR="00CA2B18">
        <w:t xml:space="preserve"> filling the same role as the “AIK certificate” or “Quote certificate” in the case of TPM roots.</w:t>
      </w:r>
      <w:r w:rsidR="003A5124">
        <w:t xml:space="preserve"> </w:t>
      </w:r>
      <w:r w:rsidR="00582D62">
        <w:t xml:space="preserve"> TPM certificates and initialization is discussed in [5].  We only use the Soft Tao in this example.</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lastRenderedPageBreak/>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126BFFD"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C1445E">
        <w:t xml:space="preserve">(including the root certificates)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03720D69"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rsidR="00C1445E">
        <w:t xml:space="preserve">data, activates the </w:t>
      </w:r>
      <w:r w:rsidR="00C1445E" w:rsidRPr="00C1445E">
        <w:rPr>
          <w:i/>
          <w:iCs/>
        </w:rPr>
        <w:t>T</w:t>
      </w:r>
      <w:r w:rsidRPr="00C1445E">
        <w:rPr>
          <w:i/>
          <w:iCs/>
        </w:rPr>
        <w:t>ao</w:t>
      </w:r>
      <w:r>
        <w:t xml:space="preserve">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49791C09" w14:textId="77777777" w:rsidR="00C1445E" w:rsidRDefault="00C1445E" w:rsidP="009D1CC0"/>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17247DAD" w14:textId="77777777"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6075F" w14:textId="31AA64E3"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1285CA31" w14:textId="77777777"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1D3C7C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44A4C93B"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00C8BA6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FA385F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2F5817D3"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196C19F"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6F8EC94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53CCF9D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7999A4EA"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16588FD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lastRenderedPageBreak/>
        <w:t xml:space="preserve">        Subject: C=US, O=CloudProxy, OU=, ST=WA, CN=SimpleExampleTest</w:t>
      </w:r>
    </w:p>
    <w:p w14:paraId="5E939F4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6052FF2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6B142FA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0074C60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1ADDC26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4877A45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30E76D9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962FD0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2592264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2D41E41"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4E998BF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739C43C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4CE1CF9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DE6801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5ECCEC3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768DD49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3A226972"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55340F2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49365C14"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4577505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0D521B1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21E5C9A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0776AB8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6E9FC81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02CBF6F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65CE4F0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36BB801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522DBF1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4008627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1CB6674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1CA4751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6C2CE7F1"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11CAFAAB"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32FF3E2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050105D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70ED1CF2" w14:textId="1349B325"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23F84EC9" w14:textId="77777777" w:rsidR="00537F55" w:rsidRDefault="00EA3F04" w:rsidP="000E5856">
      <w:r>
        <w:t xml:space="preserve">To </w:t>
      </w:r>
      <w:r w:rsidR="000D79C1">
        <w:t>do this</w:t>
      </w:r>
      <w:r>
        <w:t>,</w:t>
      </w:r>
      <w:r w:rsidR="000D79C1">
        <w:t xml:space="preserve"> we do</w:t>
      </w:r>
    </w:p>
    <w:p w14:paraId="1E253A93" w14:textId="07F34678" w:rsidR="00407C02" w:rsidRDefault="00407C02" w:rsidP="000E5856">
      <w:r>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lastRenderedPageBreak/>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29B11D94" w:rsidR="00094435" w:rsidRDefault="000E136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w:t>
      </w:r>
      <w:r w:rsidR="000C46EC">
        <w:t xml:space="preserve">root </w:t>
      </w:r>
      <w:r w:rsidRPr="00765E95">
        <w:t>soft key</w:t>
      </w:r>
      <w:r w:rsidR="000C46EC">
        <w:t xml:space="preserve"> and corresponding certificate (signed by the policy key)</w:t>
      </w:r>
      <w:r w:rsidRPr="00765E95">
        <w:t xml:space="preserve">.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w:t>
      </w:r>
      <w:r w:rsidR="000C46EC">
        <w:t>a</w:t>
      </w:r>
      <w:r w:rsidR="0081036F" w:rsidRPr="00765E95">
        <w:t xml:space="preserve">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0AC88FDC" w:rsidR="00BE031F" w:rsidRDefault="008E7E4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lastRenderedPageBreak/>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BF562AA" w:rsidR="00BE031F" w:rsidRDefault="00BE031F"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rsidR="00395D1F">
        <w:t>, provided you used the standard Go binary location</w:t>
      </w:r>
      <w:r>
        <w:t xml:space="preserve">.  Copy these </w:t>
      </w:r>
      <w:r w:rsidR="000C46EC">
        <w:t>executables</w:t>
      </w:r>
      <w:r>
        <w:t xml:space="preserve">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46D850B3"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run </w:t>
      </w:r>
      <w:r w:rsidRPr="000C46EC">
        <w:rPr>
          <w:i/>
          <w:iCs/>
        </w:rPr>
        <w:t>simpleexample</w:t>
      </w:r>
      <w:r>
        <w:t>,</w:t>
      </w:r>
      <w:r w:rsidR="007C01FC">
        <w:t xml:space="preserve"> </w:t>
      </w:r>
      <w:r>
        <w:t>we provide a number of scripts.  All the</w:t>
      </w:r>
      <w:r w:rsidR="000C46EC">
        <w:t>se</w:t>
      </w:r>
      <w:r>
        <w:t xml:space="preserve"> scripts should be run as root.  We</w:t>
      </w:r>
      <w:r w:rsidR="008E7E41">
        <w:t xml:space="preserve"> describe each step but we have collected </w:t>
      </w:r>
      <w:r w:rsidR="000C46EC">
        <w:t xml:space="preserve">all of </w:t>
      </w:r>
      <w:r w:rsidR="008E7E41">
        <w:t xml:space="preserve">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w:t>
      </w:r>
      <w:r w:rsidR="00395D1F" w:rsidRPr="000C46EC">
        <w:rPr>
          <w:i/>
          <w:iCs/>
        </w:rPr>
        <w:t>simplexample</w:t>
      </w:r>
      <w:r w:rsidR="00395D1F">
        <w:t xml:space="preserve"> after initializing the storage space and soft-key</w:t>
      </w:r>
      <w:r w:rsidR="00953ED1">
        <w:t xml:space="preserve">.  </w:t>
      </w:r>
      <w:r w:rsidR="00395D1F">
        <w:t xml:space="preserve">The remainder of this section describes the scripts used by </w:t>
      </w:r>
      <w:r w:rsidR="00395D1F" w:rsidRPr="000C46EC">
        <w:rPr>
          <w:i/>
          <w:iCs/>
        </w:rPr>
        <w:t>runall</w:t>
      </w:r>
      <w:r w:rsidR="00395D1F">
        <w:t>.</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4"/>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SimpleDomain/domain.simpleexample </w:t>
      </w:r>
      <w:r w:rsidRPr="00765E95">
        <w:lastRenderedPageBreak/>
        <w:t>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12B699E" w:rsidR="00222052" w:rsidRDefault="00FD4968" w:rsidP="000C46EC">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w:t>
      </w:r>
      <w:r w:rsidR="000C46EC">
        <w:t>need</w:t>
      </w:r>
      <w:r w:rsidRPr="00765E95">
        <w:t xml:space="preserve">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31DCF5A9" w14:textId="59C87BA7" w:rsidR="00C27B8F" w:rsidRPr="004D57F4" w:rsidRDefault="004665DD" w:rsidP="004D57F4">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w:t>
      </w:r>
      <w:r w:rsidR="004D57F4">
        <w:t xml:space="preserve"> running any program </w:t>
      </w:r>
      <w:r w:rsidR="004D57F4" w:rsidRPr="00765E95">
        <w:t>and</w:t>
      </w:r>
      <w:r w:rsidR="004D57F4">
        <w:t xml:space="preserve"> this is how our example is constructed</w:t>
      </w:r>
      <w:r w:rsidR="006B0D38">
        <w:t>.</w:t>
      </w:r>
      <w:r w:rsidR="004D57F4">
        <w:t xml:space="preserve">  To do this, we use an </w:t>
      </w:r>
      <w:r w:rsidR="004D57F4" w:rsidRPr="00765E95">
        <w:t xml:space="preserve">application security domain </w:t>
      </w:r>
      <w:r w:rsidR="004D57F4">
        <w:t>guard in</w:t>
      </w:r>
      <w:r w:rsidR="004D57F4">
        <w:rPr>
          <w:rFonts w:ascii="Courier New" w:hAnsi="Courier New" w:cs="Courier New"/>
          <w:sz w:val="20"/>
          <w:szCs w:val="20"/>
        </w:rPr>
        <w:t xml:space="preserve"> </w:t>
      </w:r>
      <w:r w:rsidR="00C27B8F">
        <w:t xml:space="preserve">the </w:t>
      </w:r>
      <w:r w:rsidR="00C27B8F" w:rsidRPr="00D15201">
        <w:rPr>
          <w:i/>
          <w:iCs/>
        </w:rPr>
        <w:t>linux_host</w:t>
      </w:r>
      <w:r w:rsidR="00C27B8F">
        <w:t xml:space="preserve"> </w:t>
      </w:r>
      <w:r w:rsidR="004D57F4">
        <w:t>with</w:t>
      </w:r>
      <w:r w:rsidR="00C27B8F">
        <w:t xml:space="preserve"> an “AllowAll” policy.  </w:t>
      </w:r>
      <w:r w:rsidR="004D57F4">
        <w:t xml:space="preserve">One may want to limit programs that run under a single Host.  For </w:t>
      </w:r>
      <w:proofErr w:type="gramStart"/>
      <w:r w:rsidR="004D57F4">
        <w:t>example</w:t>
      </w:r>
      <w:proofErr w:type="gramEnd"/>
      <w:r w:rsidR="004D57F4">
        <w:t xml:space="preserve"> if you want all Hosted Systems run under a particular host to come from a single domain (to avoid side channel attacks), you may have rules requiring each Hosted System application be signed by that security domain.  </w:t>
      </w:r>
      <w:r w:rsidR="00C27B8F">
        <w:t xml:space="preserve">As you become familiar with the Datalog rules, you can apply them flexibly but </w:t>
      </w:r>
      <w:r w:rsidR="004D57F4">
        <w:t xml:space="preserve">that is a distraction in </w:t>
      </w:r>
      <w:r w:rsidR="004D57F4" w:rsidRPr="004D57F4">
        <w:rPr>
          <w:i/>
          <w:iCs/>
        </w:rPr>
        <w:t>simplee</w:t>
      </w:r>
      <w:r w:rsidR="00C27B8F" w:rsidRPr="004D57F4">
        <w:rPr>
          <w:i/>
          <w:iCs/>
        </w:rPr>
        <w:t>xample</w:t>
      </w:r>
      <w:r w:rsidR="004D57F4">
        <w:t xml:space="preserve"> and may not be needed in many cases.</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2BD9F256" w:rsidR="0071741D" w:rsidRPr="00502D36" w:rsidRDefault="002E299A" w:rsidP="00D1596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w:t>
      </w:r>
      <w:r w:rsidR="00F01C0D" w:rsidRPr="00D1596A">
        <w:rPr>
          <w:i/>
          <w:iCs/>
        </w:rPr>
        <w:t>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w:t>
      </w:r>
      <w:r w:rsidR="00D1596A">
        <w:t>with kill -9</w:t>
      </w:r>
      <w:r w:rsidR="00481BA2" w:rsidRPr="00502D36">
        <w:t>) so you can run subsequent tests.</w:t>
      </w:r>
      <w:r w:rsidR="00A46B6F" w:rsidRPr="00502D36">
        <w:t xml:space="preserve">  </w:t>
      </w:r>
      <w:r w:rsidR="00D1596A">
        <w:t xml:space="preserve">Typically, you’d kill and restart the domain service, </w:t>
      </w:r>
      <w:r w:rsidR="00D1596A" w:rsidRPr="00D1596A">
        <w:rPr>
          <w:i/>
          <w:iCs/>
        </w:rPr>
        <w:t>linux_host</w:t>
      </w:r>
      <w:r w:rsidR="00D1596A">
        <w:t xml:space="preserve"> and </w:t>
      </w:r>
      <w:r w:rsidR="00D1596A" w:rsidRPr="00D1596A">
        <w:rPr>
          <w:i/>
          <w:iCs/>
        </w:rPr>
        <w:t>simpleclient</w:t>
      </w:r>
      <w:r w:rsidR="00D1596A">
        <w:t xml:space="preserve"> and </w:t>
      </w:r>
      <w:r w:rsidR="00D1596A" w:rsidRPr="00D1596A">
        <w:rPr>
          <w:i/>
          <w:iCs/>
        </w:rPr>
        <w:t>simpleserver</w:t>
      </w:r>
      <w:r w:rsidR="00D1596A">
        <w:t xml:space="preserve"> before another run.</w:t>
      </w:r>
    </w:p>
    <w:p w14:paraId="0E7A168D" w14:textId="77777777" w:rsidR="0071741D" w:rsidRDefault="0071741D" w:rsidP="002E299A">
      <w:pPr>
        <w:outlineLvl w:val="0"/>
      </w:pPr>
    </w:p>
    <w:p w14:paraId="01DB26A4" w14:textId="4C3408F1" w:rsidR="00010445" w:rsidRDefault="00A46B6F" w:rsidP="00D1596A">
      <w:pPr>
        <w:outlineLvl w:val="0"/>
      </w:pPr>
      <w:r>
        <w:t xml:space="preserve">Our example uses the </w:t>
      </w:r>
      <w:r w:rsidR="00D1596A">
        <w:t>LiberalGuard</w:t>
      </w:r>
      <w:r>
        <w:t>.</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74515476" w:rsidR="009309EA" w:rsidRDefault="00010445" w:rsidP="00704250">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7334E97D" w:rsidR="004A2D29" w:rsidRPr="00765E95" w:rsidRDefault="00EE4DD7" w:rsidP="00704250">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5"/>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lastRenderedPageBreak/>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5F2F012B" w:rsidR="00E45486" w:rsidRDefault="00E45486" w:rsidP="00917B7D">
      <w:r>
        <w:lastRenderedPageBreak/>
        <w:t xml:space="preserve">The </w:t>
      </w:r>
      <w:r w:rsidR="005825C6">
        <w:t xml:space="preserve">Program </w:t>
      </w:r>
      <w:r>
        <w:t xml:space="preserve">certificate for the </w:t>
      </w:r>
      <w:r w:rsidRPr="005825C6">
        <w:rPr>
          <w:i/>
          <w:iCs/>
        </w:rPr>
        <w:t>simpleclient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1747CBA9" w14:textId="385CCEF0" w:rsidR="005825C6" w:rsidRPr="005825C6" w:rsidRDefault="005825C6" w:rsidP="00451F53">
      <w:pPr>
        <w:rPr>
          <w:color w:val="FF0000"/>
        </w:rPr>
      </w:pPr>
      <w:r w:rsidRPr="005825C6">
        <w:rPr>
          <w:color w:val="FF0000"/>
        </w:rPr>
        <w:t>TODO</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7"/>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lastRenderedPageBreak/>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8"/>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w:t>
      </w:r>
      <w:proofErr w:type="gramStart"/>
      <w:r w:rsidR="00BE7FAF">
        <w:t>, ,</w:t>
      </w:r>
      <w:proofErr w:type="gramEnd"/>
      <w:r w:rsidR="00BE7FAF">
        <w:t xml:space="preserve">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bookmarkStart w:id="0" w:name="_GoBack"/>
      <w:bookmarkEnd w:id="0"/>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87E4C" w14:textId="77777777" w:rsidR="005D0E59" w:rsidRDefault="005D0E59" w:rsidP="00046BB8">
      <w:pPr>
        <w:spacing w:line="240" w:lineRule="auto"/>
      </w:pPr>
      <w:r>
        <w:separator/>
      </w:r>
    </w:p>
  </w:endnote>
  <w:endnote w:type="continuationSeparator" w:id="0">
    <w:p w14:paraId="77133720" w14:textId="77777777" w:rsidR="005D0E59" w:rsidRDefault="005D0E5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37BB1" w:rsidRDefault="00437B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37BB1" w:rsidRDefault="00437B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37BB1" w:rsidRDefault="00437B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0C0">
      <w:rPr>
        <w:rStyle w:val="PageNumber"/>
        <w:noProof/>
      </w:rPr>
      <w:t>45</w:t>
    </w:r>
    <w:r>
      <w:rPr>
        <w:rStyle w:val="PageNumber"/>
      </w:rPr>
      <w:fldChar w:fldCharType="end"/>
    </w:r>
  </w:p>
  <w:p w14:paraId="0F0D550C" w14:textId="77777777" w:rsidR="00437BB1" w:rsidRDefault="00437B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962F5" w14:textId="77777777" w:rsidR="005D0E59" w:rsidRDefault="005D0E59" w:rsidP="00046BB8">
      <w:pPr>
        <w:spacing w:line="240" w:lineRule="auto"/>
      </w:pPr>
      <w:r>
        <w:separator/>
      </w:r>
    </w:p>
  </w:footnote>
  <w:footnote w:type="continuationSeparator" w:id="0">
    <w:p w14:paraId="0AA93D36" w14:textId="77777777" w:rsidR="005D0E59" w:rsidRDefault="005D0E59" w:rsidP="00046BB8">
      <w:pPr>
        <w:spacing w:line="240" w:lineRule="auto"/>
      </w:pPr>
      <w:r>
        <w:continuationSeparator/>
      </w:r>
    </w:p>
  </w:footnote>
  <w:footnote w:id="1">
    <w:p w14:paraId="798788E7" w14:textId="3099B122" w:rsidR="00437BB1" w:rsidRPr="00E05FCF" w:rsidRDefault="00437BB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437BB1" w:rsidRPr="00A92E31" w:rsidRDefault="00437BB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437BB1" w:rsidRPr="003A58BB" w:rsidRDefault="00437BB1"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437BB1" w:rsidRPr="000C7D18" w:rsidRDefault="00437BB1"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437BB1" w:rsidRPr="00556111" w:rsidRDefault="00437BB1"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437BB1" w:rsidRPr="00D27FE7" w:rsidRDefault="00437BB1">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437BB1" w:rsidRPr="00455133" w:rsidRDefault="00437BB1"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437BB1" w:rsidRPr="00A403CB" w:rsidRDefault="00437BB1">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437BB1" w:rsidRPr="003A6088" w:rsidRDefault="00437BB1">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437BB1" w:rsidRPr="001D7AA5" w:rsidRDefault="00437BB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437BB1" w:rsidRPr="00027091" w:rsidRDefault="00437BB1">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437BB1" w:rsidRPr="00B6743D" w:rsidRDefault="00437BB1">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437BB1" w:rsidRPr="00520046" w:rsidRDefault="00437BB1"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26021C53" w14:textId="556366C8" w:rsidR="00437BB1" w:rsidRPr="000D79C1" w:rsidRDefault="00437BB1">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5">
    <w:p w14:paraId="6AC7D997" w14:textId="2FFECD69" w:rsidR="00437BB1" w:rsidRPr="001118F1" w:rsidRDefault="00437BB1"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6">
    <w:p w14:paraId="2E441061" w14:textId="577D098D" w:rsidR="00437BB1" w:rsidRPr="00914E36" w:rsidRDefault="00437BB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7">
    <w:p w14:paraId="575C321A" w14:textId="49DF7CB0" w:rsidR="00437BB1" w:rsidRPr="00D84E93" w:rsidRDefault="00437BB1">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8">
    <w:p w14:paraId="3DE6FE4C" w14:textId="77777777" w:rsidR="00437BB1" w:rsidRPr="00362AA8" w:rsidRDefault="00437BB1"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AA"/>
    <w:rsid w:val="001D5C31"/>
    <w:rsid w:val="001D7A5C"/>
    <w:rsid w:val="001D7AA5"/>
    <w:rsid w:val="001E1C65"/>
    <w:rsid w:val="001E57D6"/>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CEB"/>
    <w:rsid w:val="004A5D9B"/>
    <w:rsid w:val="004A6144"/>
    <w:rsid w:val="004A6332"/>
    <w:rsid w:val="004A6D0A"/>
    <w:rsid w:val="004A6DB3"/>
    <w:rsid w:val="004A7143"/>
    <w:rsid w:val="004B0436"/>
    <w:rsid w:val="004B541C"/>
    <w:rsid w:val="004B6728"/>
    <w:rsid w:val="004B73ED"/>
    <w:rsid w:val="004C32C4"/>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3AE5"/>
    <w:rsid w:val="005C59E3"/>
    <w:rsid w:val="005D0E59"/>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15EA"/>
    <w:rsid w:val="00E23E5D"/>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07422F-D9CB-944A-B0F6-B264951D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51</Pages>
  <Words>15854</Words>
  <Characters>90372</Characters>
  <Application>Microsoft Macintosh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204</cp:revision>
  <cp:lastPrinted>2016-03-09T01:02:00Z</cp:lastPrinted>
  <dcterms:created xsi:type="dcterms:W3CDTF">2016-03-09T01:02:00Z</dcterms:created>
  <dcterms:modified xsi:type="dcterms:W3CDTF">2016-07-26T17:41:00Z</dcterms:modified>
</cp:coreProperties>
</file>