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0D29B0B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4FD4C347" w:rsidR="005C096E" w:rsidRDefault="001D19DF" w:rsidP="000E287E">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836C35">
        <w:rPr>
          <w:rFonts w:ascii="Courier New" w:eastAsia="Courier New" w:hAnsi="Courier New" w:cs="Courier New"/>
          <w:sz w:val="20"/>
          <w:szCs w:val="20"/>
        </w:rPr>
        <w:t>Program([25fac93bd4cc868352c78f4d34df6d2747a17f85...])</w:t>
      </w:r>
      <w:r w:rsidR="000E287E">
        <w:rPr>
          <w:rFonts w:asciiTheme="minorBidi" w:eastAsia="Courier New" w:hAnsiTheme="minorBidi" w:cstheme="minorBidi"/>
        </w:rPr>
        <w:t xml:space="preserve">represents the Hosted System program.  The value in parenthesis for the key is a crypto is a SHA-256 hash of the Host public key.  The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5"/>
      </w:r>
      <w:r>
        <w:t xml:space="preserve"> that initiated the authenticated boot and the hash of the Linux image and </w:t>
      </w:r>
      <w:r w:rsidR="000E287E">
        <w:t xml:space="preserve">a hash of </w:t>
      </w:r>
      <w:r>
        <w:t>it’s initramfs</w:t>
      </w:r>
      <w:r>
        <w:rPr>
          <w:rStyle w:val="FootnoteReference"/>
        </w:rPr>
        <w:footnoteReference w:id="6"/>
      </w:r>
      <w:r>
        <w:t xml:space="preserve">.  </w:t>
      </w:r>
      <w:r w:rsidR="005C096E">
        <w:t xml:space="preserve">If the Hosted System was a Linux application whose Host System was a Cloudproxy </w:t>
      </w:r>
      <w:r w:rsidR="008221B5">
        <w:t>enabled Linux which was h</w:t>
      </w:r>
      <w:r w:rsidR="005C096E">
        <w:t xml:space="preserve">osted by a Hypervisor that booted under a TPM boot, its name would include </w:t>
      </w:r>
      <w:r w:rsidR="000E287E">
        <w:t>the KVM base host as above</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0E287E">
        <w:t xml:space="preserve"> and </w:t>
      </w:r>
      <w:r w:rsidR="005C096E">
        <w:t xml:space="preserve">the measurement (performed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01599DAE" w:rsidR="001D19DF" w:rsidRDefault="001D19DF" w:rsidP="001D19DF">
      <w:r>
        <w:lastRenderedPageBreak/>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lastRenderedPageBreak/>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3C28FCDD" w:rsidR="00CE43E0" w:rsidRDefault="00CE43E0">
      <w:r>
        <w:t>The second API is the Host API used by Host Systems</w:t>
      </w:r>
      <w:r w:rsidR="00DD3D75">
        <w:t xml:space="preserve"> 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495E5F">
        <w:t xml:space="preserve"> You will seldom use this API unless you write stacked hosts.</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 xml:space="preserve">t) which returns random </w:t>
      </w:r>
      <w:r w:rsidR="00DD3D75" w:rsidRPr="00201466">
        <w:rPr>
          <w:rFonts w:ascii="Courier New" w:hAnsi="Courier New" w:cs="Courier New"/>
          <w:sz w:val="20"/>
          <w:szCs w:val="20"/>
        </w:rPr>
        <w:lastRenderedPageBreak/>
        <w:t>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proofErr w:type="gramStart"/>
      <w:r w:rsidR="00495E5F" w:rsidRPr="00495E5F">
        <w:rPr>
          <w:i/>
          <w:iCs/>
        </w:rPr>
        <w:t>ProgramKey</w:t>
      </w:r>
      <w:r w:rsidR="00495E5F">
        <w:t xml:space="preserve">, </w:t>
      </w:r>
      <w:r w:rsidR="0057646D">
        <w:t xml:space="preserve"> </w:t>
      </w:r>
      <w:r w:rsidR="003A6088">
        <w:t>(</w:t>
      </w:r>
      <w:proofErr w:type="gramEnd"/>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w:t>
      </w:r>
      <w:r w:rsidR="0057646D">
        <w:lastRenderedPageBreak/>
        <w:t>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0723B894" w:rsidR="00F33CD6" w:rsidRDefault="00F33CD6" w:rsidP="00495E5F">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 but</w:t>
      </w:r>
      <w:r w:rsidR="00731451">
        <w:t xml:space="preserve"> Cloudproxy also can initialize and run on a “soft Tao” </w:t>
      </w:r>
      <w:r w:rsidR="00495E5F">
        <w:t>either on Linux systems or on OSX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p>
    <w:p w14:paraId="321E45BB" w14:textId="77777777" w:rsidR="00F33CD6" w:rsidRDefault="00F33CD6" w:rsidP="00F33CD6"/>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lastRenderedPageBreak/>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37C7C7F" w14:textId="55DA3E58" w:rsidR="00F65FB5" w:rsidRDefault="003A6088" w:rsidP="0044207B">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p>
    <w:p w14:paraId="2D58F4BF" w14:textId="77777777" w:rsidR="00F65FB5" w:rsidRDefault="00F65FB5" w:rsidP="00F65FB5"/>
    <w:p w14:paraId="57F6C730" w14:textId="3096901C" w:rsidR="003A6088" w:rsidRPr="001D0C40" w:rsidRDefault="00F65FB5" w:rsidP="0044207B">
      <w:r>
        <w:t>You do not need to read the deploymen</w:t>
      </w:r>
      <w:r w:rsidR="00720B5F">
        <w:t>t guide to learn to write Cloudp</w:t>
      </w:r>
      <w:r>
        <w:t>roxy applications.  This paper is self-contained</w:t>
      </w:r>
      <w:r w:rsidR="004933C8">
        <w:t>r</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w:t>
      </w:r>
      <w:proofErr w:type="gramStart"/>
      <w:r w:rsidR="00D9289C" w:rsidRPr="00F65FB5">
        <w:rPr>
          <w:rFonts w:ascii="Courier New" w:hAnsi="Courier New" w:cs="Courier New"/>
          <w:sz w:val="20"/>
          <w:szCs w:val="20"/>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492DC76E" w:rsidR="007E71DF" w:rsidRDefault="009431CD" w:rsidP="007E71DF">
      <w:r>
        <w:lastRenderedPageBreak/>
        <w:t xml:space="preserve">Next, compile, and initialize the </w:t>
      </w:r>
      <w:r w:rsidR="00027091">
        <w:rPr>
          <w:i/>
          <w:iCs/>
        </w:rPr>
        <w:t>simplew</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0"/>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794C626"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proofErr w:type="gramStart"/>
      <w:r w:rsidR="00106109" w:rsidRPr="00106109">
        <w:rPr>
          <w:i/>
          <w:iCs/>
        </w:rPr>
        <w:t>simpleclient</w:t>
      </w:r>
      <w:r w:rsidR="00813017">
        <w:t xml:space="preserve">  and</w:t>
      </w:r>
      <w:proofErr w:type="gramEnd"/>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w:t>
      </w:r>
      <w:proofErr w:type="gramStart"/>
      <w:r w:rsidRPr="00106109">
        <w:rPr>
          <w:rFonts w:ascii="Courier New" w:hAnsi="Courier New" w:cs="Courier New"/>
        </w:rPr>
        <w:t>simpleserver.go</w:t>
      </w:r>
      <w:proofErr w:type="gramEnd"/>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 xml:space="preserve">during initialization (and described below)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  We also opted for </w:t>
      </w:r>
      <w:r>
        <w:lastRenderedPageBreak/>
        <w:t>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2240AB86" w:rsidR="00FC1703" w:rsidRPr="008845C2" w:rsidRDefault="008845C2" w:rsidP="00E94E8B">
      <w:pPr>
        <w:outlineLvl w:val="0"/>
      </w:pPr>
      <w:r>
        <w:t xml:space="preserve">Finally, </w:t>
      </w:r>
      <w:r w:rsidR="00E94E8B">
        <w:t>an appendix</w:t>
      </w:r>
      <w:r>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5672BAE9" w:rsidR="00C0417D" w:rsidRDefault="00C0417D" w:rsidP="00A32684">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3EB05DF" w:rsidR="00C0417D" w:rsidRDefault="00C0417D" w:rsidP="00A32684">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1"/>
      </w:r>
      <w:r>
        <w:t xml:space="preserve">.  </w:t>
      </w:r>
    </w:p>
    <w:p w14:paraId="2ADEE1F9" w14:textId="77777777" w:rsidR="00C0417D" w:rsidRDefault="00C0417D" w:rsidP="00C0417D"/>
    <w:p w14:paraId="6B112A49" w14:textId="189765E5"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9D1CC0">
        <w:t xml:space="preserve"> generated when the domain was initialized (see below)</w:t>
      </w:r>
      <w:r>
        <w:t>.</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2"/>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CD53868"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7099BAC6"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000AD468" w:rsidR="00094435" w:rsidRDefault="000E136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soft key.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5619D706" w:rsidR="00BE031F" w:rsidRDefault="008E7E4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 xml:space="preserve">First, we compile the programs comprising simpleexample, namely </w:t>
      </w:r>
      <w:r w:rsidR="00BE031F" w:rsidRPr="00D15201">
        <w:rPr>
          <w:i/>
          <w:iCs/>
        </w:rPr>
        <w:t>simpledomainservice</w:t>
      </w:r>
      <w:r w:rsidR="00BE031F">
        <w:t xml:space="preserve">, </w:t>
      </w:r>
      <w:r w:rsidR="00BE031F" w:rsidRPr="00D15201">
        <w:rPr>
          <w:i/>
          <w:iCs/>
        </w:rPr>
        <w:t>simpleserver</w:t>
      </w:r>
      <w:r w:rsidR="00BE031F">
        <w:t xml:space="preserve">, and </w:t>
      </w:r>
      <w:r w:rsidR="00BE031F" w:rsidRPr="00D15201">
        <w:rPr>
          <w:i/>
          <w:iCs/>
        </w:rPr>
        <w:t>simpleclient</w:t>
      </w:r>
      <w:r w:rsidR="00BE031F">
        <w:t>.  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3D8EE854"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These build the images and puts them in </w:t>
      </w:r>
      <w:r w:rsidRPr="007C01FC">
        <w:rPr>
          <w:rFonts w:ascii="Courier New" w:hAnsi="Courier New" w:cs="Courier New"/>
        </w:rPr>
        <w:t>~/bin</w:t>
      </w:r>
      <w:r w:rsidR="00395D1F">
        <w:t>, provided you used the standard Go binary location</w:t>
      </w:r>
      <w:r>
        <w:t xml:space="preserve">.  Copy these files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6B566B0A"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run simpleexample,</w:t>
      </w:r>
      <w:r w:rsidR="007C01FC">
        <w:t xml:space="preserve"> </w:t>
      </w:r>
      <w:r>
        <w:t>we provide a number of scripts.  All the scripts should be run as root.  We</w:t>
      </w:r>
      <w:r w:rsidR="008E7E41">
        <w:t xml:space="preserve"> describe each step but we have collected 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simplexample after initializing the storage space and soft-key</w:t>
      </w:r>
      <w:r w:rsidR="00953ED1">
        <w:t xml:space="preserve">.  </w:t>
      </w:r>
      <w:r w:rsidR="00395D1F">
        <w:t>The remainder of this section describes the scripts used by runall.</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3"/>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77434EF" w14:textId="50C10548" w:rsidR="00B470A8" w:rsidRPr="00765E95" w:rsidRDefault="004665DD" w:rsidP="006B0D38">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 and</w:t>
      </w:r>
      <w:r w:rsidR="006B0D38">
        <w:t xml:space="preserve"> this is how our example is constructed.</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w:t>
      </w:r>
      <w:proofErr w:type="gramStart"/>
      <w:r>
        <w:rPr>
          <w:rFonts w:ascii="Courier New" w:hAnsi="Courier New" w:cs="Courier New"/>
          <w:sz w:val="20"/>
          <w:szCs w:val="20"/>
        </w:rPr>
        <w:t>/{</w:t>
      </w:r>
      <w:proofErr w:type="gramEnd"/>
      <w:r>
        <w:rPr>
          <w:rFonts w:ascii="Courier New" w:hAnsi="Courier New" w:cs="Courier New"/>
          <w:sz w:val="20"/>
          <w:szCs w:val="20"/>
        </w:rPr>
        <w:t>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xml:space="preserve">; this includes the template, tao prepared configuration </w:t>
      </w:r>
      <w:r w:rsidRPr="00502D36">
        <w:lastRenderedPageBreak/>
        <w:t>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66CA089B" w:rsidR="0071741D" w:rsidRPr="00502D36" w:rsidRDefault="002E299A" w:rsidP="00E13D76">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run si</w:t>
      </w:r>
      <w:r>
        <w:t>mpleexample,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w:t>
      </w:r>
      <w:r w:rsidRPr="00336D5E">
        <w:rPr>
          <w:rFonts w:ascii="Courier New" w:hAnsi="Courier New" w:cs="Courier New"/>
          <w:sz w:val="20"/>
          <w:szCs w:val="20"/>
        </w:rPr>
        <w:lastRenderedPageBreak/>
        <w:t>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26A537BE" w:rsidR="004A2D29" w:rsidRPr="00765E95" w:rsidRDefault="00EE4DD7" w:rsidP="00BB4572">
      <w:pPr>
        <w:ind w:left="360"/>
      </w:pPr>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0A04D0">
        <w:t>style of CloudProxy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lastRenderedPageBreak/>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lastRenderedPageBreak/>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 xml:space="preserve">on other Host Systems.  In fact, it is rather easy to accommodate all these circumstances, and many others, efficiently, securely and in most cases automatically </w:t>
      </w:r>
      <w:r w:rsidRPr="00D92643">
        <w:lastRenderedPageBreak/>
        <w:t>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lastRenderedPageBreak/>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lastRenderedPageBreak/>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123D400" w:rsidR="0047212C" w:rsidRDefault="0047212C" w:rsidP="00E84287">
      <w:pPr>
        <w:pStyle w:val="ListParagraph"/>
        <w:numPr>
          <w:ilvl w:val="0"/>
          <w:numId w:val="10"/>
        </w:numPr>
      </w:pPr>
      <w:r>
        <w:t xml:space="preserve">Write an awesome Cloudproxy based application and tell us and you </w:t>
      </w:r>
      <w:proofErr w:type="gramStart"/>
      <w:r>
        <w:t>friends</w:t>
      </w:r>
      <w:proofErr w:type="gramEnd"/>
      <w:r>
        <w:t xml:space="preserve">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w:t>
      </w:r>
      <w:proofErr w:type="gramStart"/>
      <w:r w:rsidR="00E13D76" w:rsidRPr="00421501">
        <w:rPr>
          <w:rFonts w:ascii="Courier New" w:hAnsi="Courier New" w:cs="Courier New"/>
          <w:sz w:val="20"/>
          <w:szCs w:val="20"/>
        </w:rPr>
        <w:t>).TrivialGuard</w:t>
      </w:r>
      <w:proofErr w:type="gramEnd"/>
      <w:r w:rsidR="00E13D76"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56A808B8"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1C5E3F3B" w:rsidR="00CD1644" w:rsidRDefault="00CD1644"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which provides root host implementations for </w:t>
      </w:r>
      <w:r>
        <w:t>Soft, TPM1.2 and TPM 2.0</w:t>
      </w:r>
      <w:r w:rsidR="008C48E0">
        <w:t xml:space="preserve"> Taos</w:t>
      </w:r>
      <w:r>
        <w:t>, stacked host implementations</w:t>
      </w:r>
      <w:r w:rsidR="008C48E0">
        <w:t xml:space="preserve"> (for example, the host in a VM hosted by a KVM based hypervisor)</w:t>
      </w:r>
      <w:r>
        <w:t xml:space="preserve">, </w:t>
      </w:r>
      <w:r w:rsidR="008C48E0">
        <w:t xml:space="preserve">the host side RPC for communicating with hosted systems and utilities, an </w:t>
      </w:r>
      <w:r>
        <w:t xml:space="preserve">interface to hardware roots like TPM 1.2 </w:t>
      </w:r>
      <w:r w:rsidR="008C48E0">
        <w:t>and</w:t>
      </w:r>
      <w:r>
        <w:t xml:space="preserve"> TPM 2.0</w:t>
      </w:r>
      <w:r w:rsidR="008C48E0">
        <w:t xml:space="preserve">, building and maintaining principal names (like the Tao Principal Name), an </w:t>
      </w:r>
      <w:r>
        <w:t>implementation for Attest, Seal, Unseal,</w:t>
      </w:r>
      <w:r w:rsidR="008C48E0">
        <w:t xml:space="preserve"> and GetRandom and it also maintains the domain information consisting of keys and certificates.  In addition, the Host isolates, measures and starts its Hosted Systems.  The Host implementation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5DB4944A"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This division 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18494E90"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Almost all of Cloudproxy is implemented in Go which is a (largely) type safe language.  Go also has nice compact independent cryptographic support libraries.  There are two exceptions to this: there are a number of support libraries written in C++ that allow you to write Hosted Systems in C++ (but you need to incorporate additional libraries like openssl) and a few utilities.</w:t>
      </w: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C485F37" w14:textId="46262E17" w:rsidR="00515349" w:rsidRDefault="00515349" w:rsidP="00D33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employs channels for communications</w:t>
      </w:r>
      <w:r w:rsidR="00D3370D">
        <w:t xml:space="preserve"> between a Host (e.g., </w:t>
      </w:r>
      <w:r w:rsidR="00D3370D" w:rsidRPr="00D3370D">
        <w:rPr>
          <w:i/>
          <w:iCs/>
        </w:rPr>
        <w:t>linux_host</w:t>
      </w:r>
      <w:r w:rsidR="00D3370D">
        <w:t>) and its Hosted Systems as well as communications between utilities to start programs (tao_launch) and the Host.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used for this purpose.</w:t>
      </w:r>
      <w:r w:rsidR="00D3370D">
        <w:t xml:space="preserve">  Hosts may also communicate to programs running on other machines, like the domain and attest services but it uses tcp sockets for this purpose.</w:t>
      </w:r>
      <w:r w:rsidR="00CA4C66">
        <w:t xml:space="preserve">  This is depicted below.</w:t>
      </w:r>
    </w:p>
    <w:p w14:paraId="17C6F15D" w14:textId="77777777" w:rsidR="00CA4C66" w:rsidRDefault="00CA4C66" w:rsidP="00D337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6F99E5DF" w:rsidR="00515349" w:rsidRPr="00322ACC" w:rsidRDefault="00CA4C66" w:rsidP="007D0B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files in </w:t>
      </w: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2787A57A" w14:textId="77777777" w:rsidR="00515349" w:rsidRPr="003B1935"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9E3FE55"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runs as root.  </w:t>
      </w:r>
    </w:p>
    <w:p w14:paraId="5AA0C185"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42CDF76"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r w:rsidRPr="000E3668">
        <w:rPr>
          <w:rFonts w:asciiTheme="minorBidi" w:hAnsiTheme="minorBidi" w:cstheme="minorBidi"/>
          <w:color w:val="auto"/>
        </w:rPr>
        <w:t>tao host start -tao_domain $DOMAIN -host linux_tao_host/ -pass xxx</w:t>
      </w:r>
    </w:p>
    <w:p w14:paraId="5204DD9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8858B0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hosted programs run as linux users, Linux process isolation provides isolation.</w:t>
      </w:r>
    </w:p>
    <w:p w14:paraId="26339197"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36525F9" w14:textId="77777777" w:rsidR="00515349" w:rsidRPr="000E3668"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0E3668">
        <w:rPr>
          <w:rFonts w:asciiTheme="minorBidi" w:hAnsiTheme="minorBidi" w:cstheme="minorBidi"/>
        </w:rPr>
        <w:t>sudo tao run -tao_domain $DOMAI</w:t>
      </w:r>
      <w:r>
        <w:rPr>
          <w:rFonts w:asciiTheme="minorBidi" w:hAnsiTheme="minorBidi" w:cstheme="minorBidi"/>
        </w:rPr>
        <w:t>N /Domains/SimpleDomainService</w:t>
      </w:r>
    </w:p>
    <w:p w14:paraId="620095B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7E5D08F6"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sidRPr="00542438">
        <w:rPr>
          <w:rFonts w:asciiTheme="minorBidi" w:hAnsiTheme="minorBidi" w:cstheme="minorBidi"/>
          <w:b/>
          <w:bCs/>
        </w:rPr>
        <w:t>:</w:t>
      </w:r>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2BE920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542438">
        <w:rPr>
          <w:rFonts w:asciiTheme="minorBidi" w:hAnsiTheme="minorBidi" w:cstheme="minorBidi"/>
          <w:b/>
          <w:bCs/>
        </w:rPr>
        <w:t>:</w:t>
      </w:r>
      <w:r w:rsidR="00274F41" w:rsidRPr="00274F41">
        <w:t xml:space="preserve"> </w:t>
      </w:r>
      <w:r w:rsidR="00542438">
        <w:rPr>
          <w:rFonts w:asciiTheme="minorBidi" w:hAnsiTheme="minorBidi" w:cstheme="minorBidi"/>
        </w:rPr>
        <w:t xml:space="preserve">defines protos that describe </w:t>
      </w:r>
      <w:r w:rsidR="00274F41" w:rsidRPr="00274F41">
        <w:t>Linux rpc message formats. LinuxHostAdminRPCRequest, LinuxHostAdminRPCResponse, 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18822D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sidRPr="00542438">
        <w:rPr>
          <w:rFonts w:asciiTheme="minorBidi" w:hAnsiTheme="minorBidi" w:cstheme="minorBidi"/>
          <w:b/>
          <w:bCs/>
        </w:rPr>
        <w:t>:</w:t>
      </w:r>
      <w:r w:rsidR="006934C0">
        <w:rPr>
          <w:rFonts w:asciiTheme="minorBidi" w:hAnsiTheme="minorBidi" w:cstheme="minorBidi"/>
        </w:rPr>
        <w:t xml:space="preserve"> </w:t>
      </w:r>
      <w:r w:rsidR="00542438">
        <w:rPr>
          <w:rFonts w:asciiTheme="minorBidi" w:hAnsiTheme="minorBidi" w:cstheme="minorBidi"/>
        </w:rPr>
        <w:t xml:space="preserve">defines protos that describe </w:t>
      </w:r>
      <w:r w:rsidR="00542438">
        <w:rPr>
          <w:rFonts w:asciiTheme="minorBidi" w:hAnsiTheme="minorBidi" w:cstheme="minorBidi"/>
        </w:rPr>
        <w:t>an ACL entries and a</w:t>
      </w:r>
      <w:r w:rsidR="006934C0" w:rsidRPr="006934C0">
        <w:rPr>
          <w:rFonts w:asciiTheme="minorBidi" w:hAnsiTheme="minorBidi" w:cstheme="minorBidi"/>
        </w:rPr>
        <w:t xml:space="preserve"> set of ACL entries </w:t>
      </w:r>
      <w:r w:rsidR="006934C0" w:rsidRPr="006934C0">
        <w:rPr>
          <w:rFonts w:asciiTheme="minorBidi" w:hAnsiTheme="minorBidi" w:cstheme="minorBidi"/>
        </w:rPr>
        <w:lastRenderedPageBreak/>
        <w:t>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527A81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domain.proto</w:t>
      </w:r>
      <w:proofErr w:type="gramEnd"/>
      <w:r w:rsidR="006149BE" w:rsidRPr="00542438">
        <w:rPr>
          <w:rFonts w:asciiTheme="minorBidi" w:hAnsiTheme="minorBidi" w:cstheme="minorBidi"/>
          <w:b/>
          <w:bCs/>
        </w:rPr>
        <w:t>:</w:t>
      </w:r>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6D679A5F"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i/>
          <w:iCs/>
        </w:rPr>
        <w:t>rpc.proto</w:t>
      </w:r>
      <w:proofErr w:type="gramEnd"/>
      <w:r w:rsidR="00274F41" w:rsidRPr="00542438">
        <w:rPr>
          <w:rFonts w:asciiTheme="minorBidi" w:hAnsiTheme="minorBidi" w:cstheme="minorBidi"/>
          <w:b/>
          <w:bCs/>
          <w:i/>
          <w:iCs/>
        </w:rPr>
        <w:t>:</w:t>
      </w:r>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58B317BA"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sidRPr="00542438">
        <w:rPr>
          <w:rFonts w:asciiTheme="minorBidi" w:hAnsiTheme="minorBidi" w:cstheme="minorBidi"/>
          <w:b/>
          <w:bCs/>
        </w:rPr>
        <w:t>:</w:t>
      </w:r>
      <w:r w:rsidR="006934C0">
        <w:rPr>
          <w:rFonts w:asciiTheme="minorBidi" w:hAnsiTheme="minorBidi" w:cstheme="minorBidi"/>
        </w:rPr>
        <w:t xml:space="preserve"> </w:t>
      </w:r>
      <w:r w:rsidR="00542438">
        <w:rPr>
          <w:rFonts w:asciiTheme="minorBidi" w:hAnsiTheme="minorBidi" w:cstheme="minorBidi"/>
        </w:rPr>
        <w:t>defines protos that describe</w:t>
      </w:r>
      <w:r w:rsidR="00542438">
        <w:rPr>
          <w:rFonts w:asciiTheme="minorBidi" w:hAnsiTheme="minorBidi" w:cstheme="minorBidi"/>
        </w:rPr>
        <w:t xml:space="preserve"> an</w:t>
      </w:r>
      <w:r w:rsidR="006934C0" w:rsidRPr="006934C0">
        <w:t xml:space="preserve"> Attestation </w:t>
      </w:r>
      <w:r w:rsidR="00542438">
        <w:t>consisting of</w:t>
      </w:r>
      <w:r w:rsidR="006934C0" w:rsidRPr="006934C0">
        <w:t xml:space="preserve"> a key, a signature, and a statement, and it conveys:</w:t>
      </w:r>
      <w:r w:rsidR="006149BE">
        <w:t xml:space="preserve"> </w:t>
      </w:r>
      <w:r w:rsidR="006934C0" w:rsidRPr="006934C0">
        <w:t>signer says statement</w:t>
      </w:r>
      <w:r w:rsidR="006149BE">
        <w:t xml:space="preserve"> like</w:t>
      </w:r>
      <w:r w:rsidR="006934C0" w:rsidRPr="006934C0">
        <w:t xml:space="preserve">   signer says (issuer from time until exp says message)</w:t>
      </w:r>
      <w:r w:rsidR="006149BE">
        <w:t xml:space="preserve">.  </w:t>
      </w:r>
      <w:r w:rsidR="006934C0" w:rsidRPr="006934C0">
        <w:t>A valid Attestation encodes a public key</w:t>
      </w:r>
      <w:r w:rsidR="0051534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094B3D9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sidRPr="00542438">
        <w:rPr>
          <w:rFonts w:asciiTheme="minorBidi" w:hAnsiTheme="minorBidi" w:cstheme="minorBidi"/>
          <w:b/>
          <w:bCs/>
        </w:rPr>
        <w:t>:</w:t>
      </w:r>
      <w:r w:rsidR="006149BE">
        <w:rPr>
          <w:rFonts w:asciiTheme="minorBidi" w:hAnsiTheme="minorBidi" w:cstheme="minorBidi"/>
        </w:rPr>
        <w:t xml:space="preserve"> </w:t>
      </w:r>
      <w:r w:rsidR="00542438">
        <w:rPr>
          <w:rFonts w:asciiTheme="minorBidi" w:hAnsiTheme="minorBidi" w:cstheme="minorBidi"/>
        </w:rPr>
        <w:t xml:space="preserve">defines protos </w:t>
      </w:r>
      <w:r w:rsidR="00542438">
        <w:rPr>
          <w:rFonts w:asciiTheme="minorBidi" w:hAnsiTheme="minorBidi" w:cstheme="minorBidi"/>
        </w:rPr>
        <w:t>for</w:t>
      </w:r>
      <w:r w:rsidR="00542438">
        <w:rPr>
          <w:rFonts w:asciiTheme="minorBidi" w:hAnsiTheme="minorBidi" w:cstheme="minorBidi"/>
        </w:rPr>
        <w:t xml:space="preserve"> </w:t>
      </w:r>
      <w:r w:rsidR="006149BE">
        <w:rPr>
          <w:rFonts w:asciiTheme="minorBidi" w:hAnsiTheme="minorBidi" w:cstheme="minorBidi"/>
        </w:rPr>
        <w:t xml:space="preserve">cryptographic data support </w:t>
      </w:r>
      <w:r w:rsidR="006149BE" w:rsidRPr="006149BE">
        <w:rPr>
          <w:rFonts w:asciiTheme="minorBidi" w:hAnsiTheme="minorBidi" w:cstheme="minorBidi"/>
        </w:rPr>
        <w:t>including CryptoKey, CryptoAlgorithm enums, a CryptoKeySet consisting of a CryptoKey and a attestation.  Standard curves and parameters, ECDSA, RSA key structures, Cipher mode structures including EncryptedData formats containing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26859FEC"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i/>
          <w:iCs/>
        </w:rPr>
        <w:t>tpm_</w:t>
      </w:r>
      <w:proofErr w:type="gramStart"/>
      <w:r w:rsidRPr="00542438">
        <w:rPr>
          <w:rFonts w:asciiTheme="minorBidi" w:hAnsiTheme="minorBidi" w:cstheme="minorBidi"/>
          <w:b/>
          <w:bCs/>
          <w:i/>
          <w:iCs/>
        </w:rPr>
        <w:t>tao.proto</w:t>
      </w:r>
      <w:proofErr w:type="gramEnd"/>
      <w:r w:rsidR="00274F41" w:rsidRPr="00542438">
        <w:rPr>
          <w:rFonts w:asciiTheme="minorBidi" w:hAnsiTheme="minorBidi" w:cstheme="minorBidi"/>
          <w:b/>
          <w:bCs/>
          <w:i/>
          <w:iCs/>
        </w:rPr>
        <w:t>:</w:t>
      </w:r>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24976AB4"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linux_host.proto</w:t>
      </w:r>
      <w:r w:rsidR="00274F41" w:rsidRPr="00274F41">
        <w:rPr>
          <w:rFonts w:asciiTheme="minorBidi" w:hAnsiTheme="minorBidi" w:cstheme="minorBidi"/>
          <w:i/>
          <w:iCs/>
        </w:rPr>
        <w:t>:</w:t>
      </w:r>
      <w:r w:rsidR="00542438" w:rsidRPr="00542438">
        <w:rPr>
          <w:rFonts w:asciiTheme="minorBidi" w:hAnsiTheme="minorBidi" w:cstheme="minorBidi"/>
        </w:rPr>
        <w:t xml:space="preserve"> </w:t>
      </w:r>
      <w:r w:rsidR="00542438">
        <w:rPr>
          <w:rFonts w:asciiTheme="minorBidi" w:hAnsiTheme="minorBidi" w:cstheme="minorBidi"/>
        </w:rPr>
        <w:t>defines protos that describe</w:t>
      </w:r>
      <w:bookmarkStart w:id="0" w:name="_GoBack"/>
      <w:bookmarkEnd w:id="0"/>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03DB51E" w14:textId="4CAE6287" w:rsidR="00C40441" w:rsidRPr="00B565ED"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A5A0CC6"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2A14E18"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Tao data: </w:t>
      </w:r>
    </w:p>
    <w:p w14:paraId="613DE9AD"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t>linux_tao_host</w:t>
      </w:r>
    </w:p>
    <w:p w14:paraId="1F3A6E76"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Pr>
          <w:rFonts w:asciiTheme="minorBidi" w:hAnsiTheme="minorBidi" w:cstheme="minorBidi"/>
        </w:rPr>
        <w:tab/>
        <w:t>admin_socket</w:t>
      </w:r>
    </w:p>
    <w:p w14:paraId="1FAC6BD4"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Pr>
          <w:rFonts w:asciiTheme="minorBidi" w:hAnsiTheme="minorBidi" w:cstheme="minorBidi"/>
        </w:rPr>
        <w:tab/>
        <w:t>cert</w:t>
      </w:r>
    </w:p>
    <w:p w14:paraId="34B15804"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Pr>
          <w:rFonts w:asciiTheme="minorBidi" w:hAnsiTheme="minorBidi" w:cstheme="minorBidi"/>
        </w:rPr>
        <w:tab/>
        <w:t>host.config</w:t>
      </w:r>
    </w:p>
    <w:p w14:paraId="128A6D8B" w14:textId="77777777" w:rsidR="005B75AB" w:rsidRPr="0059265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Pr>
          <w:rFonts w:asciiTheme="minorBidi" w:hAnsiTheme="minorBidi" w:cstheme="minorBidi"/>
        </w:rPr>
        <w:tab/>
      </w:r>
      <w:r w:rsidRPr="0059265B">
        <w:rPr>
          <w:rFonts w:asciiTheme="minorBidi" w:hAnsiTheme="minorBidi" w:cstheme="minorBidi"/>
        </w:rPr>
        <w:t>keys</w:t>
      </w:r>
    </w:p>
    <w:p w14:paraId="63992A09" w14:textId="77777777" w:rsidR="005B75AB" w:rsidRPr="0059265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Pr="0059265B">
        <w:rPr>
          <w:rFonts w:asciiTheme="minorBidi" w:hAnsiTheme="minorBidi" w:cstheme="minorBidi"/>
        </w:rPr>
        <w:t>rules</w:t>
      </w:r>
    </w:p>
    <w:p w14:paraId="05EE927C"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SimpleClientCpp</w:t>
      </w:r>
    </w:p>
    <w:p w14:paraId="2C765226"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ab/>
        <w:t>retrieved_secret</w:t>
      </w:r>
    </w:p>
    <w:p w14:paraId="523A50FF"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ab/>
        <w:t>sealedsigningKey</w:t>
      </w:r>
    </w:p>
    <w:p w14:paraId="224234A2"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ab/>
        <w:t>sealedsymmetricKey</w:t>
      </w:r>
    </w:p>
    <w:p w14:paraId="60E9F734" w14:textId="77777777" w:rsidR="005B75AB" w:rsidRPr="0059265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ab/>
      </w:r>
      <w:r w:rsidRPr="0059265B">
        <w:rPr>
          <w:rFonts w:asciiTheme="minorBidi" w:hAnsiTheme="minorBidi" w:cstheme="minorBidi"/>
        </w:rPr>
        <w:t>signerCert</w:t>
      </w:r>
    </w:p>
    <w:p w14:paraId="0ABD6341"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SimpleClient</w:t>
      </w:r>
    </w:p>
    <w:p w14:paraId="1E957488"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ab/>
        <w:t>SimpleServer</w:t>
      </w:r>
    </w:p>
    <w:p w14:paraId="66A4368F"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policy_keys</w:t>
      </w:r>
    </w:p>
    <w:p w14:paraId="44CDEBC8" w14:textId="77777777" w:rsidR="005B75AB" w:rsidRPr="0059265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9265B">
        <w:rPr>
          <w:rFonts w:asciiTheme="minorBidi" w:hAnsiTheme="minorBidi" w:cstheme="minorBidi"/>
        </w:rPr>
        <w:t>tao.config</w:t>
      </w:r>
    </w:p>
    <w:p w14:paraId="2ADB3DB6"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 principals</w:t>
      </w:r>
    </w:p>
    <w:p w14:paraId="37DB31BB"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Implementing services: starthostedPrograms, list hosted programs, kill hosted programs, seal, unseal, attest, getrandom</w:t>
      </w:r>
    </w:p>
    <w:p w14:paraId="6F0F98C4" w14:textId="77777777" w:rsidR="005B75AB" w:rsidRDefault="005B75AB" w:rsidP="005B7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Teardown, key erasure</w:t>
      </w:r>
    </w:p>
    <w:p w14:paraId="44647C22" w14:textId="77777777" w:rsidR="005B75AB" w:rsidRDefault="005B75A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A8EFB4" w14:textId="77777777" w:rsidR="00C40441" w:rsidRPr="008662DA"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w:t>
      </w:r>
      <w:r w:rsidRPr="008662DA">
        <w:rPr>
          <w:rFonts w:asciiTheme="minorBidi" w:hAnsiTheme="minorBidi" w:cstheme="minorBidi"/>
        </w:rPr>
        <w:t>pps/tao_admin</w:t>
      </w:r>
    </w:p>
    <w:p w14:paraId="4B00BC42"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431128"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Generating the policy key</w:t>
      </w:r>
    </w:p>
    <w:p w14:paraId="05F61BED"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9A1842"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564AB">
        <w:t>Tao.go</w:t>
      </w:r>
    </w:p>
    <w:p w14:paraId="2BA1688E"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70CAA5" w14:textId="7EBEC75B" w:rsidR="004249A1" w:rsidRDefault="00E142AE"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Domain initialization: policy key, host rules</w:t>
      </w:r>
      <w:r w:rsidR="00C00826">
        <w:t>, /Domains/domain.simpleexample</w:t>
      </w:r>
      <w:r w:rsidR="004249A1">
        <w:t>/policy_keys</w:t>
      </w:r>
    </w:p>
    <w:p w14:paraId="09CC9676" w14:textId="77777777" w:rsidR="00E142AE" w:rsidRDefault="00E142A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D06ED8B" w14:textId="556C828A" w:rsidR="00E142AE" w:rsidRDefault="000F34F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Initialize host</w:t>
      </w:r>
      <w:r w:rsidR="00E142AE">
        <w:t>: soft-key, tpm-AIK, tpm2-quotekey</w:t>
      </w:r>
    </w:p>
    <w:p w14:paraId="342C837C" w14:textId="77777777" w:rsidR="004249A1" w:rsidRDefault="004249A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BD0E34" w14:textId="0A37A54A" w:rsidR="004249A1" w:rsidRPr="004249A1" w:rsidRDefault="004249A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4249A1">
        <w:rPr>
          <w:rFonts w:asciiTheme="minorBidi" w:hAnsiTheme="minorBidi" w:cstheme="minorBidi"/>
        </w:rPr>
        <w:t>Keys, cert, admin_socket</w:t>
      </w:r>
    </w:p>
    <w:p w14:paraId="52F53DF9"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1393F22" w14:textId="77777777" w:rsid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0E3668">
        <w:rPr>
          <w:rFonts w:asciiTheme="minorBidi" w:hAnsiTheme="minorBidi" w:cstheme="minorBidi"/>
        </w:rPr>
        <w:t>tao domain init -tao_domain $DOMAIN -config_template $TEMPLATE -pub_domain_address "127.0.0.1" -pass xxx</w:t>
      </w:r>
    </w:p>
    <w:p w14:paraId="2C37B02D"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24486395" w14:textId="77777777" w:rsidR="00C40441" w:rsidRPr="000E3668"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0E3668">
        <w:rPr>
          <w:rFonts w:asciiTheme="minorBidi" w:hAnsiTheme="minorBidi" w:cstheme="minorBidi"/>
        </w:rPr>
        <w:t>tao domain policy -add_host -add_programs -add_lin</w:t>
      </w:r>
      <w:r>
        <w:rPr>
          <w:rFonts w:asciiTheme="minorBidi" w:hAnsiTheme="minorBidi" w:cstheme="minorBidi"/>
        </w:rPr>
        <w:t xml:space="preserve">ux_host -add_guard -tao_domain </w:t>
      </w:r>
      <w:r w:rsidRPr="000E3668">
        <w:rPr>
          <w:rFonts w:asciiTheme="minorBidi" w:hAnsiTheme="minorBidi" w:cstheme="minorBidi"/>
        </w:rPr>
        <w:t>$DOMAIN -pass xxx -config_template $TEMPLATE</w:t>
      </w:r>
    </w:p>
    <w:p w14:paraId="082110AB"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59FAE914" w14:textId="1F1A5AA8" w:rsidR="00E142AE" w:rsidRPr="00D73955" w:rsidRDefault="00C40441" w:rsidP="00D739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C8F5B9"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AFF314" w14:textId="4B0D2D37" w:rsidR="000E3668" w:rsidRP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0E3668">
        <w:rPr>
          <w:rFonts w:asciiTheme="minorBidi" w:hAnsiTheme="minorBidi" w:cstheme="minorBidi"/>
        </w:rPr>
        <w:t>tao domain policy -add_host -add_programs -add_lin</w:t>
      </w:r>
      <w:r>
        <w:rPr>
          <w:rFonts w:asciiTheme="minorBidi" w:hAnsiTheme="minorBidi" w:cstheme="minorBidi"/>
        </w:rPr>
        <w:t xml:space="preserve">ux_host -add_guard -tao_domain </w:t>
      </w:r>
      <w:r w:rsidRPr="000E3668">
        <w:rPr>
          <w:rFonts w:asciiTheme="minorBidi" w:hAnsiTheme="minorBidi" w:cstheme="minorBidi"/>
        </w:rPr>
        <w:t>$DOMAIN -pass xxx -config_template $TEMPLATE</w:t>
      </w:r>
    </w:p>
    <w:p w14:paraId="64CC7D87"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246BB6" w14:textId="638DFA79"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0E3668">
        <w:rPr>
          <w:rFonts w:asciiTheme="minorBidi" w:hAnsiTheme="minorBidi" w:cstheme="minorBidi"/>
        </w:rPr>
        <w:t>tao domain init -tao_domain $DOMAIN -config_template $TEMPLATE -pub_domain_address "127.0.0.1" -pass xxx</w:t>
      </w:r>
    </w:p>
    <w:p w14:paraId="538C86FF"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5123D3AE" w14:textId="61AF2482" w:rsidR="000E3668" w:rsidRP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0E3668">
        <w:rPr>
          <w:rFonts w:asciiTheme="minorBidi" w:hAnsiTheme="minorBidi" w:cstheme="minorBidi"/>
        </w:rPr>
        <w:t>sudo tao run -tao_domain $DOMAI</w:t>
      </w:r>
      <w:r w:rsidR="00A20D21">
        <w:rPr>
          <w:rFonts w:asciiTheme="minorBidi" w:hAnsiTheme="minorBidi" w:cstheme="minorBidi"/>
        </w:rPr>
        <w:t>N /Domains/SimpleDomainService</w:t>
      </w:r>
    </w:p>
    <w:p w14:paraId="13F88574" w14:textId="77777777" w:rsidR="000E3668" w:rsidRPr="00E3183F"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57AB28E" w14:textId="77777777" w:rsidR="000E3668" w:rsidRDefault="000E3668"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734182F1"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2312A559" w14:textId="6067562C"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7761CDCB"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66CBD9C" w14:textId="33DE3E4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DomainConfig</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4391FE7" w14:textId="6AD3AA9D"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Pr>
          <w:rFonts w:asciiTheme="minorBidi" w:hAnsiTheme="minorBidi" w:cstheme="minorBidi"/>
        </w:rPr>
        <w:t>domain keys, guard</w:t>
      </w:r>
    </w:p>
    <w:p w14:paraId="6F6F7641" w14:textId="3D3ACF8D"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roofErr w:type="gramStart"/>
      <w:r w:rsidRPr="000F437A">
        <w:rPr>
          <w:rFonts w:ascii="Courier New" w:hAnsi="Courier New" w:cs="Courier New"/>
          <w:sz w:val="20"/>
          <w:szCs w:val="20"/>
        </w:rPr>
        <w:t>SetDefaults(</w:t>
      </w:r>
      <w:proofErr w:type="gramEnd"/>
      <w:r w:rsidRPr="000F437A">
        <w:rPr>
          <w:rFonts w:ascii="Courier New" w:hAnsi="Courier New" w:cs="Courier New"/>
          <w:sz w:val="20"/>
          <w:szCs w:val="20"/>
        </w:rPr>
        <w:t>)</w:t>
      </w:r>
    </w:p>
    <w:p w14:paraId="35AE1321" w14:textId="6B7C208E"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p>
    <w:p w14:paraId="385F14E1" w14:textId="77777777" w:rsidR="003B1935" w:rsidRDefault="000F437A" w:rsidP="000F437A">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line="240" w:lineRule="auto"/>
        <w:rPr>
          <w:rFonts w:asciiTheme="minorBidi" w:hAnsiTheme="minorBidi" w:cstheme="minorBidi"/>
        </w:rPr>
      </w:pP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 error:</w:t>
      </w:r>
      <w:r>
        <w:rPr>
          <w:rFonts w:ascii="Menlo" w:hAnsi="Menlo" w:cs="Menlo"/>
        </w:rPr>
        <w:t xml:space="preserve"> </w:t>
      </w:r>
      <w:r w:rsidRPr="000F437A">
        <w:rPr>
          <w:rFonts w:asciiTheme="minorBidi" w:hAnsiTheme="minorBidi" w:cstheme="minorBidi"/>
        </w:rPr>
        <w:t>ExtendTaoName uses a Domain's Verifying key to extend the Tao with a</w:t>
      </w:r>
      <w:r>
        <w:rPr>
          <w:rFonts w:asciiTheme="minorBidi" w:hAnsiTheme="minorBidi" w:cstheme="minorBidi"/>
        </w:rPr>
        <w:t xml:space="preserve"> </w:t>
      </w:r>
      <w:r w:rsidRPr="000F437A">
        <w:rPr>
          <w:rFonts w:asciiTheme="minorBidi" w:hAnsiTheme="minorBidi" w:cstheme="minorBidi"/>
        </w:rPr>
        <w:t>subprincipal PolicyKey([...]).</w:t>
      </w:r>
      <w:r w:rsidRPr="000F437A">
        <w:rPr>
          <w:rFonts w:asciiTheme="minorBidi" w:hAnsiTheme="minorBidi" w:cstheme="minorBidi"/>
        </w:rPr>
        <w:tab/>
      </w:r>
    </w:p>
    <w:p w14:paraId="13F9E34C" w14:textId="4565DBC8" w:rsidR="000F437A" w:rsidRPr="003B1935" w:rsidRDefault="003B1935" w:rsidP="000F437A">
      <w:pPr>
        <w:widowControl w:val="0"/>
        <w:tabs>
          <w:tab w:val="left" w:pos="560"/>
          <w:tab w:val="left" w:pos="1120"/>
          <w:tab w:val="left" w:pos="1680"/>
          <w:tab w:val="left" w:pos="2240"/>
          <w:tab w:val="left" w:pos="2800"/>
          <w:tab w:val="left" w:pos="3360"/>
          <w:tab w:val="left" w:pos="3920"/>
          <w:tab w:val="left" w:pos="4480"/>
        </w:tabs>
        <w:autoSpaceDE w:val="0"/>
        <w:autoSpaceDN w:val="0"/>
        <w:adjustRightInd w:val="0"/>
        <w:spacing w:line="240" w:lineRule="auto"/>
        <w:rPr>
          <w:rFonts w:ascii="Courier New" w:hAnsi="Courier New" w:cs="Courier New"/>
          <w:sz w:val="20"/>
          <w:szCs w:val="20"/>
        </w:rPr>
      </w:pPr>
      <w:r w:rsidRPr="003B1935">
        <w:rPr>
          <w:rFonts w:ascii="Courier New" w:hAnsi="Courier New" w:cs="Courier New"/>
          <w:sz w:val="20"/>
          <w:szCs w:val="20"/>
        </w:rPr>
        <w:t>RulesPath</w:t>
      </w:r>
      <w:r w:rsidR="000F437A" w:rsidRPr="003B1935">
        <w:rPr>
          <w:rFonts w:ascii="Courier New" w:hAnsi="Courier New" w:cs="Courier New"/>
          <w:sz w:val="20"/>
          <w:szCs w:val="20"/>
        </w:rPr>
        <w:tab/>
      </w:r>
      <w:r w:rsidR="000F437A" w:rsidRPr="003B1935">
        <w:rPr>
          <w:rFonts w:ascii="Courier New" w:hAnsi="Courier New" w:cs="Courier New"/>
          <w:sz w:val="20"/>
          <w:szCs w:val="20"/>
        </w:rPr>
        <w:tab/>
      </w:r>
    </w:p>
    <w:p w14:paraId="1ED03C8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1F42685" w14:textId="77777777" w:rsidR="00E3183F" w:rsidRPr="00A20D21"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1B460C13" w:rsidR="00E3183F" w:rsidRPr="00E3183F" w:rsidRDefault="00CA4C6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4FE9282" w14:textId="3AA9A63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p>
    <w:p w14:paraId="50406385" w14:textId="77777777" w:rsidR="00E3183F" w:rsidRDefault="00E3183F"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595E31D8" w14:textId="77777777" w:rsidR="00CA4C66" w:rsidRPr="00CA4C66" w:rsidRDefault="00CA4C6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1DD4F94" w14:textId="53543942"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roofErr w:type="gramStart"/>
      <w:r w:rsidRPr="00B565ED">
        <w:rPr>
          <w:b/>
          <w:bCs/>
          <w:sz w:val="24"/>
          <w:szCs w:val="24"/>
        </w:rPr>
        <w:t>Linux  support</w:t>
      </w:r>
      <w:proofErr w:type="gramEnd"/>
    </w:p>
    <w:p w14:paraId="12F8D9EC"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363B64E" w14:textId="0618AEF1" w:rsidR="000E3668" w:rsidRPr="000E3668" w:rsidRDefault="000E3668" w:rsidP="000E3668">
      <w:pPr>
        <w:widowControl w:val="0"/>
        <w:autoSpaceDE w:val="0"/>
        <w:autoSpaceDN w:val="0"/>
        <w:adjustRightInd w:val="0"/>
        <w:spacing w:after="240" w:line="340" w:lineRule="atLeast"/>
        <w:ind w:left="720"/>
        <w:rPr>
          <w:rFonts w:asciiTheme="minorBidi" w:hAnsiTheme="minorBidi" w:cstheme="minorBidi"/>
          <w:color w:val="auto"/>
        </w:rPr>
      </w:pPr>
      <w:r w:rsidRPr="000E3668">
        <w:rPr>
          <w:rFonts w:asciiTheme="minorBidi" w:hAnsiTheme="minorBidi" w:cstheme="minorBidi"/>
          <w:color w:val="auto"/>
        </w:rPr>
        <w:t xml:space="preserve">tao host run </w:t>
      </w:r>
      <w:r w:rsidRPr="000E3668">
        <w:rPr>
          <w:rFonts w:asciiTheme="minorBidi" w:hAnsiTheme="minorBidi" w:cstheme="minorBidi"/>
        </w:rPr>
        <w:t>-tao_domain $DOMAIN -host linux_tao_host -pass xxx</w:t>
      </w:r>
    </w:p>
    <w:p w14:paraId="18AB100D" w14:textId="77777777" w:rsidR="000E3668" w:rsidRDefault="000E3668" w:rsidP="000E3668">
      <w:pPr>
        <w:widowControl w:val="0"/>
        <w:autoSpaceDE w:val="0"/>
        <w:autoSpaceDN w:val="0"/>
        <w:adjustRightInd w:val="0"/>
        <w:spacing w:after="240" w:line="300" w:lineRule="atLeast"/>
        <w:ind w:left="720"/>
        <w:rPr>
          <w:rFonts w:asciiTheme="minorBidi" w:hAnsiTheme="minorBidi" w:cstheme="minorBidi"/>
          <w:color w:val="auto"/>
        </w:rPr>
      </w:pPr>
      <w:r w:rsidRPr="000E3668">
        <w:rPr>
          <w:rFonts w:asciiTheme="minorBidi" w:hAnsiTheme="minorBidi" w:cstheme="minorBidi"/>
          <w:color w:val="auto"/>
        </w:rPr>
        <w:t xml:space="preserve">tao host init -tao_domain $DOMAIN -hosting process -stacked - parent_type tpm </w:t>
      </w:r>
    </w:p>
    <w:p w14:paraId="690BB5FC" w14:textId="01517A30" w:rsidR="000E3668" w:rsidRPr="000E3668" w:rsidRDefault="000E3668" w:rsidP="000E3668">
      <w:pPr>
        <w:widowControl w:val="0"/>
        <w:autoSpaceDE w:val="0"/>
        <w:autoSpaceDN w:val="0"/>
        <w:adjustRightInd w:val="0"/>
        <w:spacing w:after="240" w:line="300" w:lineRule="atLeast"/>
        <w:ind w:left="720"/>
        <w:rPr>
          <w:rFonts w:asciiTheme="minorBidi" w:hAnsiTheme="minorBidi" w:cstheme="minorBidi"/>
          <w:color w:val="auto"/>
        </w:rPr>
      </w:pPr>
      <w:r w:rsidRPr="000E3668">
        <w:rPr>
          <w:rFonts w:asciiTheme="minorBidi" w:hAnsiTheme="minorBidi" w:cstheme="minorBidi"/>
          <w:color w:val="auto"/>
        </w:rPr>
        <w:t>tao host start -tao_domain $DOMAIN -host linux_tao_host/ -pass xxx</w:t>
      </w:r>
      <w:r w:rsidRPr="000E3668">
        <w:rPr>
          <w:rFonts w:ascii="MS Mincho" w:eastAsia="MS Mincho" w:hAnsi="MS Mincho" w:cs="MS Mincho"/>
          <w:color w:val="auto"/>
        </w:rPr>
        <w:t> </w:t>
      </w:r>
    </w:p>
    <w:p w14:paraId="6FCCF079" w14:textId="1FE943B6" w:rsidR="000E3668" w:rsidRP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93D5A6C" w14:textId="117B80D8" w:rsidR="009A4B30" w:rsidRPr="007D0BC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linux_</w:t>
      </w:r>
      <w:proofErr w:type="gramStart"/>
      <w:r w:rsidRPr="007D0BC0">
        <w:rPr>
          <w:rFonts w:ascii="Courier New" w:hAnsi="Courier New" w:cs="Courier New"/>
          <w:sz w:val="20"/>
          <w:szCs w:val="20"/>
        </w:rPr>
        <w:t>host.go</w:t>
      </w:r>
      <w:proofErr w:type="gramEnd"/>
    </w:p>
    <w:p w14:paraId="5799B46E" w14:textId="21ACE4F1" w:rsidR="009A4B30" w:rsidRPr="007D0BC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linux_process_</w:t>
      </w:r>
      <w:proofErr w:type="gramStart"/>
      <w:r w:rsidRPr="007D0BC0">
        <w:rPr>
          <w:rFonts w:ascii="Courier New" w:hAnsi="Courier New" w:cs="Courier New"/>
          <w:sz w:val="20"/>
          <w:szCs w:val="20"/>
        </w:rPr>
        <w:t>factory.go</w:t>
      </w:r>
      <w:proofErr w:type="gramEnd"/>
    </w:p>
    <w:p w14:paraId="6CDCE3F6"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38FD79C" w14:textId="77777777"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r w:rsidRPr="00B565ED">
        <w:rPr>
          <w:rFonts w:asciiTheme="minorBidi" w:hAnsiTheme="minorBidi" w:cstheme="minorBidi"/>
          <w:b/>
          <w:bCs/>
          <w:sz w:val="24"/>
          <w:szCs w:val="24"/>
        </w:rPr>
        <w:t>KVM support</w:t>
      </w:r>
    </w:p>
    <w:p w14:paraId="4A4365CB"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4C783D25" w14:textId="3BCEA1D6" w:rsidR="00A564AB" w:rsidRPr="007D0BC0"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kvm_coreos_</w:t>
      </w:r>
      <w:proofErr w:type="gramStart"/>
      <w:r w:rsidRPr="007D0BC0">
        <w:rPr>
          <w:rFonts w:ascii="Courier New" w:hAnsi="Courier New" w:cs="Courier New"/>
          <w:sz w:val="20"/>
          <w:szCs w:val="20"/>
        </w:rPr>
        <w:t>factory.go</w:t>
      </w:r>
      <w:proofErr w:type="gramEnd"/>
    </w:p>
    <w:p w14:paraId="01237014" w14:textId="77777777" w:rsidR="00A564AB" w:rsidRPr="00A564AB" w:rsidRDefault="00A564AB"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876927" w14:textId="104F38D1"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sz w:val="24"/>
          <w:szCs w:val="24"/>
        </w:rPr>
      </w:pPr>
      <w:r w:rsidRPr="00B565ED">
        <w:rPr>
          <w:rFonts w:asciiTheme="minorBidi" w:hAnsiTheme="minorBidi" w:cstheme="minorBidi"/>
          <w:b/>
          <w:bCs/>
          <w:sz w:val="24"/>
          <w:szCs w:val="24"/>
        </w:rPr>
        <w:t>Docker support</w:t>
      </w:r>
    </w:p>
    <w:p w14:paraId="58D9A58E" w14:textId="77777777"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B0539EB" w14:textId="77777777" w:rsidR="009A4B30" w:rsidRPr="007D0BC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7D0BC0">
        <w:rPr>
          <w:rFonts w:ascii="Courier New" w:hAnsi="Courier New" w:cs="Courier New"/>
          <w:sz w:val="20"/>
          <w:szCs w:val="20"/>
        </w:rPr>
        <w:t>linux_docker_container_</w:t>
      </w:r>
      <w:proofErr w:type="gramStart"/>
      <w:r w:rsidRPr="007D0BC0">
        <w:rPr>
          <w:rFonts w:ascii="Courier New" w:hAnsi="Courier New" w:cs="Courier New"/>
          <w:sz w:val="20"/>
          <w:szCs w:val="20"/>
        </w:rPr>
        <w:t>factory.go</w:t>
      </w:r>
      <w:proofErr w:type="gramEnd"/>
    </w:p>
    <w:p w14:paraId="712246DB" w14:textId="77777777" w:rsidR="009A4B30" w:rsidRP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6C190468" w14:textId="77777777" w:rsidR="009A4B30" w:rsidRDefault="009A4B30"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03BF9FBF" w14:textId="590E6E52"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p>
    <w:p w14:paraId="6DE382BE"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1140152" w14:textId="7D3A9797" w:rsidR="000E3668" w:rsidRPr="00D57E9D" w:rsidRDefault="000E3668"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D57E9D">
        <w:rPr>
          <w:rFonts w:asciiTheme="minorBidi" w:hAnsiTheme="minorBidi" w:cstheme="minorBidi"/>
        </w:rPr>
        <w:t>tao run -tao_domain $</w:t>
      </w:r>
      <w:proofErr w:type="gramStart"/>
      <w:r w:rsidRPr="00D57E9D">
        <w:rPr>
          <w:rFonts w:asciiTheme="minorBidi" w:hAnsiTheme="minorBidi" w:cstheme="minorBidi"/>
        </w:rPr>
        <w:t>DOMAIN  /</w:t>
      </w:r>
      <w:proofErr w:type="gramEnd"/>
      <w:r w:rsidRPr="00D57E9D">
        <w:rPr>
          <w:rFonts w:asciiTheme="minorBidi" w:hAnsiTheme="minorBidi" w:cstheme="minorBidi"/>
        </w:rPr>
        <w:t>Domains/SimpleServer –pass xxx</w:t>
      </w:r>
    </w:p>
    <w:p w14:paraId="20CAB75B" w14:textId="77777777" w:rsidR="00D57E9D" w:rsidRDefault="00D57E9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C1BAB5C" w14:textId="7733F5FB" w:rsidR="008662DA" w:rsidRPr="00803607"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Apps/tao_launch</w:t>
      </w:r>
      <w:r w:rsidR="00803607" w:rsidRPr="00803607">
        <w:rPr>
          <w:rFonts w:ascii="Courier New" w:hAnsi="Courier New" w:cs="Courier New"/>
          <w:sz w:val="20"/>
          <w:szCs w:val="20"/>
        </w:rPr>
        <w:t>/tao_</w:t>
      </w:r>
      <w:proofErr w:type="gramStart"/>
      <w:r w:rsidR="00803607" w:rsidRPr="00803607">
        <w:rPr>
          <w:rFonts w:ascii="Courier New" w:hAnsi="Courier New" w:cs="Courier New"/>
          <w:sz w:val="20"/>
          <w:szCs w:val="20"/>
        </w:rPr>
        <w:t>launch.go</w:t>
      </w:r>
      <w:proofErr w:type="gramEnd"/>
    </w:p>
    <w:p w14:paraId="0A27B505" w14:textId="77777777" w:rsidR="008662DA" w:rsidRPr="00803607"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lastRenderedPageBreak/>
        <w:t>Tao.go</w:t>
      </w:r>
    </w:p>
    <w:p w14:paraId="45843445" w14:textId="77777777" w:rsidR="008662DA" w:rsidRPr="00803607"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96016FC" w14:textId="39B21A38" w:rsidR="00E3183F" w:rsidRPr="00803607"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Root_</w:t>
      </w:r>
      <w:proofErr w:type="gramStart"/>
      <w:r w:rsidRPr="00803607">
        <w:rPr>
          <w:rFonts w:ascii="Courier New" w:hAnsi="Courier New" w:cs="Courier New"/>
          <w:sz w:val="20"/>
          <w:szCs w:val="20"/>
        </w:rPr>
        <w:t>host.go</w:t>
      </w:r>
      <w:proofErr w:type="gramEnd"/>
    </w:p>
    <w:p w14:paraId="4210D0D9" w14:textId="77777777" w:rsidR="009A4B30" w:rsidRPr="00803607"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8C203F6" w14:textId="1A28F917"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NewSoftTao sss.</w:t>
      </w:r>
    </w:p>
    <w:p w14:paraId="30E89C2E"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BC6CB9" w14:textId="582FB033" w:rsidR="009A4B30" w:rsidRPr="00803607"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752FEBF8" w14:textId="351FB040"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NewTPMTao sss.</w:t>
      </w:r>
    </w:p>
    <w:p w14:paraId="589B4D69"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F58E3C" w14:textId="694A84C1" w:rsidR="009A4B30" w:rsidRPr="00803607"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tpm2_</w:t>
      </w:r>
      <w:proofErr w:type="gramStart"/>
      <w:r w:rsidRPr="00803607">
        <w:rPr>
          <w:rFonts w:ascii="Courier New" w:hAnsi="Courier New" w:cs="Courier New"/>
          <w:sz w:val="20"/>
          <w:szCs w:val="20"/>
        </w:rPr>
        <w:t>tao.go</w:t>
      </w:r>
      <w:proofErr w:type="gramEnd"/>
    </w:p>
    <w:p w14:paraId="4A7C742A" w14:textId="0256287C"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NewTPM2Tao sss.</w:t>
      </w:r>
    </w:p>
    <w:p w14:paraId="3887718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F1A9864" w14:textId="31F5D912" w:rsidR="009A4B30" w:rsidRPr="00803607" w:rsidRDefault="00BD7EB8"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s</w:t>
      </w:r>
      <w:r w:rsidR="009A4B30" w:rsidRPr="00803607">
        <w:rPr>
          <w:rFonts w:ascii="Courier New" w:hAnsi="Courier New" w:cs="Courier New"/>
          <w:sz w:val="20"/>
          <w:szCs w:val="20"/>
        </w:rPr>
        <w:t>tacked_</w:t>
      </w:r>
      <w:proofErr w:type="gramStart"/>
      <w:r w:rsidR="009A4B30" w:rsidRPr="00803607">
        <w:rPr>
          <w:rFonts w:ascii="Courier New" w:hAnsi="Courier New" w:cs="Courier New"/>
          <w:sz w:val="20"/>
          <w:szCs w:val="20"/>
        </w:rPr>
        <w:t>host.go</w:t>
      </w:r>
      <w:proofErr w:type="gramEnd"/>
    </w:p>
    <w:p w14:paraId="6632F7DF" w14:textId="4C5C094B"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StackedTao</w:t>
      </w:r>
    </w:p>
    <w:p w14:paraId="3E94BD0D"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CC1E30B" w14:textId="77777777" w:rsidR="00E3183F"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74AC3E2" w14:textId="3A959F22"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Implementation of Host services </w:t>
      </w:r>
    </w:p>
    <w:p w14:paraId="404792D0" w14:textId="77777777" w:rsid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59566E0" w14:textId="2D42EA55" w:rsidR="00B12F57" w:rsidRPr="00803607" w:rsidRDefault="00B12F57" w:rsidP="00B12F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7164D848" w14:textId="08BE9E44" w:rsidR="00E3183F" w:rsidRPr="00803607"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Host.go</w:t>
      </w:r>
    </w:p>
    <w:p w14:paraId="1428A2E0" w14:textId="210B4976" w:rsidR="008662DA" w:rsidRPr="00803607" w:rsidRDefault="009A3E91"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03607">
        <w:rPr>
          <w:rFonts w:ascii="Courier New" w:hAnsi="Courier New" w:cs="Courier New"/>
          <w:sz w:val="20"/>
          <w:szCs w:val="20"/>
        </w:rPr>
        <w:t>a</w:t>
      </w:r>
      <w:r w:rsidR="008662DA" w:rsidRPr="00803607">
        <w:rPr>
          <w:rFonts w:ascii="Courier New" w:hAnsi="Courier New" w:cs="Courier New"/>
          <w:sz w:val="20"/>
          <w:szCs w:val="20"/>
        </w:rPr>
        <w:t>pps/linux_host</w:t>
      </w:r>
    </w:p>
    <w:p w14:paraId="3E38165C"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40FFA28B"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Cloudproxy</w:t>
      </w:r>
      <w:r>
        <w:t xml:space="preserve"> authorization language</w:t>
      </w:r>
      <w:r>
        <w:t xml:space="preserve"> </w:t>
      </w:r>
      <w:r>
        <w:t>is</w:t>
      </w:r>
      <w:r>
        <w:t xml:space="preserv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w:t>
      </w:r>
      <w:r>
        <w:t xml:space="preserve"> Cloudproxy’s </w:t>
      </w:r>
      <w:r>
        <w:t>guards are implemented in</w:t>
      </w:r>
      <w:r>
        <w:t xml:space="preserve"> </w:t>
      </w:r>
      <w:r>
        <w:t xml:space="preserve">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lastRenderedPageBreak/>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3AFC9075" w14:textId="77777777" w:rsidR="00A564AB" w:rsidRPr="00B565ED" w:rsidRDefault="00A564A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063E9EDE" w14:textId="77777777" w:rsidR="00A564AB" w:rsidRPr="00B565ED" w:rsidRDefault="00A564A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roofErr w:type="gramStart"/>
      <w:r w:rsidRPr="00B565ED">
        <w:rPr>
          <w:rFonts w:ascii="Courier New" w:hAnsi="Courier New" w:cs="Courier New"/>
          <w:sz w:val="20"/>
          <w:szCs w:val="20"/>
        </w:rPr>
        <w:t>config.go</w:t>
      </w:r>
      <w:proofErr w:type="gramEnd"/>
    </w:p>
    <w:p w14:paraId="5E315564" w14:textId="4EDE0065" w:rsidR="00C46ED3" w:rsidRPr="00B565ED" w:rsidRDefault="00A564A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2B614D44" w14:textId="35C2029A" w:rsidR="00A564AB" w:rsidRPr="00B565ED" w:rsidRDefault="00A564A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0CEB765B" w14:textId="77777777" w:rsid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60FE62BE" w14:textId="1A1EFBED"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p>
    <w:p w14:paraId="0CD388A1" w14:textId="77777777"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2DACA086"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r w:rsidRPr="000E62B6">
        <w:rPr>
          <w:rFonts w:ascii="Courier New" w:hAnsi="Courier New" w:cs="Courier New"/>
          <w:sz w:val="20"/>
          <w:szCs w:val="20"/>
        </w:rPr>
        <w:t>[</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w:t>
      </w:r>
      <w:r w:rsidR="00052A6F">
        <w:rPr>
          <w:rFonts w:ascii="Courier New" w:hAnsi="Courier New" w:cs="Courier New"/>
          <w:sz w:val="20"/>
          <w:szCs w:val="20"/>
        </w:rPr>
        <w:t>apps/</w:t>
      </w:r>
      <w:r w:rsidR="00052A6F" w:rsidRPr="00052A6F">
        <w:rPr>
          <w:rFonts w:ascii="Courier New" w:hAnsi="Courier New" w:cs="Courier New"/>
          <w:sz w:val="20"/>
          <w:szCs w:val="20"/>
        </w:rPr>
        <w:t>encode_auth.cc</w:t>
      </w:r>
      <w:r w:rsidR="00052A6F" w:rsidRPr="00052A6F">
        <w:rPr>
          <w:rFonts w:ascii="Courier New" w:hAnsi="Courier New" w:cs="Courier New"/>
          <w:sz w:val="20"/>
          <w:szCs w:val="20"/>
        </w:rPr>
        <w:t xml:space="preserve"> </w:t>
      </w:r>
      <w:r w:rsidRPr="00052A6F">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w:t>
      </w:r>
      <w:r>
        <w:rPr>
          <w:rFonts w:ascii="Courier New" w:hAnsi="Courier New" w:cs="Courier New"/>
          <w:sz w:val="20"/>
          <w:szCs w:val="20"/>
        </w:rPr>
        <w:t>/tao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w:t>
      </w:r>
      <w:r w:rsidRPr="000E62B6">
        <w:rPr>
          <w:rFonts w:ascii="Courier New" w:hAnsi="Courier New" w:cs="Courier New"/>
          <w:sz w:val="20"/>
          <w:szCs w:val="20"/>
        </w:rPr>
        <w:t>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394F2947"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auth.cc and auth.h are actuall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61D78" w14:textId="77777777" w:rsidR="007846AE" w:rsidRDefault="007846AE" w:rsidP="00046BB8">
      <w:pPr>
        <w:spacing w:line="240" w:lineRule="auto"/>
      </w:pPr>
      <w:r>
        <w:separator/>
      </w:r>
    </w:p>
  </w:endnote>
  <w:endnote w:type="continuationSeparator" w:id="0">
    <w:p w14:paraId="23F2EEF3" w14:textId="77777777" w:rsidR="007846AE" w:rsidRDefault="007846AE"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CA4C66" w:rsidRDefault="00CA4C6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CA4C66" w:rsidRDefault="00CA4C66"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CA4C66" w:rsidRDefault="00CA4C6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2438">
      <w:rPr>
        <w:rStyle w:val="PageNumber"/>
        <w:noProof/>
      </w:rPr>
      <w:t>34</w:t>
    </w:r>
    <w:r>
      <w:rPr>
        <w:rStyle w:val="PageNumber"/>
      </w:rPr>
      <w:fldChar w:fldCharType="end"/>
    </w:r>
  </w:p>
  <w:p w14:paraId="0F0D550C" w14:textId="77777777" w:rsidR="00CA4C66" w:rsidRDefault="00CA4C66"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F8EDB" w14:textId="77777777" w:rsidR="007846AE" w:rsidRDefault="007846AE" w:rsidP="00046BB8">
      <w:pPr>
        <w:spacing w:line="240" w:lineRule="auto"/>
      </w:pPr>
      <w:r>
        <w:separator/>
      </w:r>
    </w:p>
  </w:footnote>
  <w:footnote w:type="continuationSeparator" w:id="0">
    <w:p w14:paraId="2F10999C" w14:textId="77777777" w:rsidR="007846AE" w:rsidRDefault="007846AE" w:rsidP="00046BB8">
      <w:pPr>
        <w:spacing w:line="240" w:lineRule="auto"/>
      </w:pPr>
      <w:r>
        <w:continuationSeparator/>
      </w:r>
    </w:p>
  </w:footnote>
  <w:footnote w:id="1">
    <w:p w14:paraId="798788E7" w14:textId="3099B122" w:rsidR="00CA4C66" w:rsidRPr="00E05FCF" w:rsidRDefault="00CA4C66">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CA4C66" w:rsidRPr="00A92E31" w:rsidRDefault="00CA4C66">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52ABB730" w:rsidR="00CA4C66" w:rsidRPr="000C7D18" w:rsidRDefault="00CA4C66"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4">
    <w:p w14:paraId="0E9619D8" w14:textId="209F9F01" w:rsidR="00CA4C66" w:rsidRPr="00556111" w:rsidRDefault="00CA4C66"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5">
    <w:p w14:paraId="6E6F6CE7" w14:textId="35E68777" w:rsidR="00CA4C66" w:rsidRPr="00D27FE7" w:rsidRDefault="00CA4C66">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CA4C66" w:rsidRPr="00455133" w:rsidRDefault="00CA4C66"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CA4C66" w:rsidRPr="00A403CB" w:rsidRDefault="00CA4C66">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CA4C66" w:rsidRPr="003A6088" w:rsidRDefault="00CA4C66">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CA4C66" w:rsidRPr="001D7AA5" w:rsidRDefault="00CA4C66">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7B500C9A" w14:textId="568C49A4" w:rsidR="00CA4C66" w:rsidRPr="00027091" w:rsidRDefault="00CA4C66">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1">
    <w:p w14:paraId="500BA3DF" w14:textId="409F64D5" w:rsidR="00CA4C66" w:rsidRPr="00B6743D" w:rsidRDefault="00CA4C66">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2">
    <w:p w14:paraId="614A8CA6" w14:textId="5357A82F" w:rsidR="00CA4C66" w:rsidRPr="00520046" w:rsidRDefault="00CA4C66"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3">
    <w:p w14:paraId="26021C53" w14:textId="556366C8" w:rsidR="00CA4C66" w:rsidRPr="000D79C1" w:rsidRDefault="00CA4C66">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4">
    <w:p w14:paraId="6AC7D997" w14:textId="2FFECD69" w:rsidR="00CA4C66" w:rsidRPr="001118F1" w:rsidRDefault="00CA4C66"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CA4C66" w:rsidRPr="00914E36" w:rsidRDefault="00CA4C66">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CA4C66" w:rsidRPr="00D84E93" w:rsidRDefault="00CA4C66">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CA4C66" w:rsidRPr="00362AA8" w:rsidRDefault="00CA4C66"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5226C"/>
    <w:rsid w:val="000528AC"/>
    <w:rsid w:val="00052A6F"/>
    <w:rsid w:val="00054C20"/>
    <w:rsid w:val="000564B1"/>
    <w:rsid w:val="00061E87"/>
    <w:rsid w:val="0006310A"/>
    <w:rsid w:val="0006330D"/>
    <w:rsid w:val="00063842"/>
    <w:rsid w:val="00064ADD"/>
    <w:rsid w:val="00076DC6"/>
    <w:rsid w:val="0007769E"/>
    <w:rsid w:val="00085AD8"/>
    <w:rsid w:val="0009017B"/>
    <w:rsid w:val="00092D42"/>
    <w:rsid w:val="00094435"/>
    <w:rsid w:val="00096659"/>
    <w:rsid w:val="000A04D0"/>
    <w:rsid w:val="000A2442"/>
    <w:rsid w:val="000A68FD"/>
    <w:rsid w:val="000B3939"/>
    <w:rsid w:val="000C2243"/>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FF1"/>
    <w:rsid w:val="00106109"/>
    <w:rsid w:val="00107ECB"/>
    <w:rsid w:val="001118F1"/>
    <w:rsid w:val="0011508D"/>
    <w:rsid w:val="001172D8"/>
    <w:rsid w:val="001207DD"/>
    <w:rsid w:val="00121AD4"/>
    <w:rsid w:val="001228CB"/>
    <w:rsid w:val="001253E1"/>
    <w:rsid w:val="0013039F"/>
    <w:rsid w:val="0013250F"/>
    <w:rsid w:val="00135559"/>
    <w:rsid w:val="00141300"/>
    <w:rsid w:val="00151570"/>
    <w:rsid w:val="001543E8"/>
    <w:rsid w:val="001549B5"/>
    <w:rsid w:val="00172E21"/>
    <w:rsid w:val="00191C01"/>
    <w:rsid w:val="001967AC"/>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16F9"/>
    <w:rsid w:val="0023213C"/>
    <w:rsid w:val="00235F6E"/>
    <w:rsid w:val="002405AD"/>
    <w:rsid w:val="00240F72"/>
    <w:rsid w:val="00252A6A"/>
    <w:rsid w:val="00255AE7"/>
    <w:rsid w:val="0025714E"/>
    <w:rsid w:val="00260557"/>
    <w:rsid w:val="00260FB2"/>
    <w:rsid w:val="0026216B"/>
    <w:rsid w:val="0026799A"/>
    <w:rsid w:val="00274F41"/>
    <w:rsid w:val="00277DE4"/>
    <w:rsid w:val="00287230"/>
    <w:rsid w:val="00291D4B"/>
    <w:rsid w:val="002A5FC1"/>
    <w:rsid w:val="002A789B"/>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4ACF"/>
    <w:rsid w:val="00314EF7"/>
    <w:rsid w:val="00322ACC"/>
    <w:rsid w:val="0032333B"/>
    <w:rsid w:val="00330B9D"/>
    <w:rsid w:val="0033251C"/>
    <w:rsid w:val="00333ABD"/>
    <w:rsid w:val="00336D5E"/>
    <w:rsid w:val="00337AC5"/>
    <w:rsid w:val="00347101"/>
    <w:rsid w:val="003520A5"/>
    <w:rsid w:val="00353B8B"/>
    <w:rsid w:val="00355B2C"/>
    <w:rsid w:val="00362AA8"/>
    <w:rsid w:val="003703A0"/>
    <w:rsid w:val="003722AC"/>
    <w:rsid w:val="00373761"/>
    <w:rsid w:val="0037614C"/>
    <w:rsid w:val="003763DA"/>
    <w:rsid w:val="003769BA"/>
    <w:rsid w:val="00380B0D"/>
    <w:rsid w:val="00382655"/>
    <w:rsid w:val="00395D1F"/>
    <w:rsid w:val="003A0EB2"/>
    <w:rsid w:val="003A5124"/>
    <w:rsid w:val="003A5F89"/>
    <w:rsid w:val="003A6088"/>
    <w:rsid w:val="003B0443"/>
    <w:rsid w:val="003B1935"/>
    <w:rsid w:val="003B47A5"/>
    <w:rsid w:val="003C0687"/>
    <w:rsid w:val="003C3157"/>
    <w:rsid w:val="003C569D"/>
    <w:rsid w:val="003D219C"/>
    <w:rsid w:val="003D4EC3"/>
    <w:rsid w:val="003D5150"/>
    <w:rsid w:val="003D536A"/>
    <w:rsid w:val="00401698"/>
    <w:rsid w:val="00403DFD"/>
    <w:rsid w:val="004057D7"/>
    <w:rsid w:val="0040657B"/>
    <w:rsid w:val="00407C02"/>
    <w:rsid w:val="004101A1"/>
    <w:rsid w:val="00410E53"/>
    <w:rsid w:val="00421501"/>
    <w:rsid w:val="0042444F"/>
    <w:rsid w:val="004249A1"/>
    <w:rsid w:val="00424C22"/>
    <w:rsid w:val="004261B6"/>
    <w:rsid w:val="00427557"/>
    <w:rsid w:val="00427716"/>
    <w:rsid w:val="004316C2"/>
    <w:rsid w:val="0044207B"/>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5E5F"/>
    <w:rsid w:val="00497880"/>
    <w:rsid w:val="004A2D29"/>
    <w:rsid w:val="004A5D9B"/>
    <w:rsid w:val="004A6144"/>
    <w:rsid w:val="004A6332"/>
    <w:rsid w:val="004A6D0A"/>
    <w:rsid w:val="004A6DB3"/>
    <w:rsid w:val="004A7143"/>
    <w:rsid w:val="004B0436"/>
    <w:rsid w:val="004B541C"/>
    <w:rsid w:val="004B6728"/>
    <w:rsid w:val="004B73ED"/>
    <w:rsid w:val="004C32C4"/>
    <w:rsid w:val="004C705D"/>
    <w:rsid w:val="004D0E97"/>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42438"/>
    <w:rsid w:val="00543634"/>
    <w:rsid w:val="00543C71"/>
    <w:rsid w:val="005528B1"/>
    <w:rsid w:val="00553814"/>
    <w:rsid w:val="00556111"/>
    <w:rsid w:val="00562869"/>
    <w:rsid w:val="00564499"/>
    <w:rsid w:val="00567836"/>
    <w:rsid w:val="0057646D"/>
    <w:rsid w:val="0058212D"/>
    <w:rsid w:val="0059265B"/>
    <w:rsid w:val="0059776E"/>
    <w:rsid w:val="005A46C3"/>
    <w:rsid w:val="005A61F0"/>
    <w:rsid w:val="005B00BE"/>
    <w:rsid w:val="005B07DA"/>
    <w:rsid w:val="005B0D58"/>
    <w:rsid w:val="005B5D2D"/>
    <w:rsid w:val="005B75AB"/>
    <w:rsid w:val="005C096E"/>
    <w:rsid w:val="005C0B57"/>
    <w:rsid w:val="005C3AE5"/>
    <w:rsid w:val="005C59E3"/>
    <w:rsid w:val="005D19B3"/>
    <w:rsid w:val="005D1CA4"/>
    <w:rsid w:val="005D46B7"/>
    <w:rsid w:val="005D57E1"/>
    <w:rsid w:val="005D6014"/>
    <w:rsid w:val="005E272A"/>
    <w:rsid w:val="005E3FE3"/>
    <w:rsid w:val="005E7461"/>
    <w:rsid w:val="005E7C8D"/>
    <w:rsid w:val="005F055D"/>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1B9B"/>
    <w:rsid w:val="00651FF5"/>
    <w:rsid w:val="006558F4"/>
    <w:rsid w:val="0065626E"/>
    <w:rsid w:val="00665359"/>
    <w:rsid w:val="00667257"/>
    <w:rsid w:val="00667472"/>
    <w:rsid w:val="00682B3B"/>
    <w:rsid w:val="00686330"/>
    <w:rsid w:val="006934C0"/>
    <w:rsid w:val="00693EA9"/>
    <w:rsid w:val="006969A5"/>
    <w:rsid w:val="006A1345"/>
    <w:rsid w:val="006B0D38"/>
    <w:rsid w:val="006B3EE0"/>
    <w:rsid w:val="006C1265"/>
    <w:rsid w:val="006C4233"/>
    <w:rsid w:val="006C44F7"/>
    <w:rsid w:val="006F2FF8"/>
    <w:rsid w:val="00700C1E"/>
    <w:rsid w:val="00705374"/>
    <w:rsid w:val="007059A9"/>
    <w:rsid w:val="00713410"/>
    <w:rsid w:val="00715238"/>
    <w:rsid w:val="0071741D"/>
    <w:rsid w:val="00720B5F"/>
    <w:rsid w:val="00720DEB"/>
    <w:rsid w:val="00731451"/>
    <w:rsid w:val="00732AA1"/>
    <w:rsid w:val="007375A3"/>
    <w:rsid w:val="00742D3B"/>
    <w:rsid w:val="00750D69"/>
    <w:rsid w:val="007511AF"/>
    <w:rsid w:val="0075635D"/>
    <w:rsid w:val="00757B75"/>
    <w:rsid w:val="007606C5"/>
    <w:rsid w:val="007609FE"/>
    <w:rsid w:val="00760C01"/>
    <w:rsid w:val="00761680"/>
    <w:rsid w:val="00764631"/>
    <w:rsid w:val="0076593C"/>
    <w:rsid w:val="00765E95"/>
    <w:rsid w:val="00766A95"/>
    <w:rsid w:val="00766FF2"/>
    <w:rsid w:val="00775905"/>
    <w:rsid w:val="00780037"/>
    <w:rsid w:val="007835F7"/>
    <w:rsid w:val="007846AE"/>
    <w:rsid w:val="007863C4"/>
    <w:rsid w:val="0079043E"/>
    <w:rsid w:val="0079458F"/>
    <w:rsid w:val="007A0FFF"/>
    <w:rsid w:val="007A4BC0"/>
    <w:rsid w:val="007A6691"/>
    <w:rsid w:val="007A7824"/>
    <w:rsid w:val="007A7E16"/>
    <w:rsid w:val="007B6A40"/>
    <w:rsid w:val="007B74CC"/>
    <w:rsid w:val="007C01FC"/>
    <w:rsid w:val="007D0BC0"/>
    <w:rsid w:val="007D6753"/>
    <w:rsid w:val="007E3090"/>
    <w:rsid w:val="007E71DF"/>
    <w:rsid w:val="007F0373"/>
    <w:rsid w:val="007F32EF"/>
    <w:rsid w:val="007F65F1"/>
    <w:rsid w:val="00801601"/>
    <w:rsid w:val="00803607"/>
    <w:rsid w:val="0081036F"/>
    <w:rsid w:val="008107BB"/>
    <w:rsid w:val="00813017"/>
    <w:rsid w:val="00813F96"/>
    <w:rsid w:val="008221B5"/>
    <w:rsid w:val="00822EDC"/>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B47F7"/>
    <w:rsid w:val="008B4F6B"/>
    <w:rsid w:val="008C48E0"/>
    <w:rsid w:val="008C7A91"/>
    <w:rsid w:val="008C7E12"/>
    <w:rsid w:val="008D3B0E"/>
    <w:rsid w:val="008D5444"/>
    <w:rsid w:val="008D5738"/>
    <w:rsid w:val="008E1DF3"/>
    <w:rsid w:val="008E29DA"/>
    <w:rsid w:val="008E6BF5"/>
    <w:rsid w:val="008E7E41"/>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A3E91"/>
    <w:rsid w:val="009A4B30"/>
    <w:rsid w:val="009C30E5"/>
    <w:rsid w:val="009C3978"/>
    <w:rsid w:val="009D1CC0"/>
    <w:rsid w:val="009D4E17"/>
    <w:rsid w:val="009D5819"/>
    <w:rsid w:val="009E1B8D"/>
    <w:rsid w:val="009F027E"/>
    <w:rsid w:val="009F37F9"/>
    <w:rsid w:val="009F47A0"/>
    <w:rsid w:val="00A12765"/>
    <w:rsid w:val="00A20D21"/>
    <w:rsid w:val="00A267D3"/>
    <w:rsid w:val="00A30D88"/>
    <w:rsid w:val="00A32684"/>
    <w:rsid w:val="00A403CB"/>
    <w:rsid w:val="00A41EC7"/>
    <w:rsid w:val="00A4462B"/>
    <w:rsid w:val="00A44DD7"/>
    <w:rsid w:val="00A46B6F"/>
    <w:rsid w:val="00A505DD"/>
    <w:rsid w:val="00A54FF2"/>
    <w:rsid w:val="00A55728"/>
    <w:rsid w:val="00A56241"/>
    <w:rsid w:val="00A564AB"/>
    <w:rsid w:val="00A57BDB"/>
    <w:rsid w:val="00A61388"/>
    <w:rsid w:val="00A63BD9"/>
    <w:rsid w:val="00A65E5A"/>
    <w:rsid w:val="00A6747C"/>
    <w:rsid w:val="00A72F61"/>
    <w:rsid w:val="00A749ED"/>
    <w:rsid w:val="00A77F63"/>
    <w:rsid w:val="00A80DEB"/>
    <w:rsid w:val="00A82C34"/>
    <w:rsid w:val="00A837B6"/>
    <w:rsid w:val="00A91F0C"/>
    <w:rsid w:val="00A92677"/>
    <w:rsid w:val="00A92E31"/>
    <w:rsid w:val="00A93144"/>
    <w:rsid w:val="00A93AF6"/>
    <w:rsid w:val="00AA2A9C"/>
    <w:rsid w:val="00AB78C8"/>
    <w:rsid w:val="00AC3F8D"/>
    <w:rsid w:val="00AC4596"/>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F009F"/>
    <w:rsid w:val="00BF21F2"/>
    <w:rsid w:val="00BF6E5D"/>
    <w:rsid w:val="00BF7109"/>
    <w:rsid w:val="00BF7636"/>
    <w:rsid w:val="00BF7CB6"/>
    <w:rsid w:val="00C00826"/>
    <w:rsid w:val="00C0417D"/>
    <w:rsid w:val="00C12D92"/>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6BCA"/>
    <w:rsid w:val="00C61253"/>
    <w:rsid w:val="00C67607"/>
    <w:rsid w:val="00C70717"/>
    <w:rsid w:val="00C849F4"/>
    <w:rsid w:val="00C930A0"/>
    <w:rsid w:val="00C95BD8"/>
    <w:rsid w:val="00C97514"/>
    <w:rsid w:val="00CA33B4"/>
    <w:rsid w:val="00CA4C66"/>
    <w:rsid w:val="00CA78D4"/>
    <w:rsid w:val="00CB16B4"/>
    <w:rsid w:val="00CB1E67"/>
    <w:rsid w:val="00CC77CB"/>
    <w:rsid w:val="00CD1644"/>
    <w:rsid w:val="00CD34B3"/>
    <w:rsid w:val="00CE3804"/>
    <w:rsid w:val="00CE43E0"/>
    <w:rsid w:val="00CE5467"/>
    <w:rsid w:val="00CE5F83"/>
    <w:rsid w:val="00CE6318"/>
    <w:rsid w:val="00CF3D4C"/>
    <w:rsid w:val="00CF3F15"/>
    <w:rsid w:val="00CF71CB"/>
    <w:rsid w:val="00D05827"/>
    <w:rsid w:val="00D15201"/>
    <w:rsid w:val="00D16E32"/>
    <w:rsid w:val="00D17F01"/>
    <w:rsid w:val="00D215ED"/>
    <w:rsid w:val="00D21893"/>
    <w:rsid w:val="00D219CF"/>
    <w:rsid w:val="00D21D4A"/>
    <w:rsid w:val="00D238D1"/>
    <w:rsid w:val="00D266E9"/>
    <w:rsid w:val="00D27FE7"/>
    <w:rsid w:val="00D3370D"/>
    <w:rsid w:val="00D343E3"/>
    <w:rsid w:val="00D45F77"/>
    <w:rsid w:val="00D52793"/>
    <w:rsid w:val="00D55022"/>
    <w:rsid w:val="00D557DE"/>
    <w:rsid w:val="00D57E9D"/>
    <w:rsid w:val="00D60A83"/>
    <w:rsid w:val="00D6324D"/>
    <w:rsid w:val="00D716D7"/>
    <w:rsid w:val="00D73955"/>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DF76E5"/>
    <w:rsid w:val="00E0121F"/>
    <w:rsid w:val="00E05FCF"/>
    <w:rsid w:val="00E13D76"/>
    <w:rsid w:val="00E142AE"/>
    <w:rsid w:val="00E168C2"/>
    <w:rsid w:val="00E23E5D"/>
    <w:rsid w:val="00E262C6"/>
    <w:rsid w:val="00E30D56"/>
    <w:rsid w:val="00E310BD"/>
    <w:rsid w:val="00E3183F"/>
    <w:rsid w:val="00E34007"/>
    <w:rsid w:val="00E37CFC"/>
    <w:rsid w:val="00E4109F"/>
    <w:rsid w:val="00E439FD"/>
    <w:rsid w:val="00E45486"/>
    <w:rsid w:val="00E46071"/>
    <w:rsid w:val="00E552A6"/>
    <w:rsid w:val="00E63C0C"/>
    <w:rsid w:val="00E675FF"/>
    <w:rsid w:val="00E711B7"/>
    <w:rsid w:val="00E73B67"/>
    <w:rsid w:val="00E74287"/>
    <w:rsid w:val="00E803D5"/>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DA5"/>
    <w:rsid w:val="00ED7555"/>
    <w:rsid w:val="00EE08F2"/>
    <w:rsid w:val="00EE4DD7"/>
    <w:rsid w:val="00EE656A"/>
    <w:rsid w:val="00EF1D60"/>
    <w:rsid w:val="00F01C0D"/>
    <w:rsid w:val="00F05642"/>
    <w:rsid w:val="00F110E8"/>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E62B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930B0C-C763-0D4D-896A-7556EC190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40</Pages>
  <Words>12340</Words>
  <Characters>70344</Characters>
  <Application>Microsoft Macintosh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117</cp:revision>
  <cp:lastPrinted>2016-03-09T01:02:00Z</cp:lastPrinted>
  <dcterms:created xsi:type="dcterms:W3CDTF">2016-03-09T01:02:00Z</dcterms:created>
  <dcterms:modified xsi:type="dcterms:W3CDTF">2016-07-06T21:38:00Z</dcterms:modified>
</cp:coreProperties>
</file>