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4686D" w14:textId="06A11C9E" w:rsidR="00FB70C3" w:rsidRDefault="004D7542">
      <w:pPr>
        <w:rPr>
          <w:color w:val="222A35" w:themeColor="text2" w:themeShade="80"/>
          <w:sz w:val="24"/>
          <w:szCs w:val="24"/>
        </w:rPr>
      </w:pPr>
      <w:r w:rsidRPr="004D7542">
        <w:rPr>
          <w:color w:val="222A35" w:themeColor="text2" w:themeShade="80"/>
          <w:sz w:val="24"/>
          <w:szCs w:val="24"/>
        </w:rPr>
        <w:t xml:space="preserve"> Part B</w:t>
      </w:r>
      <w:r w:rsidR="00264799">
        <w:rPr>
          <w:color w:val="222A35" w:themeColor="text2" w:themeShade="80"/>
          <w:sz w:val="24"/>
          <w:szCs w:val="24"/>
        </w:rPr>
        <w:t>)</w:t>
      </w:r>
    </w:p>
    <w:p w14:paraId="6DD391AB" w14:textId="1947E9E6" w:rsidR="00264799" w:rsidRDefault="00264799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>Tested Batch 1 with the following data</w:t>
      </w:r>
    </w:p>
    <w:p w14:paraId="1A96EFFA" w14:textId="7853FBBC" w:rsidR="00264799" w:rsidRDefault="00264799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>Batch 1:</w:t>
      </w:r>
    </w:p>
    <w:p w14:paraId="48ED48FE" w14:textId="3585EB80" w:rsidR="00264799" w:rsidRDefault="00264799">
      <w:pPr>
        <w:rPr>
          <w:color w:val="222A35" w:themeColor="text2" w:themeShade="80"/>
          <w:sz w:val="24"/>
          <w:szCs w:val="24"/>
        </w:rPr>
      </w:pPr>
      <w:r>
        <w:rPr>
          <w:sz w:val="20"/>
          <w:szCs w:val="20"/>
        </w:rPr>
        <w:t>T = 0.25, K = 65, sig = 0.30, r = 0.08, S = 60</w:t>
      </w:r>
      <w:r w:rsidR="00D04A2B">
        <w:rPr>
          <w:sz w:val="20"/>
          <w:szCs w:val="20"/>
        </w:rPr>
        <w:t>(then C = 2.13337, P = 5.84628).</w:t>
      </w:r>
    </w:p>
    <w:p w14:paraId="15E11E4C" w14:textId="77777777" w:rsidR="00264799" w:rsidRDefault="00264799">
      <w:pPr>
        <w:rPr>
          <w:color w:val="222A35" w:themeColor="text2" w:themeShade="80"/>
          <w:sz w:val="24"/>
          <w:szCs w:val="24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522"/>
        <w:gridCol w:w="2337"/>
        <w:gridCol w:w="2338"/>
        <w:gridCol w:w="2338"/>
      </w:tblGrid>
      <w:tr w:rsidR="00ED1807" w14:paraId="59DD1882" w14:textId="77777777" w:rsidTr="00557EC0">
        <w:tc>
          <w:tcPr>
            <w:tcW w:w="2522" w:type="dxa"/>
          </w:tcPr>
          <w:p w14:paraId="6A6E28B3" w14:textId="67D406A4" w:rsidR="00ED1807" w:rsidRDefault="00ED1807" w:rsidP="00ED1807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NSIM</w:t>
            </w:r>
          </w:p>
        </w:tc>
        <w:tc>
          <w:tcPr>
            <w:tcW w:w="2337" w:type="dxa"/>
          </w:tcPr>
          <w:p w14:paraId="1F1C5A08" w14:textId="6631F9B4" w:rsidR="00ED1807" w:rsidRDefault="00ED1807" w:rsidP="00ED1807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NT</w:t>
            </w:r>
          </w:p>
        </w:tc>
        <w:tc>
          <w:tcPr>
            <w:tcW w:w="2338" w:type="dxa"/>
          </w:tcPr>
          <w:p w14:paraId="1DB6BA2D" w14:textId="2BFE21C0" w:rsidR="00ED1807" w:rsidRDefault="00ED1807" w:rsidP="00ED1807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CAll</w:t>
            </w:r>
          </w:p>
        </w:tc>
        <w:tc>
          <w:tcPr>
            <w:tcW w:w="2338" w:type="dxa"/>
          </w:tcPr>
          <w:p w14:paraId="06111EF4" w14:textId="05A9DFAC" w:rsidR="00ED1807" w:rsidRDefault="00ED1807" w:rsidP="00264799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PUT</w:t>
            </w:r>
          </w:p>
        </w:tc>
      </w:tr>
      <w:tr w:rsidR="00ED1807" w14:paraId="42916FB6" w14:textId="77777777" w:rsidTr="00557EC0">
        <w:tc>
          <w:tcPr>
            <w:tcW w:w="2522" w:type="dxa"/>
          </w:tcPr>
          <w:p w14:paraId="120210F7" w14:textId="2DF25240" w:rsidR="00ED1807" w:rsidRDefault="00264799" w:rsidP="00264799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100</w:t>
            </w:r>
          </w:p>
        </w:tc>
        <w:tc>
          <w:tcPr>
            <w:tcW w:w="2337" w:type="dxa"/>
          </w:tcPr>
          <w:p w14:paraId="7451901F" w14:textId="5D05E239" w:rsidR="00ED1807" w:rsidRDefault="00264799" w:rsidP="00264799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100000</w:t>
            </w:r>
          </w:p>
        </w:tc>
        <w:tc>
          <w:tcPr>
            <w:tcW w:w="2338" w:type="dxa"/>
          </w:tcPr>
          <w:p w14:paraId="7812DE88" w14:textId="3DCEB5A5" w:rsidR="00ED1807" w:rsidRDefault="00264799" w:rsidP="00264799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 w:rsidRPr="00264799">
              <w:rPr>
                <w:color w:val="222A35" w:themeColor="text2" w:themeShade="80"/>
                <w:sz w:val="24"/>
                <w:szCs w:val="24"/>
              </w:rPr>
              <w:t>2.13043</w:t>
            </w:r>
          </w:p>
        </w:tc>
        <w:tc>
          <w:tcPr>
            <w:tcW w:w="2338" w:type="dxa"/>
          </w:tcPr>
          <w:p w14:paraId="06F00F8E" w14:textId="67FD9497" w:rsidR="00ED1807" w:rsidRDefault="00264799" w:rsidP="00264799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5.87321</w:t>
            </w:r>
          </w:p>
        </w:tc>
      </w:tr>
      <w:tr w:rsidR="00ED1807" w14:paraId="627C59C2" w14:textId="77777777" w:rsidTr="00557EC0">
        <w:tc>
          <w:tcPr>
            <w:tcW w:w="2522" w:type="dxa"/>
          </w:tcPr>
          <w:p w14:paraId="60776AA3" w14:textId="635B28D6" w:rsidR="00ED1807" w:rsidRDefault="00C94018" w:rsidP="00C94018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100</w:t>
            </w:r>
          </w:p>
        </w:tc>
        <w:tc>
          <w:tcPr>
            <w:tcW w:w="2337" w:type="dxa"/>
          </w:tcPr>
          <w:p w14:paraId="6042E107" w14:textId="08606D58" w:rsidR="00ED1807" w:rsidRDefault="00C94018" w:rsidP="00C94018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150000</w:t>
            </w:r>
          </w:p>
        </w:tc>
        <w:tc>
          <w:tcPr>
            <w:tcW w:w="2338" w:type="dxa"/>
          </w:tcPr>
          <w:p w14:paraId="00BFC661" w14:textId="056DB82C" w:rsidR="00ED1807" w:rsidRDefault="00C94018" w:rsidP="00C94018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 w:rsidRPr="00C94018">
              <w:rPr>
                <w:color w:val="222A35" w:themeColor="text2" w:themeShade="80"/>
                <w:sz w:val="24"/>
                <w:szCs w:val="24"/>
              </w:rPr>
              <w:t>2.13831</w:t>
            </w:r>
          </w:p>
        </w:tc>
        <w:tc>
          <w:tcPr>
            <w:tcW w:w="2338" w:type="dxa"/>
          </w:tcPr>
          <w:p w14:paraId="582A1BE1" w14:textId="42EE34C1" w:rsidR="00ED1807" w:rsidRDefault="00C94018" w:rsidP="00C94018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5.85021</w:t>
            </w:r>
          </w:p>
        </w:tc>
      </w:tr>
      <w:tr w:rsidR="00ED1807" w14:paraId="53CCFCFD" w14:textId="77777777" w:rsidTr="00557EC0">
        <w:tc>
          <w:tcPr>
            <w:tcW w:w="2522" w:type="dxa"/>
          </w:tcPr>
          <w:p w14:paraId="578C56AB" w14:textId="27406E3D" w:rsidR="00ED1807" w:rsidRDefault="00C94018" w:rsidP="00C94018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100</w:t>
            </w:r>
          </w:p>
        </w:tc>
        <w:tc>
          <w:tcPr>
            <w:tcW w:w="2337" w:type="dxa"/>
          </w:tcPr>
          <w:p w14:paraId="3DE5CD3D" w14:textId="11F24397" w:rsidR="00ED1807" w:rsidRDefault="00C94018" w:rsidP="00C94018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1309</w:t>
            </w:r>
            <w:r w:rsidR="00D04A2B">
              <w:rPr>
                <w:color w:val="222A35" w:themeColor="text2" w:themeShade="80"/>
                <w:sz w:val="24"/>
                <w:szCs w:val="24"/>
              </w:rPr>
              <w:t>30</w:t>
            </w:r>
          </w:p>
        </w:tc>
        <w:tc>
          <w:tcPr>
            <w:tcW w:w="2338" w:type="dxa"/>
          </w:tcPr>
          <w:p w14:paraId="33FF8550" w14:textId="0BBF0A91" w:rsidR="00ED1807" w:rsidRDefault="00D04A2B" w:rsidP="00D04A2B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 w:rsidRPr="00D04A2B">
              <w:rPr>
                <w:color w:val="222A35" w:themeColor="text2" w:themeShade="80"/>
                <w:sz w:val="24"/>
                <w:szCs w:val="24"/>
              </w:rPr>
              <w:t>2.13343</w:t>
            </w:r>
          </w:p>
        </w:tc>
        <w:tc>
          <w:tcPr>
            <w:tcW w:w="2338" w:type="dxa"/>
          </w:tcPr>
          <w:p w14:paraId="6CAA13F8" w14:textId="6D177AC7" w:rsidR="00ED1807" w:rsidRDefault="00D04A2B" w:rsidP="00D04A2B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5.86456</w:t>
            </w:r>
          </w:p>
        </w:tc>
      </w:tr>
      <w:tr w:rsidR="00ED1807" w14:paraId="50DCC880" w14:textId="77777777" w:rsidTr="00557EC0">
        <w:tc>
          <w:tcPr>
            <w:tcW w:w="2522" w:type="dxa"/>
          </w:tcPr>
          <w:p w14:paraId="7A126553" w14:textId="62E915AC" w:rsidR="00ED1807" w:rsidRDefault="00D04A2B" w:rsidP="00D04A2B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250</w:t>
            </w:r>
          </w:p>
        </w:tc>
        <w:tc>
          <w:tcPr>
            <w:tcW w:w="2337" w:type="dxa"/>
          </w:tcPr>
          <w:p w14:paraId="2EC6252D" w14:textId="162E40D8" w:rsidR="00ED1807" w:rsidRDefault="00D04A2B" w:rsidP="00D04A2B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100000</w:t>
            </w:r>
          </w:p>
        </w:tc>
        <w:tc>
          <w:tcPr>
            <w:tcW w:w="2338" w:type="dxa"/>
          </w:tcPr>
          <w:p w14:paraId="028D0B4A" w14:textId="6CFD951F" w:rsidR="00ED1807" w:rsidRDefault="00D04A2B" w:rsidP="00D04A2B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 w:rsidRPr="00D04A2B">
              <w:rPr>
                <w:color w:val="222A35" w:themeColor="text2" w:themeShade="80"/>
                <w:sz w:val="24"/>
                <w:szCs w:val="24"/>
              </w:rPr>
              <w:t>2.16636,</w:t>
            </w:r>
          </w:p>
        </w:tc>
        <w:tc>
          <w:tcPr>
            <w:tcW w:w="2338" w:type="dxa"/>
          </w:tcPr>
          <w:p w14:paraId="77F6C47C" w14:textId="61B4F462" w:rsidR="00ED1807" w:rsidRDefault="00D04A2B" w:rsidP="00D04A2B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5.85382</w:t>
            </w:r>
          </w:p>
        </w:tc>
      </w:tr>
      <w:tr w:rsidR="00ED1807" w14:paraId="05F3CE59" w14:textId="77777777" w:rsidTr="00557EC0">
        <w:tc>
          <w:tcPr>
            <w:tcW w:w="2522" w:type="dxa"/>
          </w:tcPr>
          <w:p w14:paraId="4104C638" w14:textId="11AF4ED1" w:rsidR="00ED1807" w:rsidRDefault="00557EC0" w:rsidP="00557EC0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500</w:t>
            </w:r>
          </w:p>
        </w:tc>
        <w:tc>
          <w:tcPr>
            <w:tcW w:w="2337" w:type="dxa"/>
          </w:tcPr>
          <w:p w14:paraId="6F352583" w14:textId="20D12561" w:rsidR="00ED1807" w:rsidRPr="00557EC0" w:rsidRDefault="00557EC0" w:rsidP="00557EC0">
            <w:pPr>
              <w:jc w:val="center"/>
              <w:rPr>
                <w:color w:val="222A35" w:themeColor="text2" w:themeShade="80"/>
              </w:rPr>
            </w:pPr>
            <w:r w:rsidRPr="00557EC0">
              <w:rPr>
                <w:rFonts w:ascii="Arial" w:hAnsi="Arial" w:cs="Arial"/>
                <w:color w:val="222222"/>
                <w:shd w:val="clear" w:color="auto" w:fill="FFFFFF"/>
              </w:rPr>
              <w:t>26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000</w:t>
            </w:r>
          </w:p>
        </w:tc>
        <w:tc>
          <w:tcPr>
            <w:tcW w:w="2338" w:type="dxa"/>
          </w:tcPr>
          <w:p w14:paraId="64ED0441" w14:textId="62601CAE" w:rsidR="00ED1807" w:rsidRDefault="00557EC0" w:rsidP="00557EC0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2.14151</w:t>
            </w:r>
          </w:p>
        </w:tc>
        <w:tc>
          <w:tcPr>
            <w:tcW w:w="2338" w:type="dxa"/>
          </w:tcPr>
          <w:p w14:paraId="73C92094" w14:textId="174DA867" w:rsidR="00ED1807" w:rsidRDefault="00557EC0" w:rsidP="00557EC0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5.8924</w:t>
            </w:r>
          </w:p>
        </w:tc>
      </w:tr>
      <w:tr w:rsidR="00557EC0" w14:paraId="6BC2DA69" w14:textId="77777777" w:rsidTr="00557EC0">
        <w:tc>
          <w:tcPr>
            <w:tcW w:w="2522" w:type="dxa"/>
          </w:tcPr>
          <w:p w14:paraId="6185FDE9" w14:textId="54F462FE" w:rsidR="00557EC0" w:rsidRDefault="00557EC0" w:rsidP="00557EC0">
            <w:pPr>
              <w:rPr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C6ACF59" w14:textId="77777777" w:rsidR="00557EC0" w:rsidRPr="00557EC0" w:rsidRDefault="00557EC0" w:rsidP="00557EC0">
            <w:pPr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2338" w:type="dxa"/>
          </w:tcPr>
          <w:p w14:paraId="58A18543" w14:textId="77777777" w:rsidR="00557EC0" w:rsidRDefault="00557EC0" w:rsidP="00557EC0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78245F6" w14:textId="77777777" w:rsidR="00557EC0" w:rsidRDefault="00557EC0" w:rsidP="00557EC0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</w:p>
        </w:tc>
      </w:tr>
    </w:tbl>
    <w:p w14:paraId="640BDAE6" w14:textId="77777777" w:rsidR="00557EC0" w:rsidRDefault="00557EC0">
      <w:pPr>
        <w:rPr>
          <w:color w:val="222A35" w:themeColor="text2" w:themeShade="80"/>
          <w:sz w:val="24"/>
          <w:szCs w:val="24"/>
        </w:rPr>
      </w:pPr>
    </w:p>
    <w:p w14:paraId="3C162FD3" w14:textId="2D384DC2" w:rsidR="004D7542" w:rsidRDefault="00557EC0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>Tested Batch 2 With the Following data</w:t>
      </w:r>
    </w:p>
    <w:p w14:paraId="1E067319" w14:textId="68D352F2" w:rsidR="00D04A2B" w:rsidRDefault="00D04A2B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>Batch 2:</w:t>
      </w:r>
    </w:p>
    <w:p w14:paraId="0A8B3659" w14:textId="19B0B154" w:rsidR="00557EC0" w:rsidRDefault="00557EC0">
      <w:pPr>
        <w:rPr>
          <w:color w:val="222A35" w:themeColor="text2" w:themeShade="80"/>
          <w:sz w:val="24"/>
          <w:szCs w:val="24"/>
        </w:rPr>
      </w:pPr>
      <w:r>
        <w:rPr>
          <w:sz w:val="20"/>
          <w:szCs w:val="20"/>
        </w:rPr>
        <w:t>T = 1.0, K = 100, sig = 0.2, r = 0.0, S = 100 (then C = 7.96557, P = 7.96557).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522"/>
        <w:gridCol w:w="2337"/>
        <w:gridCol w:w="2338"/>
        <w:gridCol w:w="2338"/>
      </w:tblGrid>
      <w:tr w:rsidR="00557EC0" w14:paraId="16C35429" w14:textId="77777777" w:rsidTr="0015334E">
        <w:tc>
          <w:tcPr>
            <w:tcW w:w="2522" w:type="dxa"/>
          </w:tcPr>
          <w:p w14:paraId="5A572D61" w14:textId="77777777" w:rsidR="00557EC0" w:rsidRDefault="00557EC0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NSIM</w:t>
            </w:r>
          </w:p>
        </w:tc>
        <w:tc>
          <w:tcPr>
            <w:tcW w:w="2337" w:type="dxa"/>
          </w:tcPr>
          <w:p w14:paraId="5D74C092" w14:textId="77777777" w:rsidR="00557EC0" w:rsidRDefault="00557EC0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NT</w:t>
            </w:r>
          </w:p>
        </w:tc>
        <w:tc>
          <w:tcPr>
            <w:tcW w:w="2338" w:type="dxa"/>
          </w:tcPr>
          <w:p w14:paraId="630C952D" w14:textId="77777777" w:rsidR="00557EC0" w:rsidRDefault="00557EC0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CAll</w:t>
            </w:r>
          </w:p>
        </w:tc>
        <w:tc>
          <w:tcPr>
            <w:tcW w:w="2338" w:type="dxa"/>
          </w:tcPr>
          <w:p w14:paraId="74C3CE04" w14:textId="77777777" w:rsidR="00557EC0" w:rsidRDefault="00557EC0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PUT</w:t>
            </w:r>
          </w:p>
        </w:tc>
      </w:tr>
      <w:tr w:rsidR="00557EC0" w14:paraId="37E2A8BE" w14:textId="77777777" w:rsidTr="0015334E">
        <w:tc>
          <w:tcPr>
            <w:tcW w:w="2522" w:type="dxa"/>
          </w:tcPr>
          <w:p w14:paraId="5E80612A" w14:textId="77777777" w:rsidR="00557EC0" w:rsidRDefault="00557EC0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100</w:t>
            </w:r>
          </w:p>
        </w:tc>
        <w:tc>
          <w:tcPr>
            <w:tcW w:w="2337" w:type="dxa"/>
          </w:tcPr>
          <w:p w14:paraId="7E1C71E7" w14:textId="77777777" w:rsidR="00557EC0" w:rsidRDefault="00557EC0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100000</w:t>
            </w:r>
          </w:p>
        </w:tc>
        <w:tc>
          <w:tcPr>
            <w:tcW w:w="2338" w:type="dxa"/>
          </w:tcPr>
          <w:p w14:paraId="244AAF78" w14:textId="1DF767F2" w:rsidR="00557EC0" w:rsidRDefault="00557EC0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7.94362</w:t>
            </w:r>
          </w:p>
        </w:tc>
        <w:tc>
          <w:tcPr>
            <w:tcW w:w="2338" w:type="dxa"/>
          </w:tcPr>
          <w:p w14:paraId="603A4E82" w14:textId="25EC9177" w:rsidR="00557EC0" w:rsidRDefault="00557EC0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 w:rsidRPr="00557EC0">
              <w:rPr>
                <w:color w:val="222A35" w:themeColor="text2" w:themeShade="80"/>
                <w:sz w:val="24"/>
                <w:szCs w:val="24"/>
              </w:rPr>
              <w:t>8.0079</w:t>
            </w:r>
          </w:p>
        </w:tc>
      </w:tr>
      <w:tr w:rsidR="00557EC0" w14:paraId="6200B5A4" w14:textId="77777777" w:rsidTr="0015334E">
        <w:tc>
          <w:tcPr>
            <w:tcW w:w="2522" w:type="dxa"/>
          </w:tcPr>
          <w:p w14:paraId="0D7060DC" w14:textId="77777777" w:rsidR="00557EC0" w:rsidRDefault="00557EC0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100</w:t>
            </w:r>
          </w:p>
        </w:tc>
        <w:tc>
          <w:tcPr>
            <w:tcW w:w="2337" w:type="dxa"/>
          </w:tcPr>
          <w:p w14:paraId="2B40979D" w14:textId="77777777" w:rsidR="00557EC0" w:rsidRDefault="00557EC0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150000</w:t>
            </w:r>
          </w:p>
        </w:tc>
        <w:tc>
          <w:tcPr>
            <w:tcW w:w="2338" w:type="dxa"/>
          </w:tcPr>
          <w:p w14:paraId="680524A5" w14:textId="7D29337B" w:rsidR="00557EC0" w:rsidRDefault="001850EE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7.97081</w:t>
            </w:r>
          </w:p>
        </w:tc>
        <w:tc>
          <w:tcPr>
            <w:tcW w:w="2338" w:type="dxa"/>
          </w:tcPr>
          <w:p w14:paraId="285BBA24" w14:textId="79F771C7" w:rsidR="00557EC0" w:rsidRDefault="001850EE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7.97154</w:t>
            </w:r>
          </w:p>
        </w:tc>
      </w:tr>
      <w:tr w:rsidR="00557EC0" w14:paraId="6ADCD09E" w14:textId="77777777" w:rsidTr="0015334E">
        <w:tc>
          <w:tcPr>
            <w:tcW w:w="2522" w:type="dxa"/>
          </w:tcPr>
          <w:p w14:paraId="5045481E" w14:textId="77777777" w:rsidR="00557EC0" w:rsidRDefault="00557EC0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100</w:t>
            </w:r>
          </w:p>
        </w:tc>
        <w:tc>
          <w:tcPr>
            <w:tcW w:w="2337" w:type="dxa"/>
          </w:tcPr>
          <w:p w14:paraId="0CEC8430" w14:textId="77777777" w:rsidR="00557EC0" w:rsidRDefault="00557EC0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130930</w:t>
            </w:r>
          </w:p>
        </w:tc>
        <w:tc>
          <w:tcPr>
            <w:tcW w:w="2338" w:type="dxa"/>
          </w:tcPr>
          <w:p w14:paraId="6897DE61" w14:textId="79498CB7" w:rsidR="00557EC0" w:rsidRDefault="001850EE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7.95461</w:t>
            </w:r>
          </w:p>
        </w:tc>
        <w:tc>
          <w:tcPr>
            <w:tcW w:w="2338" w:type="dxa"/>
          </w:tcPr>
          <w:p w14:paraId="253B313E" w14:textId="7E9BE688" w:rsidR="00557EC0" w:rsidRDefault="001850EE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7.9938</w:t>
            </w:r>
          </w:p>
        </w:tc>
      </w:tr>
      <w:tr w:rsidR="00557EC0" w14:paraId="2419E532" w14:textId="77777777" w:rsidTr="0015334E">
        <w:tc>
          <w:tcPr>
            <w:tcW w:w="2522" w:type="dxa"/>
          </w:tcPr>
          <w:p w14:paraId="343C26F9" w14:textId="77777777" w:rsidR="00557EC0" w:rsidRDefault="00557EC0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250</w:t>
            </w:r>
          </w:p>
        </w:tc>
        <w:tc>
          <w:tcPr>
            <w:tcW w:w="2337" w:type="dxa"/>
          </w:tcPr>
          <w:p w14:paraId="02AFF5C1" w14:textId="77777777" w:rsidR="00557EC0" w:rsidRDefault="00557EC0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100000</w:t>
            </w:r>
          </w:p>
        </w:tc>
        <w:tc>
          <w:tcPr>
            <w:tcW w:w="2338" w:type="dxa"/>
          </w:tcPr>
          <w:p w14:paraId="337391AE" w14:textId="635B175B" w:rsidR="00557EC0" w:rsidRDefault="001850EE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8.0538</w:t>
            </w:r>
          </w:p>
        </w:tc>
        <w:tc>
          <w:tcPr>
            <w:tcW w:w="2338" w:type="dxa"/>
          </w:tcPr>
          <w:p w14:paraId="73A88C43" w14:textId="5E1D45EE" w:rsidR="00557EC0" w:rsidRDefault="001850EE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7.99155</w:t>
            </w:r>
          </w:p>
        </w:tc>
      </w:tr>
      <w:tr w:rsidR="00557EC0" w14:paraId="3B8E9ABF" w14:textId="77777777" w:rsidTr="0015334E">
        <w:tc>
          <w:tcPr>
            <w:tcW w:w="2522" w:type="dxa"/>
          </w:tcPr>
          <w:p w14:paraId="107A7693" w14:textId="77777777" w:rsidR="00557EC0" w:rsidRDefault="00557EC0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500</w:t>
            </w:r>
          </w:p>
        </w:tc>
        <w:tc>
          <w:tcPr>
            <w:tcW w:w="2337" w:type="dxa"/>
          </w:tcPr>
          <w:p w14:paraId="45239CD9" w14:textId="77777777" w:rsidR="00557EC0" w:rsidRPr="00557EC0" w:rsidRDefault="00557EC0" w:rsidP="0015334E">
            <w:pPr>
              <w:jc w:val="center"/>
              <w:rPr>
                <w:color w:val="222A35" w:themeColor="text2" w:themeShade="80"/>
              </w:rPr>
            </w:pPr>
            <w:r w:rsidRPr="00557EC0">
              <w:rPr>
                <w:rFonts w:ascii="Arial" w:hAnsi="Arial" w:cs="Arial"/>
                <w:color w:val="222222"/>
                <w:shd w:val="clear" w:color="auto" w:fill="FFFFFF"/>
              </w:rPr>
              <w:t>26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000</w:t>
            </w:r>
          </w:p>
        </w:tc>
        <w:tc>
          <w:tcPr>
            <w:tcW w:w="2338" w:type="dxa"/>
          </w:tcPr>
          <w:p w14:paraId="02451A8F" w14:textId="175B83BF" w:rsidR="00557EC0" w:rsidRDefault="001850EE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7.97656</w:t>
            </w:r>
          </w:p>
        </w:tc>
        <w:tc>
          <w:tcPr>
            <w:tcW w:w="2338" w:type="dxa"/>
          </w:tcPr>
          <w:p w14:paraId="30189EBE" w14:textId="768F20D8" w:rsidR="00557EC0" w:rsidRDefault="001850EE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8.05434</w:t>
            </w:r>
          </w:p>
        </w:tc>
      </w:tr>
    </w:tbl>
    <w:p w14:paraId="7A1031E6" w14:textId="6BEBF767" w:rsidR="00557EC0" w:rsidRDefault="00557EC0">
      <w:pPr>
        <w:rPr>
          <w:color w:val="222A35" w:themeColor="text2" w:themeShade="80"/>
          <w:sz w:val="24"/>
          <w:szCs w:val="24"/>
        </w:rPr>
      </w:pPr>
    </w:p>
    <w:p w14:paraId="567F0ADA" w14:textId="514D9614" w:rsidR="001850EE" w:rsidRDefault="001850EE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As one can see that the accuracy is not dependent on one variable. In </w:t>
      </w:r>
      <w:r w:rsidR="00024B56">
        <w:rPr>
          <w:color w:val="222A35" w:themeColor="text2" w:themeShade="80"/>
          <w:sz w:val="24"/>
          <w:szCs w:val="24"/>
        </w:rPr>
        <w:t>fact,</w:t>
      </w:r>
      <w:r>
        <w:rPr>
          <w:color w:val="222A35" w:themeColor="text2" w:themeShade="80"/>
          <w:sz w:val="24"/>
          <w:szCs w:val="24"/>
        </w:rPr>
        <w:t xml:space="preserve"> the accuracy of the option price is dependent both the proportionality of NSIM and NT. Where accuracy is dependent on NT </w:t>
      </w:r>
      <w:r w:rsidR="00024B56">
        <w:rPr>
          <w:color w:val="222A35" w:themeColor="text2" w:themeShade="80"/>
          <w:sz w:val="24"/>
          <w:szCs w:val="24"/>
        </w:rPr>
        <w:t>and NSIM</w:t>
      </w:r>
      <w:r>
        <w:rPr>
          <w:color w:val="222A35" w:themeColor="text2" w:themeShade="80"/>
          <w:sz w:val="24"/>
          <w:szCs w:val="24"/>
        </w:rPr>
        <w:t xml:space="preserve">. That means if the total NT and NSIM is too high then the option </w:t>
      </w:r>
      <w:r w:rsidR="00D146EE">
        <w:rPr>
          <w:color w:val="222A35" w:themeColor="text2" w:themeShade="80"/>
          <w:sz w:val="24"/>
          <w:szCs w:val="24"/>
        </w:rPr>
        <w:t xml:space="preserve">price is not accurate.  </w:t>
      </w:r>
    </w:p>
    <w:p w14:paraId="0F4BCC00" w14:textId="177275C4" w:rsidR="00D146EE" w:rsidRDefault="009249AA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Suppose we had a very close estimation of Option prices with the proper NT </w:t>
      </w:r>
      <w:r w:rsidR="00024B56">
        <w:rPr>
          <w:color w:val="222A35" w:themeColor="text2" w:themeShade="80"/>
          <w:sz w:val="24"/>
          <w:szCs w:val="24"/>
        </w:rPr>
        <w:t>and NSIM</w:t>
      </w:r>
      <w:r>
        <w:rPr>
          <w:color w:val="222A35" w:themeColor="text2" w:themeShade="80"/>
          <w:sz w:val="24"/>
          <w:szCs w:val="24"/>
        </w:rPr>
        <w:t>. If</w:t>
      </w:r>
      <w:r w:rsidR="00024B56">
        <w:rPr>
          <w:color w:val="222A35" w:themeColor="text2" w:themeShade="80"/>
          <w:sz w:val="24"/>
          <w:szCs w:val="24"/>
        </w:rPr>
        <w:t xml:space="preserve"> on the next test that NT</w:t>
      </w:r>
      <w:r w:rsidR="00D146EE">
        <w:rPr>
          <w:color w:val="222A35" w:themeColor="text2" w:themeShade="80"/>
          <w:sz w:val="24"/>
          <w:szCs w:val="24"/>
        </w:rPr>
        <w:t xml:space="preserve"> is raised higher th</w:t>
      </w:r>
      <w:r w:rsidR="00024B56">
        <w:rPr>
          <w:color w:val="222A35" w:themeColor="text2" w:themeShade="80"/>
          <w:sz w:val="24"/>
          <w:szCs w:val="24"/>
        </w:rPr>
        <w:t>e</w:t>
      </w:r>
      <w:r w:rsidR="00D146EE">
        <w:rPr>
          <w:color w:val="222A35" w:themeColor="text2" w:themeShade="80"/>
          <w:sz w:val="24"/>
          <w:szCs w:val="24"/>
        </w:rPr>
        <w:t xml:space="preserve">n NSIM needs to be lowered in order to get accurate option price. </w:t>
      </w:r>
      <w:r w:rsidR="00024B56">
        <w:rPr>
          <w:color w:val="222A35" w:themeColor="text2" w:themeShade="80"/>
          <w:sz w:val="24"/>
          <w:szCs w:val="24"/>
        </w:rPr>
        <w:t>And likewise,</w:t>
      </w:r>
      <w:r w:rsidR="00D146EE">
        <w:rPr>
          <w:color w:val="222A35" w:themeColor="text2" w:themeShade="80"/>
          <w:sz w:val="24"/>
          <w:szCs w:val="24"/>
        </w:rPr>
        <w:t xml:space="preserve"> for NSIM.</w:t>
      </w:r>
      <w:r>
        <w:rPr>
          <w:color w:val="222A35" w:themeColor="text2" w:themeShade="80"/>
          <w:sz w:val="24"/>
          <w:szCs w:val="24"/>
        </w:rPr>
        <w:t xml:space="preserve"> </w:t>
      </w:r>
      <w:r w:rsidR="00024B56">
        <w:rPr>
          <w:color w:val="222A35" w:themeColor="text2" w:themeShade="80"/>
          <w:sz w:val="24"/>
          <w:szCs w:val="24"/>
        </w:rPr>
        <w:t>The</w:t>
      </w:r>
      <w:r>
        <w:rPr>
          <w:color w:val="222A35" w:themeColor="text2" w:themeShade="80"/>
          <w:sz w:val="24"/>
          <w:szCs w:val="24"/>
        </w:rPr>
        <w:t xml:space="preserve"> best numbers I have found are </w:t>
      </w:r>
      <w:r w:rsidR="00024B56">
        <w:rPr>
          <w:color w:val="222A35" w:themeColor="text2" w:themeShade="80"/>
          <w:sz w:val="24"/>
          <w:szCs w:val="24"/>
        </w:rPr>
        <w:t xml:space="preserve">found was </w:t>
      </w:r>
      <w:r>
        <w:rPr>
          <w:color w:val="222A35" w:themeColor="text2" w:themeShade="80"/>
          <w:sz w:val="24"/>
          <w:szCs w:val="24"/>
        </w:rPr>
        <w:t>when NSIM = 100 and NT = 130930.</w:t>
      </w:r>
    </w:p>
    <w:p w14:paraId="0DE217DB" w14:textId="35B9DD7D" w:rsidR="009249AA" w:rsidRDefault="009249AA">
      <w:pPr>
        <w:rPr>
          <w:color w:val="222A35" w:themeColor="text2" w:themeShade="80"/>
          <w:sz w:val="24"/>
          <w:szCs w:val="24"/>
        </w:rPr>
      </w:pPr>
    </w:p>
    <w:p w14:paraId="3672CF57" w14:textId="380A483B" w:rsidR="009249AA" w:rsidRDefault="009249AA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>Part C)</w:t>
      </w:r>
    </w:p>
    <w:p w14:paraId="7D81D992" w14:textId="70847A8B" w:rsidR="002F7E3D" w:rsidRDefault="002F7E3D">
      <w:pPr>
        <w:rPr>
          <w:color w:val="222A35" w:themeColor="text2" w:themeShade="80"/>
          <w:sz w:val="24"/>
          <w:szCs w:val="24"/>
        </w:rPr>
      </w:pPr>
    </w:p>
    <w:p w14:paraId="5ADB0B57" w14:textId="41BEDB80" w:rsidR="009249AA" w:rsidRDefault="009249AA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lastRenderedPageBreak/>
        <w:t>Test Batch 4)</w:t>
      </w:r>
    </w:p>
    <w:p w14:paraId="555714EA" w14:textId="7D35AE87" w:rsidR="009249AA" w:rsidRDefault="009249AA">
      <w:pPr>
        <w:rPr>
          <w:sz w:val="20"/>
          <w:szCs w:val="20"/>
        </w:rPr>
      </w:pPr>
      <w:r>
        <w:rPr>
          <w:sz w:val="20"/>
          <w:szCs w:val="20"/>
        </w:rPr>
        <w:t>T = 30.0, K = 100.0, sig = 0.30, r = 0.08, S = 100.0 (C = 92.17570, P = 1.24750).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522"/>
        <w:gridCol w:w="2337"/>
        <w:gridCol w:w="2338"/>
        <w:gridCol w:w="2338"/>
      </w:tblGrid>
      <w:tr w:rsidR="002F7E3D" w14:paraId="7A8EF365" w14:textId="77777777" w:rsidTr="0015334E">
        <w:tc>
          <w:tcPr>
            <w:tcW w:w="2522" w:type="dxa"/>
          </w:tcPr>
          <w:p w14:paraId="271BF47F" w14:textId="77777777" w:rsidR="002F7E3D" w:rsidRDefault="002F7E3D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NSIM</w:t>
            </w:r>
          </w:p>
        </w:tc>
        <w:tc>
          <w:tcPr>
            <w:tcW w:w="2337" w:type="dxa"/>
          </w:tcPr>
          <w:p w14:paraId="767F6C1F" w14:textId="77777777" w:rsidR="002F7E3D" w:rsidRDefault="002F7E3D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NT</w:t>
            </w:r>
          </w:p>
        </w:tc>
        <w:tc>
          <w:tcPr>
            <w:tcW w:w="2338" w:type="dxa"/>
          </w:tcPr>
          <w:p w14:paraId="1163E61D" w14:textId="77777777" w:rsidR="002F7E3D" w:rsidRDefault="002F7E3D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CAll</w:t>
            </w:r>
          </w:p>
        </w:tc>
        <w:tc>
          <w:tcPr>
            <w:tcW w:w="2338" w:type="dxa"/>
          </w:tcPr>
          <w:p w14:paraId="407F9BF6" w14:textId="77777777" w:rsidR="002F7E3D" w:rsidRDefault="002F7E3D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PUT</w:t>
            </w:r>
          </w:p>
        </w:tc>
      </w:tr>
      <w:tr w:rsidR="002F7E3D" w14:paraId="106256C3" w14:textId="77777777" w:rsidTr="0015334E">
        <w:tc>
          <w:tcPr>
            <w:tcW w:w="2522" w:type="dxa"/>
          </w:tcPr>
          <w:p w14:paraId="591C7163" w14:textId="77777777" w:rsidR="002F7E3D" w:rsidRDefault="002F7E3D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100</w:t>
            </w:r>
          </w:p>
        </w:tc>
        <w:tc>
          <w:tcPr>
            <w:tcW w:w="2337" w:type="dxa"/>
          </w:tcPr>
          <w:p w14:paraId="3336BB02" w14:textId="77777777" w:rsidR="002F7E3D" w:rsidRDefault="002F7E3D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100000</w:t>
            </w:r>
          </w:p>
        </w:tc>
        <w:tc>
          <w:tcPr>
            <w:tcW w:w="2338" w:type="dxa"/>
          </w:tcPr>
          <w:p w14:paraId="55B0FF9C" w14:textId="50F7A7C5" w:rsidR="002F7E3D" w:rsidRDefault="002F7E3D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89.4248</w:t>
            </w:r>
          </w:p>
        </w:tc>
        <w:tc>
          <w:tcPr>
            <w:tcW w:w="2338" w:type="dxa"/>
          </w:tcPr>
          <w:p w14:paraId="024AF33F" w14:textId="606594FB" w:rsidR="002F7E3D" w:rsidRDefault="0008499D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1.29604</w:t>
            </w:r>
          </w:p>
        </w:tc>
      </w:tr>
      <w:tr w:rsidR="002F7E3D" w14:paraId="1431F515" w14:textId="77777777" w:rsidTr="0015334E">
        <w:tc>
          <w:tcPr>
            <w:tcW w:w="2522" w:type="dxa"/>
          </w:tcPr>
          <w:p w14:paraId="27A72407" w14:textId="77777777" w:rsidR="002F7E3D" w:rsidRDefault="002F7E3D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100</w:t>
            </w:r>
          </w:p>
        </w:tc>
        <w:tc>
          <w:tcPr>
            <w:tcW w:w="2337" w:type="dxa"/>
          </w:tcPr>
          <w:p w14:paraId="521DD8F7" w14:textId="77777777" w:rsidR="002F7E3D" w:rsidRDefault="002F7E3D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150000</w:t>
            </w:r>
          </w:p>
        </w:tc>
        <w:tc>
          <w:tcPr>
            <w:tcW w:w="2338" w:type="dxa"/>
          </w:tcPr>
          <w:p w14:paraId="5E194CF4" w14:textId="1DB56B06" w:rsidR="002F7E3D" w:rsidRDefault="002F7E3D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89.5599</w:t>
            </w:r>
          </w:p>
        </w:tc>
        <w:tc>
          <w:tcPr>
            <w:tcW w:w="2338" w:type="dxa"/>
          </w:tcPr>
          <w:p w14:paraId="0BAA0296" w14:textId="1C6220D0" w:rsidR="002F7E3D" w:rsidRDefault="0008499D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1.28795</w:t>
            </w:r>
          </w:p>
        </w:tc>
      </w:tr>
      <w:tr w:rsidR="002F7E3D" w14:paraId="56619239" w14:textId="77777777" w:rsidTr="0015334E">
        <w:tc>
          <w:tcPr>
            <w:tcW w:w="2522" w:type="dxa"/>
          </w:tcPr>
          <w:p w14:paraId="5B93F022" w14:textId="77777777" w:rsidR="002F7E3D" w:rsidRDefault="002F7E3D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100</w:t>
            </w:r>
          </w:p>
        </w:tc>
        <w:tc>
          <w:tcPr>
            <w:tcW w:w="2337" w:type="dxa"/>
          </w:tcPr>
          <w:p w14:paraId="55702975" w14:textId="61EAF19C" w:rsidR="002F7E3D" w:rsidRDefault="002F7E3D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190000</w:t>
            </w:r>
          </w:p>
        </w:tc>
        <w:tc>
          <w:tcPr>
            <w:tcW w:w="2338" w:type="dxa"/>
          </w:tcPr>
          <w:p w14:paraId="4AF356ED" w14:textId="083AA482" w:rsidR="002F7E3D" w:rsidRDefault="002F7E3D" w:rsidP="002F7E3D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89.4228</w:t>
            </w:r>
          </w:p>
        </w:tc>
        <w:tc>
          <w:tcPr>
            <w:tcW w:w="2338" w:type="dxa"/>
          </w:tcPr>
          <w:p w14:paraId="745AB1BD" w14:textId="3F8C40E3" w:rsidR="002F7E3D" w:rsidRDefault="0008499D" w:rsidP="007E40F8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1.29036</w:t>
            </w:r>
          </w:p>
        </w:tc>
      </w:tr>
      <w:tr w:rsidR="002F7E3D" w14:paraId="5A4966DF" w14:textId="77777777" w:rsidTr="0015334E">
        <w:tc>
          <w:tcPr>
            <w:tcW w:w="2522" w:type="dxa"/>
          </w:tcPr>
          <w:p w14:paraId="78338A91" w14:textId="77777777" w:rsidR="002F7E3D" w:rsidRDefault="002F7E3D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250</w:t>
            </w:r>
          </w:p>
        </w:tc>
        <w:tc>
          <w:tcPr>
            <w:tcW w:w="2337" w:type="dxa"/>
          </w:tcPr>
          <w:p w14:paraId="6C57D229" w14:textId="43691145" w:rsidR="002F7E3D" w:rsidRDefault="007E40F8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8</w:t>
            </w:r>
            <w:r w:rsidR="0008499D">
              <w:rPr>
                <w:color w:val="222A35" w:themeColor="text2" w:themeShade="80"/>
                <w:sz w:val="24"/>
                <w:szCs w:val="24"/>
              </w:rPr>
              <w:t>9</w:t>
            </w:r>
            <w:r w:rsidR="002F7E3D">
              <w:rPr>
                <w:color w:val="222A35" w:themeColor="text2" w:themeShade="80"/>
                <w:sz w:val="24"/>
                <w:szCs w:val="24"/>
              </w:rPr>
              <w:t>000</w:t>
            </w:r>
          </w:p>
        </w:tc>
        <w:tc>
          <w:tcPr>
            <w:tcW w:w="2338" w:type="dxa"/>
          </w:tcPr>
          <w:p w14:paraId="002667E8" w14:textId="1F60879C" w:rsidR="002F7E3D" w:rsidRDefault="007E40F8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92.2866</w:t>
            </w:r>
          </w:p>
        </w:tc>
        <w:tc>
          <w:tcPr>
            <w:tcW w:w="2338" w:type="dxa"/>
          </w:tcPr>
          <w:p w14:paraId="5C6CF03E" w14:textId="0F2C9EDD" w:rsidR="002F7E3D" w:rsidRDefault="0008499D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1.27049</w:t>
            </w:r>
          </w:p>
        </w:tc>
      </w:tr>
      <w:tr w:rsidR="002F7E3D" w14:paraId="14B56FD8" w14:textId="77777777" w:rsidTr="0015334E">
        <w:tc>
          <w:tcPr>
            <w:tcW w:w="2522" w:type="dxa"/>
          </w:tcPr>
          <w:p w14:paraId="4CFC53E6" w14:textId="7A6EA22C" w:rsidR="002F7E3D" w:rsidRDefault="009D4047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</w:t>
            </w:r>
            <w:r w:rsidR="00C26A0F">
              <w:rPr>
                <w:color w:val="222A35" w:themeColor="text2" w:themeShade="80"/>
                <w:sz w:val="24"/>
                <w:szCs w:val="24"/>
              </w:rPr>
              <w:t>1</w:t>
            </w:r>
            <w:r w:rsidR="002F7E3D">
              <w:rPr>
                <w:color w:val="222A35" w:themeColor="text2" w:themeShade="80"/>
                <w:sz w:val="24"/>
                <w:szCs w:val="24"/>
              </w:rPr>
              <w:t>00</w:t>
            </w:r>
          </w:p>
        </w:tc>
        <w:tc>
          <w:tcPr>
            <w:tcW w:w="2337" w:type="dxa"/>
          </w:tcPr>
          <w:p w14:paraId="072B850F" w14:textId="2A0B4AA7" w:rsidR="002F7E3D" w:rsidRPr="00557EC0" w:rsidRDefault="007300BD" w:rsidP="0015334E">
            <w:pPr>
              <w:jc w:val="center"/>
              <w:rPr>
                <w:color w:val="222A35" w:themeColor="text2" w:themeShade="80"/>
              </w:rPr>
            </w:pPr>
            <w:r>
              <w:rPr>
                <w:color w:val="222A35" w:themeColor="text2" w:themeShade="80"/>
              </w:rPr>
              <w:t>9</w:t>
            </w:r>
            <w:r w:rsidR="009D4047">
              <w:rPr>
                <w:color w:val="222A35" w:themeColor="text2" w:themeShade="80"/>
              </w:rPr>
              <w:t>85</w:t>
            </w:r>
            <w:r>
              <w:rPr>
                <w:color w:val="222A35" w:themeColor="text2" w:themeShade="80"/>
              </w:rPr>
              <w:t>00</w:t>
            </w:r>
          </w:p>
        </w:tc>
        <w:tc>
          <w:tcPr>
            <w:tcW w:w="2338" w:type="dxa"/>
          </w:tcPr>
          <w:p w14:paraId="2B9C5682" w14:textId="59E1AFC7" w:rsidR="002F7E3D" w:rsidRDefault="002F7E3D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92.</w:t>
            </w:r>
            <w:r w:rsidR="00C26A0F">
              <w:rPr>
                <w:color w:val="222A35" w:themeColor="text2" w:themeShade="80"/>
                <w:sz w:val="24"/>
                <w:szCs w:val="24"/>
              </w:rPr>
              <w:t>5</w:t>
            </w:r>
            <w:r w:rsidR="007E40F8">
              <w:rPr>
                <w:color w:val="222A35" w:themeColor="text2" w:themeShade="80"/>
                <w:sz w:val="24"/>
                <w:szCs w:val="24"/>
              </w:rPr>
              <w:t>482</w:t>
            </w:r>
          </w:p>
        </w:tc>
        <w:tc>
          <w:tcPr>
            <w:tcW w:w="2338" w:type="dxa"/>
          </w:tcPr>
          <w:p w14:paraId="27AF8CB3" w14:textId="33000C96" w:rsidR="002F7E3D" w:rsidRDefault="00024B56" w:rsidP="0015334E">
            <w:pPr>
              <w:jc w:val="center"/>
              <w:rPr>
                <w:color w:val="222A35" w:themeColor="text2" w:themeShade="80"/>
                <w:sz w:val="24"/>
                <w:szCs w:val="24"/>
              </w:rPr>
            </w:pPr>
            <w:r>
              <w:rPr>
                <w:color w:val="222A35" w:themeColor="text2" w:themeShade="80"/>
                <w:sz w:val="24"/>
                <w:szCs w:val="24"/>
              </w:rPr>
              <w:t>1.26529</w:t>
            </w:r>
          </w:p>
        </w:tc>
      </w:tr>
    </w:tbl>
    <w:p w14:paraId="0F756E7A" w14:textId="1101093D" w:rsidR="002F7E3D" w:rsidRDefault="002F7E3D">
      <w:pPr>
        <w:rPr>
          <w:color w:val="222A35" w:themeColor="text2" w:themeShade="80"/>
          <w:sz w:val="24"/>
          <w:szCs w:val="24"/>
        </w:rPr>
      </w:pPr>
    </w:p>
    <w:p w14:paraId="6FCC251A" w14:textId="14C8FA96" w:rsidR="005E65DD" w:rsidRPr="004D7542" w:rsidRDefault="005E65DD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In this case if NSIM is too low </w:t>
      </w:r>
      <w:r w:rsidR="007300BD">
        <w:rPr>
          <w:color w:val="222A35" w:themeColor="text2" w:themeShade="80"/>
          <w:sz w:val="24"/>
          <w:szCs w:val="24"/>
        </w:rPr>
        <w:t xml:space="preserve">than we </w:t>
      </w:r>
      <w:r w:rsidR="00024B56">
        <w:rPr>
          <w:color w:val="222A35" w:themeColor="text2" w:themeShade="80"/>
          <w:sz w:val="24"/>
          <w:szCs w:val="24"/>
        </w:rPr>
        <w:t>must</w:t>
      </w:r>
      <w:r w:rsidR="007300BD">
        <w:rPr>
          <w:color w:val="222A35" w:themeColor="text2" w:themeShade="80"/>
          <w:sz w:val="24"/>
          <w:szCs w:val="24"/>
        </w:rPr>
        <w:t xml:space="preserve"> increase NT drastically.  Batch 4 was more sensitive to NSIM than batches 1</w:t>
      </w:r>
      <w:r w:rsidR="00C26A0F">
        <w:rPr>
          <w:color w:val="222A35" w:themeColor="text2" w:themeShade="80"/>
          <w:sz w:val="24"/>
          <w:szCs w:val="24"/>
        </w:rPr>
        <w:t xml:space="preserve"> and 2)</w:t>
      </w:r>
      <w:r w:rsidR="00024B56">
        <w:rPr>
          <w:color w:val="222A35" w:themeColor="text2" w:themeShade="80"/>
          <w:sz w:val="24"/>
          <w:szCs w:val="24"/>
        </w:rPr>
        <w:t xml:space="preserve"> and just raising was not sufficient to create an accurate option price</w:t>
      </w:r>
      <w:r w:rsidR="00C26A0F">
        <w:rPr>
          <w:color w:val="222A35" w:themeColor="text2" w:themeShade="80"/>
          <w:sz w:val="24"/>
          <w:szCs w:val="24"/>
        </w:rPr>
        <w:t xml:space="preserve">. </w:t>
      </w:r>
      <w:r w:rsidR="0008499D">
        <w:rPr>
          <w:color w:val="222A35" w:themeColor="text2" w:themeShade="80"/>
          <w:sz w:val="24"/>
          <w:szCs w:val="24"/>
        </w:rPr>
        <w:t xml:space="preserve"> The best result I have obtain 89000 NT and NSIM for 250.</w:t>
      </w:r>
    </w:p>
    <w:sectPr w:rsidR="005E65DD" w:rsidRPr="004D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42"/>
    <w:rsid w:val="00024B56"/>
    <w:rsid w:val="0008499D"/>
    <w:rsid w:val="001850EE"/>
    <w:rsid w:val="00264799"/>
    <w:rsid w:val="002F7E3D"/>
    <w:rsid w:val="004D7542"/>
    <w:rsid w:val="00557EC0"/>
    <w:rsid w:val="005E65DD"/>
    <w:rsid w:val="00647DC4"/>
    <w:rsid w:val="007300BD"/>
    <w:rsid w:val="007E40F8"/>
    <w:rsid w:val="009249AA"/>
    <w:rsid w:val="009D4047"/>
    <w:rsid w:val="00A14849"/>
    <w:rsid w:val="00BF2398"/>
    <w:rsid w:val="00C26A0F"/>
    <w:rsid w:val="00C94018"/>
    <w:rsid w:val="00D04A2B"/>
    <w:rsid w:val="00D146EE"/>
    <w:rsid w:val="00ED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F3F0"/>
  <w15:chartTrackingRefBased/>
  <w15:docId w15:val="{2110FFF6-12AC-4DE3-9CB0-26D3E61D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2020-07-18T16:10:00Z</dcterms:created>
  <dcterms:modified xsi:type="dcterms:W3CDTF">2020-07-18T21:18:00Z</dcterms:modified>
</cp:coreProperties>
</file>