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P R O J E C T   P L A N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eastAsia="SimHei" w:ascii="Arial"/>
                      <w:b/>
                      <w:bCs/>
                      <w:color w:val="FFFFFF"/>
                      <w:sz w:val="80"/>
                      <w:szCs w:val="80"/>
                    </w:rPr>
                    <w:t xml:space="preserve">多媒体内容库建设项目计划书</w:t>
                  </w:r>
                </w:p>
                <w:p>
                  <w:pPr>
                    <w:spacing w:after="100"/>
                  </w:pPr>
                  <w:r>
                    <w:rPr>
                      <w:rFonts w:eastAsia="Microsoft YaHei" w:ascii="Arial"/>
                      <w:color w:val="B0B8C0"/>
                      <w:sz w:val="24"/>
                      <w:szCs w:val="24"/>
                    </w:rPr>
                    <w:t xml:space="preserve">—— AI 辅助下的影视、书籍、图片与音频内容采集与整理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项目名称：多媒体内容库建设</w:t>
            </w: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文档类型：项目计划书</w:t>
            </w: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版本：V1.0</w:t>
            </w: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日期：2026 年 7 月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内部文档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版权与合规优先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240" w:after="240"/>
        <w:jc w:val="center"/>
      </w:pPr>
      <w:r>
        <w:rPr>
          <w:rFonts w:ascii="Calibri" w:eastAsia="SimHei"/>
          <w:b/>
          <w:bCs/>
          <w:color w:val="2C3E50"/>
          <w:sz w:val="36"/>
          <w:szCs w:val="36"/>
        </w:rPr>
        <w:t xml:space="preserve">目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二、项目背景与现状分析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项目背景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现状与问题分析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项目范围与边界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三、目标与预期成果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总体目标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分类目标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3.2.1 影视内容（1,000 部）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3.2.2 书籍内容（10,000 本）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3.2.3 图片内容（100,000 张）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3.2.4 音频内容（100,000 首）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预期成果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四、版权与合规保障（核心章节）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合法来源原则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明确禁止的行为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来源登记与可追溯机制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4.4 审核流程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五、技术方案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5.1 总体架构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5.2 AI 辅助的作用与边界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5.3 存储与检索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5.4 环境与工具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六、实施路线与里程碑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6.1 阶段性数量分配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七、资源需求与预算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7.1 人力资源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7.2 硬件与资金预算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八、风险分析与应对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九、预期收益与评估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9.1 预期收益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9.2 评估指标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9.3 结论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附录 A  合法资源渠道示例（待填写）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附录 B  元数据字段规范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80" w:after="0"/>
      </w:pPr>
      <w:r>
        <w:rPr>
          <w:rFonts w:ascii="Calibri" w:eastAsia="Microsoft YaHei"/>
          <w:i/>
          <w:iCs/>
          <w:color w:val="808080"/>
          <w:sz w:val="18"/>
          <w:szCs w:val="18"/>
        </w:rPr>
        <w:t xml:space="preserve">【提示】右键目录→“更新域”可刷新页码。</w:t>
      </w:r>
      <w:r>
        <w:br w:type="page"/>
      </w:r>
    </w:p>
    <w:p>
      <w:pPr>
        <w:pStyle w:val="Heading1"/>
        <w:spacing w:before="360" w:after="160" w:line="312"/>
      </w:pPr>
      <w:bookmarkStart w:id="100000" w:name="_Toc100000"/>
      <w:r>
        <w:rPr>
          <w:rFonts w:ascii="Calibri" w:eastAsia="SimHei"/>
          <w:b/>
          <w:bCs/>
          <w:color w:val="2C3E50"/>
          <w:sz w:val="32"/>
          <w:szCs w:val="32"/>
        </w:rPr>
        <w:t xml:space="preserve">一、项目摘要</w:t>
      </w:r>
      <w:bookmarkEnd w:id="100000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本项目计划建设一个多媒体内容库，通过 AI 辅助执行与人工审核相结合的方式，分阶段采集与整理四类数字资源：影视作品、电子书籍、图片素材、音频素材。项目的核心目标为：采集 1,000 部影视作品、 10,000 本书籍、 100,000 张图片、100,000 首音频，并在采集同时完成元数据标注、版权归属登记与检索体系构建。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项目采用 “AI 辅助下载 + 服务器本地沉淀” 的技术路线，并严格遵守版权与合规边界：所有采集内容仅限于合法授权渠道（公有领域、知识共享协议、授权平台、合法购买等），并在内容入库时同步记录来源、许可证与授权范围，以保障内容库的合法性与可追溯性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项目预计用时 6 个月，分为准备、采集、整理、复盘与交付五个阶段。本计划书重点阐明项目背景、目标与范围、技术方案、实施路线、资源需求、版权与合规保障、风险分析及预期成果与评估方式。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  项目核心指标概览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内容类别</w:t>
            </w:r>
          </w:p>
        </w:tc>
        <w:tc>
          <w:tcPr>
            <w:tcW w:type="pct" w:w="1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目标数量</w:t>
            </w:r>
          </w:p>
        </w:tc>
        <w:tc>
          <w:tcPr>
            <w:tcW w:type="pct" w:w="4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主要来源渠道</w:t>
            </w:r>
          </w:p>
        </w:tc>
        <w:tc>
          <w:tcPr>
            <w:tcW w:type="pct" w:w="2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格式要求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影视作品</w:t>
            </w:r>
          </w:p>
        </w:tc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1,000 部</w:t>
            </w:r>
          </w:p>
        </w:tc>
        <w:tc>
          <w:tcPr>
            <w:tcW w:type="pct" w:w="4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公共领域 / 授权平台 / 合法购买</w:t>
            </w:r>
          </w:p>
        </w:tc>
        <w:tc>
          <w:tcPr>
            <w:tcW w:type="pct" w:w="2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MP4 / MKV，附元数据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电子书籍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10,000 本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公有领域 / CC0 / 授权库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EPUB / PDF，附元数据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图片素材</w:t>
            </w:r>
          </w:p>
        </w:tc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100,000 张</w:t>
            </w:r>
          </w:p>
        </w:tc>
        <w:tc>
          <w:tcPr>
            <w:tcW w:type="pct" w:w="4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CC0 / 授权图库 / 原创</w:t>
            </w:r>
          </w:p>
        </w:tc>
        <w:tc>
          <w:tcPr>
            <w:tcW w:type="pct" w:w="2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JPG / PNG / WEBP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音频素材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100,000 首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CC0 / 授权音库 / 原创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MP3 / WAV / FLAC</w:t>
            </w:r>
          </w:p>
        </w:tc>
      </w:tr>
    </w:tbl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说明：“目标数量”为项目阶段性目标，实际可采集量以合法资源的实际可用规模为准，不为达成数量而突破版权与合规边界。</w:t>
      </w:r>
    </w:p>
    <w:p>
      <w:pPr>
        <w:pStyle w:val="Heading1"/>
        <w:spacing w:before="360" w:after="160" w:line="312"/>
      </w:pPr>
      <w:bookmarkStart w:id="100001" w:name="_Toc100001"/>
      <w:r>
        <w:rPr>
          <w:rFonts w:ascii="Calibri" w:eastAsia="SimHei"/>
          <w:b/>
          <w:bCs/>
          <w:color w:val="2C3E50"/>
          <w:sz w:val="32"/>
          <w:szCs w:val="32"/>
        </w:rPr>
        <w:t xml:space="preserve">二、项目背景与现状分析</w:t>
      </w:r>
      <w:bookmarkEnd w:id="100001"/>
    </w:p>
    <w:p>
      <w:pPr>
        <w:pStyle w:val="Heading2"/>
        <w:spacing w:before="240" w:after="120" w:line="312"/>
      </w:pPr>
      <w:bookmarkStart w:id="100002" w:name="_Toc100002"/>
      <w:r>
        <w:rPr>
          <w:rFonts w:ascii="Calibri" w:eastAsia="SimHei"/>
          <w:b/>
          <w:bCs/>
          <w:color w:val="2C3E50"/>
          <w:sz w:val="28"/>
          <w:szCs w:val="28"/>
        </w:rPr>
        <w:t xml:space="preserve">2.1 项目背景</w:t>
      </w:r>
      <w:bookmarkEnd w:id="100002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随着 AI 模型训练、数字内容创作、教育课件开发与个人知识管理需求的增长，面向多媒体场景的本地内容库价值日益突出。一个结构化、可检索、可追溯来源的内容库，能够为后续的训练数据准备、课件制作、创作参考提供统一的资源底座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使用 AI 辅助下载，是指借助 AI 工具完成资源发现、元数据补全、重复检测、重命名与分类等机械重复性工作，而非用于绕开平台的技术保护或访问授权限制。所有下载行为仅限于明确获得授权的内容，AI 的作用是提高采集与整理的效率，而不是改变授权与合法性的前提。</w:t>
      </w:r>
    </w:p>
    <w:p>
      <w:pPr>
        <w:pStyle w:val="Heading2"/>
        <w:spacing w:before="240" w:after="120" w:line="312"/>
      </w:pPr>
      <w:bookmarkStart w:id="100003" w:name="_Toc100003"/>
      <w:r>
        <w:rPr>
          <w:rFonts w:ascii="Calibri" w:eastAsia="SimHei"/>
          <w:b/>
          <w:bCs/>
          <w:color w:val="2C3E50"/>
          <w:sz w:val="28"/>
          <w:szCs w:val="28"/>
        </w:rPr>
        <w:t xml:space="preserve">2.2 现状与问题分析</w:t>
      </w:r>
      <w:bookmarkEnd w:id="100003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当前在多媒体内容收集与管理中普遍存在以下问题：一是内容分散，缺乏统一的命名与分类规范，难以检索复用；二是元数据缺失，很多文件缺少来源、许可、分类与描述信息，存储久了便无法识别；三是版权风险不可控，缺乏来源登记与审核机制时，存在侵权与合规风险。本项目重点解决后两类问题。</w:t>
      </w:r>
    </w:p>
    <w:p>
      <w:pPr>
        <w:pStyle w:val="Heading2"/>
        <w:spacing w:before="240" w:after="120" w:line="312"/>
      </w:pPr>
      <w:bookmarkStart w:id="100004" w:name="_Toc100004"/>
      <w:r>
        <w:rPr>
          <w:rFonts w:ascii="Calibri" w:eastAsia="SimHei"/>
          <w:b/>
          <w:bCs/>
          <w:color w:val="2C3E50"/>
          <w:sz w:val="28"/>
          <w:szCs w:val="28"/>
        </w:rPr>
        <w:t xml:space="preserve">2.3 项目范围与边界</w:t>
      </w:r>
      <w:bookmarkEnd w:id="100004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本项目仅限于合法获取的内容的采集、整理、标注与本地沉淀，用于个人 / 团队内部的学习、研究与创作参考。本项目不包括：绕开或破解任何平台的技术保护与访问控制；采集任何明确未获授权的受版权保护的内容；对外公开发布或商业分发任何采集内容。如未来需对外使用，必须另行取得对应授权。</w:t>
      </w:r>
    </w:p>
    <w:p>
      <w:pPr>
        <w:pStyle w:val="Heading1"/>
        <w:spacing w:before="360" w:after="160" w:line="312"/>
      </w:pPr>
      <w:bookmarkStart w:id="100005" w:name="_Toc100005"/>
      <w:r>
        <w:rPr>
          <w:rFonts w:ascii="Calibri" w:eastAsia="SimHei"/>
          <w:b/>
          <w:bCs/>
          <w:color w:val="2C3E50"/>
          <w:sz w:val="32"/>
          <w:szCs w:val="32"/>
        </w:rPr>
        <w:t xml:space="preserve">三、目标与预期成果</w:t>
      </w:r>
      <w:bookmarkEnd w:id="100005"/>
    </w:p>
    <w:p>
      <w:pPr>
        <w:pStyle w:val="Heading2"/>
        <w:spacing w:before="240" w:after="120" w:line="312"/>
      </w:pPr>
      <w:bookmarkStart w:id="100006" w:name="_Toc100006"/>
      <w:r>
        <w:rPr>
          <w:rFonts w:ascii="Calibri" w:eastAsia="SimHei"/>
          <w:b/>
          <w:bCs/>
          <w:color w:val="2C3E50"/>
          <w:sz w:val="28"/>
          <w:szCs w:val="28"/>
        </w:rPr>
        <w:t xml:space="preserve">3.1 总体目标</w:t>
      </w:r>
      <w:bookmarkEnd w:id="100006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建成一个结构化、可检索、来源可追溯、版权清晰的本地多媒体内容库，覆盖影视、书籍、图片、音频四类资源，并配套完整的元数据与检索体系。</w:t>
      </w:r>
    </w:p>
    <w:p>
      <w:pPr>
        <w:pStyle w:val="Heading2"/>
        <w:spacing w:before="240" w:after="120" w:line="312"/>
      </w:pPr>
      <w:bookmarkStart w:id="100007" w:name="_Toc100007"/>
      <w:r>
        <w:rPr>
          <w:rFonts w:ascii="Calibri" w:eastAsia="SimHei"/>
          <w:b/>
          <w:bCs/>
          <w:color w:val="2C3E50"/>
          <w:sz w:val="28"/>
          <w:szCs w:val="28"/>
        </w:rPr>
        <w:t xml:space="preserve">3.2 分类目标</w:t>
      </w:r>
      <w:bookmarkEnd w:id="100007"/>
    </w:p>
    <w:p>
      <w:pPr>
        <w:pStyle w:val="Heading3"/>
        <w:spacing w:before="200" w:after="100" w:line="312"/>
      </w:pPr>
      <w:bookmarkStart w:id="100008" w:name="_Toc100008"/>
      <w:r>
        <w:rPr>
          <w:rFonts w:ascii="Calibri" w:eastAsia="SimHei"/>
          <w:b/>
          <w:bCs/>
          <w:color w:val="2C3E50"/>
          <w:sz w:val="24"/>
          <w:szCs w:val="24"/>
        </w:rPr>
        <w:t xml:space="preserve">3.2.1 影视内容（1,000 部）</w:t>
      </w:r>
      <w:bookmarkEnd w:id="100008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覆盖电影、电视剧、综艺、体育赛事、演唱会等类型。优先采集已进入公有领域的作品、平台官方提供下载的内容、以及持有明确授权的内容。每部作品需附带标题、年代、类型、来源、许可证明等元数据。</w:t>
      </w:r>
    </w:p>
    <w:p>
      <w:pPr>
        <w:pStyle w:val="Heading3"/>
        <w:spacing w:before="200" w:after="100" w:line="312"/>
      </w:pPr>
      <w:bookmarkStart w:id="100009" w:name="_Toc100009"/>
      <w:r>
        <w:rPr>
          <w:rFonts w:ascii="Calibri" w:eastAsia="SimHei"/>
          <w:b/>
          <w:bCs/>
          <w:color w:val="2C3E50"/>
          <w:sz w:val="24"/>
          <w:szCs w:val="24"/>
        </w:rPr>
        <w:t xml:space="preserve">3.2.2 书籍内容（10,000 本）</w:t>
      </w:r>
      <w:bookmarkEnd w:id="100009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覆盖文学、科技、历史、哲学、艺术等领域，优先收集公有领域书籍、 CC0 / 开放许可书籍、以及授权电子书库提供的资源。统一 EPUB / PDF 格式，附带书名、作者、出版年代、分类、许可类型等元数据。</w:t>
      </w:r>
    </w:p>
    <w:p>
      <w:pPr>
        <w:pStyle w:val="Heading3"/>
        <w:spacing w:before="200" w:after="100" w:line="312"/>
      </w:pPr>
      <w:bookmarkStart w:id="100010" w:name="_Toc100010"/>
      <w:r>
        <w:rPr>
          <w:rFonts w:ascii="Calibri" w:eastAsia="SimHei"/>
          <w:b/>
          <w:bCs/>
          <w:color w:val="2C3E50"/>
          <w:sz w:val="24"/>
          <w:szCs w:val="24"/>
        </w:rPr>
        <w:t xml:space="preserve">3.2.3 图片内容（100,000 张）</w:t>
      </w:r>
      <w:bookmarkEnd w:id="100010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覆盖多种格式（JPG / PNG / WEBP）与多种尺寸，优先采集 CC0 图库、授权商用图库以及原创作品。每张图片附带描述、标签、尺寸、来源与许可信息。</w:t>
      </w:r>
    </w:p>
    <w:p>
      <w:pPr>
        <w:pStyle w:val="Heading3"/>
        <w:spacing w:before="200" w:after="100" w:line="312"/>
      </w:pPr>
      <w:bookmarkStart w:id="100011" w:name="_Toc100011"/>
      <w:r>
        <w:rPr>
          <w:rFonts w:ascii="Calibri" w:eastAsia="SimHei"/>
          <w:b/>
          <w:bCs/>
          <w:color w:val="2C3E50"/>
          <w:sz w:val="24"/>
          <w:szCs w:val="24"/>
        </w:rPr>
        <w:t xml:space="preserve">3.2.4 音频内容（100,000 首）</w:t>
      </w:r>
      <w:bookmarkEnd w:id="100011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覆盖音乐、音效、录音素材等类型，优先采集 CC0 音库、授权免版权音效库、以及原创录音。统一 MP3 / WAV / FLAC 格式，附带标题、时长、类型、来源与许可信息。</w:t>
      </w:r>
    </w:p>
    <w:p>
      <w:pPr>
        <w:pStyle w:val="Heading2"/>
        <w:spacing w:before="240" w:after="120" w:line="312"/>
      </w:pPr>
      <w:bookmarkStart w:id="100012" w:name="_Toc100012"/>
      <w:r>
        <w:rPr>
          <w:rFonts w:ascii="Calibri" w:eastAsia="SimHei"/>
          <w:b/>
          <w:bCs/>
          <w:color w:val="2C3E50"/>
          <w:sz w:val="28"/>
          <w:szCs w:val="28"/>
        </w:rPr>
        <w:t xml:space="preserve">3.3 预期成果</w:t>
      </w:r>
      <w:bookmarkEnd w:id="100012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交付物包括：结构化的本地内容库（按类型 / 分类 / 标签分层存储）、完整的元数据索引（每条记录均可追溯来源与许可）、检索工具或脚本、以及本项目说明文档与版权清单。</w:t>
      </w:r>
    </w:p>
    <w:p>
      <w:pPr>
        <w:pStyle w:val="Heading1"/>
        <w:spacing w:before="360" w:after="160" w:line="312"/>
      </w:pPr>
      <w:bookmarkStart w:id="100013" w:name="_Toc100013"/>
      <w:r>
        <w:rPr>
          <w:rFonts w:ascii="Calibri" w:eastAsia="SimHei"/>
          <w:b/>
          <w:bCs/>
          <w:color w:val="2C3E50"/>
          <w:sz w:val="32"/>
          <w:szCs w:val="32"/>
        </w:rPr>
        <w:t xml:space="preserve">四、版权与合规保障（核心章节）</w:t>
      </w:r>
      <w:bookmarkEnd w:id="100013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本章节为项目的前提性约束。版权与合规是区别“合法内容库”与“侵权行为”的关键，任何采集行为均必须在本章节框架之内进行。</w:t>
      </w:r>
    </w:p>
    <w:p>
      <w:pPr>
        <w:pStyle w:val="Heading2"/>
        <w:spacing w:before="240" w:after="120" w:line="312"/>
      </w:pPr>
      <w:bookmarkStart w:id="100014" w:name="_Toc100014"/>
      <w:r>
        <w:rPr>
          <w:rFonts w:ascii="Calibri" w:eastAsia="SimHei"/>
          <w:b/>
          <w:bCs/>
          <w:color w:val="2C3E50"/>
          <w:sz w:val="28"/>
          <w:szCs w:val="28"/>
        </w:rPr>
        <w:t xml:space="preserve">4.1 合法来源原则</w:t>
      </w:r>
      <w:bookmarkEnd w:id="100014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采集内容必须满足以下之一：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公有领域（Public Domain）：著作权财产权已过期或从未受保护，如古典文学、古典音乐、历史影像等。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知识共享或开放许可（如 CC0、CC BY、CC BY-SA、Apache、MIT、GPL 等），且严格遵守其条款（如署名、相同方式共享、是否允许商用等）。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平台明确授权提供下载的内容，如官方提供的开放课件、官方发布的宣传片、平台明确允许离线使用的资源等。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通过合法渠道购买并获得本地使用授权的内容，如正版电子书、正版音乐、正版影音制品。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本人 / 团队原创的作品。</w:t>
      </w:r>
    </w:p>
    <w:p>
      <w:pPr>
        <w:pStyle w:val="Heading2"/>
        <w:spacing w:before="240" w:after="120" w:line="312"/>
      </w:pPr>
      <w:bookmarkStart w:id="100015" w:name="_Toc100015"/>
      <w:r>
        <w:rPr>
          <w:rFonts w:ascii="Calibri" w:eastAsia="SimHei"/>
          <w:b/>
          <w:bCs/>
          <w:color w:val="2C3E50"/>
          <w:sz w:val="28"/>
          <w:szCs w:val="28"/>
        </w:rPr>
        <w:t xml:space="preserve">4.2 明确禁止的行为</w:t>
      </w:r>
      <w:bookmarkEnd w:id="100015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以下行为在本项目中被明确禁止：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采集明确未获授权、仍受版权保护的影视作品、书籍、音乐、图片等。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使用爬虫、破解技术、账号共享等方式绕开平台的付费墙、技术保护或访问控制。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对采集的内容进行删除水印、篡改来源信息、伪造许可证明等侵权操作。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将采集内容用于公开分发、商业运营或二次出售，除非单独取得对应授权。</w:t>
      </w:r>
    </w:p>
    <w:p>
      <w:pPr>
        <w:pStyle w:val="Heading2"/>
        <w:spacing w:before="240" w:after="120" w:line="312"/>
      </w:pPr>
      <w:bookmarkStart w:id="100016" w:name="_Toc100016"/>
      <w:r>
        <w:rPr>
          <w:rFonts w:ascii="Calibri" w:eastAsia="SimHei"/>
          <w:b/>
          <w:bCs/>
          <w:color w:val="2C3E50"/>
          <w:sz w:val="28"/>
          <w:szCs w:val="28"/>
        </w:rPr>
        <w:t xml:space="preserve">4.3 来源登记与可追溯机制</w:t>
      </w:r>
      <w:bookmarkEnd w:id="100016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每一条入库记录必须同时存储元数据字段：标题 / 名称、原始来源（URL 或渠道）、采集时间、采集人、许可类型（如 CC0、CC BY、正版购买、原创等）、许可证明或订单号（若有）、备注。未能填写合法来源与许可的内容，一律不得入库。</w:t>
      </w:r>
    </w:p>
    <w:p>
      <w:pPr>
        <w:pStyle w:val="Heading2"/>
        <w:spacing w:before="240" w:after="120" w:line="312"/>
      </w:pPr>
      <w:bookmarkStart w:id="100017" w:name="_Toc100017"/>
      <w:r>
        <w:rPr>
          <w:rFonts w:ascii="Calibri" w:eastAsia="SimHei"/>
          <w:b/>
          <w:bCs/>
          <w:color w:val="2C3E50"/>
          <w:sz w:val="28"/>
          <w:szCs w:val="28"/>
        </w:rPr>
        <w:t xml:space="preserve">4.4 审核流程</w:t>
      </w:r>
      <w:bookmarkEnd w:id="100017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所有采集内容在入库前需经过人工抽查审核：由 AI 初筛来源与许可标签，再由人工复核其来源是否可信、许可是否明确、是否属于合法采集范围。审核不通的内容予以删除，并记录原因。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2  合法来源与禁止行为速查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4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允许（示例）</w:t>
            </w:r>
          </w:p>
        </w:tc>
        <w:tc>
          <w:tcPr>
            <w:tcW w:type="pct" w:w="3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禁止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影视</w:t>
            </w:r>
          </w:p>
        </w:tc>
        <w:tc>
          <w:tcPr>
            <w:tcW w:type="pct" w:w="4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公有领域影片、官方开放课件、正版购买制品</w:t>
            </w:r>
          </w:p>
        </w:tc>
        <w:tc>
          <w:tcPr>
            <w:tcW w:type="pct" w:w="3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未授权的付费影视、爬取付费平台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书籍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古典公版书籍、CC0 书籍、正版电子书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未授权的近现代书籍、盗版 PDF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图片</w:t>
            </w:r>
          </w:p>
        </w:tc>
        <w:tc>
          <w:tcPr>
            <w:tcW w:type="pct" w:w="4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CC0 图库、授权商用图、原创作品</w:t>
            </w:r>
          </w:p>
        </w:tc>
        <w:tc>
          <w:tcPr>
            <w:tcW w:type="pct" w:w="3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未授权的摄影 / 设计作品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音频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CC0 音效、授权免版权音乐、原创录音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未授权的商业音乐、爬取付费音乐平台</w:t>
            </w:r>
          </w:p>
        </w:tc>
      </w:tr>
    </w:tbl>
    <w:p>
      <w:pPr>
        <w:pStyle w:val="Heading1"/>
        <w:spacing w:before="360" w:after="160" w:line="312"/>
      </w:pPr>
      <w:bookmarkStart w:id="100018" w:name="_Toc100018"/>
      <w:r>
        <w:rPr>
          <w:rFonts w:ascii="Calibri" w:eastAsia="SimHei"/>
          <w:b/>
          <w:bCs/>
          <w:color w:val="2C3E50"/>
          <w:sz w:val="32"/>
          <w:szCs w:val="32"/>
        </w:rPr>
        <w:t xml:space="preserve">五、技术方案</w:t>
      </w:r>
      <w:bookmarkEnd w:id="100018"/>
    </w:p>
    <w:p>
      <w:pPr>
        <w:pStyle w:val="Heading2"/>
        <w:spacing w:before="240" w:after="120" w:line="312"/>
      </w:pPr>
      <w:bookmarkStart w:id="100019" w:name="_Toc100019"/>
      <w:r>
        <w:rPr>
          <w:rFonts w:ascii="Calibri" w:eastAsia="SimHei"/>
          <w:b/>
          <w:bCs/>
          <w:color w:val="2C3E50"/>
          <w:sz w:val="28"/>
          <w:szCs w:val="28"/>
        </w:rPr>
        <w:t xml:space="preserve">5.1 总体架构</w:t>
      </w:r>
      <w:bookmarkEnd w:id="100019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采集层（AI 辅助 + 手动下载）→校验层（格式与完整性检查）→标注层（元数据提取与版权登记）→审核层（人工复核）→存储层（本地文件与索引库）→检索层（检索工具 / 脚本）。各层之间以任务队列与日志串接，保证可追溯。</w:t>
      </w:r>
    </w:p>
    <w:p>
      <w:pPr>
        <w:pStyle w:val="Heading2"/>
        <w:spacing w:before="240" w:after="120" w:line="312"/>
      </w:pPr>
      <w:bookmarkStart w:id="100020" w:name="_Toc100020"/>
      <w:r>
        <w:rPr>
          <w:rFonts w:ascii="Calibri" w:eastAsia="SimHei"/>
          <w:b/>
          <w:bCs/>
          <w:color w:val="2C3E50"/>
          <w:sz w:val="28"/>
          <w:szCs w:val="28"/>
        </w:rPr>
        <w:t xml:space="preserve">5.2 AI 辅助的作用与边界</w:t>
      </w:r>
      <w:bookmarkEnd w:id="100020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AI 在本项目中的作用严格限定于“合法获取后的整理”，具体包括：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元数据补全：根据文件名、内容推断标题、作者、年代、分类、标签。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重复检测与去重：基于哈希与感知哈希识别重复文件。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自动分类与命名：按统一规范重命名、建立分类目录。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质量初筛：检测损坏文件、低分辨率图片、损坏音频等。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明确边界：AI 不参与任何绕开技术保护、账号共享、付费墙突破的行为；不对未授权内容进行任何处理。所有涉及版权判断的决策均由人工完成。</w:t>
      </w:r>
    </w:p>
    <w:p>
      <w:pPr>
        <w:pStyle w:val="Heading2"/>
        <w:spacing w:before="240" w:after="120" w:line="312"/>
      </w:pPr>
      <w:bookmarkStart w:id="100021" w:name="_Toc100021"/>
      <w:r>
        <w:rPr>
          <w:rFonts w:ascii="Calibri" w:eastAsia="SimHei"/>
          <w:b/>
          <w:bCs/>
          <w:color w:val="2C3E50"/>
          <w:sz w:val="28"/>
          <w:szCs w:val="28"/>
        </w:rPr>
        <w:t xml:space="preserve">5.3 存储与检索</w:t>
      </w:r>
      <w:bookmarkEnd w:id="100021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采用本地存储 + 索引库的方案。文件按 “类型 / 分类 / 子分类 / 文件” 四层结构存储；元数据与索引使用 SQLite 或类似轻量库，以便快速检索与统计。定期对存储进行完整性校验与备份。</w:t>
      </w:r>
    </w:p>
    <w:p>
      <w:pPr>
        <w:pStyle w:val="Heading2"/>
        <w:spacing w:before="240" w:after="120" w:line="312"/>
      </w:pPr>
      <w:bookmarkStart w:id="100022" w:name="_Toc100022"/>
      <w:r>
        <w:rPr>
          <w:rFonts w:ascii="Calibri" w:eastAsia="SimHei"/>
          <w:b/>
          <w:bCs/>
          <w:color w:val="2C3E50"/>
          <w:sz w:val="28"/>
          <w:szCs w:val="28"/>
        </w:rPr>
        <w:t xml:space="preserve">5.4 环境与工具</w:t>
      </w:r>
      <w:bookmarkEnd w:id="100022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3  环境与工具清单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3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  <w:tc>
          <w:tcPr>
            <w:tcW w:type="pct" w:w="4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type="pct" w:w="3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Node.js / Python</w:t>
            </w:r>
          </w:p>
        </w:tc>
        <w:tc>
          <w:tcPr>
            <w:tcW w:type="pct" w:w="4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采集脚本与整理脚本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文件处理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ffmpeg / Pillow / mutagen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音视频与图片、音频元数据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存储</w:t>
            </w:r>
          </w:p>
        </w:tc>
        <w:tc>
          <w:tcPr>
            <w:tcW w:type="pct" w:w="3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本地硬盘 + NAS（可选）</w:t>
            </w:r>
          </w:p>
        </w:tc>
        <w:tc>
          <w:tcPr>
            <w:tcW w:type="pct" w:w="4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内容与备份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SQLite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元数据与检索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工具</w:t>
            </w:r>
          </w:p>
        </w:tc>
        <w:tc>
          <w:tcPr>
            <w:tcW w:type="pct" w:w="3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多模态 AI 助手</w:t>
            </w:r>
          </w:p>
        </w:tc>
        <w:tc>
          <w:tcPr>
            <w:tcW w:type="pct" w:w="4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元数据补全与初筛</w:t>
            </w:r>
          </w:p>
        </w:tc>
      </w:tr>
    </w:tbl>
    <w:p>
      <w:pPr>
        <w:pStyle w:val="Heading1"/>
        <w:spacing w:before="360" w:after="160" w:line="312"/>
      </w:pPr>
      <w:bookmarkStart w:id="100023" w:name="_Toc100023"/>
      <w:r>
        <w:rPr>
          <w:rFonts w:ascii="Calibri" w:eastAsia="SimHei"/>
          <w:b/>
          <w:bCs/>
          <w:color w:val="2C3E50"/>
          <w:sz w:val="32"/>
          <w:szCs w:val="32"/>
        </w:rPr>
        <w:t xml:space="preserve">六、实施路线与里程碑</w:t>
      </w:r>
      <w:bookmarkEnd w:id="100023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项目预计用时 6 个月，分为五个阶段。各阶段以里程碑交付物为验收标准。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4  阶段与里程碑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4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主要任务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里程碑交付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一、准备</w:t>
            </w:r>
          </w:p>
        </w:tc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1 个月</w:t>
            </w:r>
          </w:p>
        </w:tc>
        <w:tc>
          <w:tcPr>
            <w:tcW w:type="pct" w:w="4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确定合法渠道、制定命名与分类规范、搭建环境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渠道清单与规范文档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二、采集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2–4 个月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按四类分批采集，同步登记来源与许可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各类阶段性数量达标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三、整理</w:t>
            </w:r>
          </w:p>
        </w:tc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5 个月</w:t>
            </w:r>
          </w:p>
        </w:tc>
        <w:tc>
          <w:tcPr>
            <w:tcW w:type="pct" w:w="4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去重、补元数据、分类归档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元数据完整率达标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四、复盘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5 个月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人工抽查审核，删除不合规内容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审核报告与清单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五、交付</w:t>
            </w:r>
          </w:p>
        </w:tc>
        <w:tc>
          <w:tcPr>
            <w:tcW w:type="pct" w:w="1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6 个月</w:t>
            </w:r>
          </w:p>
        </w:tc>
        <w:tc>
          <w:tcPr>
            <w:tcW w:type="pct" w:w="44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检索体系调优、文档与版权清单完善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内容库交付</w:t>
            </w:r>
          </w:p>
        </w:tc>
      </w:tr>
    </w:tbl>
    <w:p>
      <w:pPr>
        <w:pStyle w:val="Heading2"/>
        <w:spacing w:before="240" w:after="120" w:line="312"/>
      </w:pPr>
      <w:bookmarkStart w:id="100024" w:name="_Toc100024"/>
      <w:r>
        <w:rPr>
          <w:rFonts w:ascii="Calibri" w:eastAsia="SimHei"/>
          <w:b/>
          <w:bCs/>
          <w:color w:val="2C3E50"/>
          <w:sz w:val="28"/>
          <w:szCs w:val="28"/>
        </w:rPr>
        <w:t xml:space="preserve">6.1 阶段性数量分配</w:t>
      </w:r>
      <w:bookmarkEnd w:id="100024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为保障采集质量与审核可控，各类内容分批推进，每批完成后进行审核再启动下一批。示例划分如下：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5  阶段性数量分配示例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21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第一批</w:t>
            </w:r>
          </w:p>
        </w:tc>
        <w:tc>
          <w:tcPr>
            <w:tcW w:type="pct" w:w="21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第二批</w:t>
            </w:r>
          </w:p>
        </w:tc>
        <w:tc>
          <w:tcPr>
            <w:tcW w:type="pct" w:w="21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第三批</w:t>
            </w:r>
          </w:p>
        </w:tc>
        <w:tc>
          <w:tcPr>
            <w:tcW w:type="pct" w:w="21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合计目标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影视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300 部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400 部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300 部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1,000 部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书籍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3,000 本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4,000 本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3,000 本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10,000 本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图片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30,000 张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40,000 张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30,000 弤</w:t>
            </w:r>
          </w:p>
        </w:tc>
        <w:tc>
          <w:tcPr>
            <w:tcW w:type="pct" w:w="21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100,000 弤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音频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30,000 首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40,000 首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30,000 首</w:t>
            </w:r>
          </w:p>
        </w:tc>
        <w:tc>
          <w:tcPr>
            <w:tcW w:type="pct" w:w="2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100,000 首</w:t>
            </w:r>
          </w:p>
        </w:tc>
      </w:tr>
    </w:tbl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注：上表为示例划分，实际分批依据合法资源的实际可用性与审核结果动态调整，不为追求数量而放宽合法性要求。</w:t>
      </w:r>
    </w:p>
    <w:p>
      <w:pPr>
        <w:pStyle w:val="Heading1"/>
        <w:spacing w:before="360" w:after="160" w:line="312"/>
      </w:pPr>
      <w:bookmarkStart w:id="100025" w:name="_Toc100025"/>
      <w:r>
        <w:rPr>
          <w:rFonts w:ascii="Calibri" w:eastAsia="SimHei"/>
          <w:b/>
          <w:bCs/>
          <w:color w:val="2C3E50"/>
          <w:sz w:val="32"/>
          <w:szCs w:val="32"/>
        </w:rPr>
        <w:t xml:space="preserve">七、资源需求与预算</w:t>
      </w:r>
      <w:bookmarkEnd w:id="100025"/>
    </w:p>
    <w:p>
      <w:pPr>
        <w:pStyle w:val="Heading2"/>
        <w:spacing w:before="240" w:after="120" w:line="312"/>
      </w:pPr>
      <w:bookmarkStart w:id="100026" w:name="_Toc100026"/>
      <w:r>
        <w:rPr>
          <w:rFonts w:ascii="Calibri" w:eastAsia="SimHei"/>
          <w:b/>
          <w:bCs/>
          <w:color w:val="2C3E50"/>
          <w:sz w:val="28"/>
          <w:szCs w:val="28"/>
        </w:rPr>
        <w:t xml:space="preserve">7.1 人力资源</w:t>
      </w:r>
      <w:bookmarkEnd w:id="100026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6  人力资源需求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5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主要职责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投入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项目负责人</w:t>
            </w:r>
          </w:p>
        </w:tc>
        <w:tc>
          <w:tcPr>
            <w:tcW w:type="pct" w:w="5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统筹、版权决策、审核终审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兼职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采集与整理执行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合法渠道采集、脚本维护、初筛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主要投入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版权审核</w:t>
            </w:r>
          </w:p>
        </w:tc>
        <w:tc>
          <w:tcPr>
            <w:tcW w:type="pct" w:w="5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来源与许可复核、清单维护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兼职</w:t>
            </w:r>
          </w:p>
        </w:tc>
      </w:tr>
    </w:tbl>
    <w:p>
      <w:pPr>
        <w:pStyle w:val="Heading2"/>
        <w:spacing w:before="240" w:after="120" w:line="312"/>
      </w:pPr>
      <w:bookmarkStart w:id="100027" w:name="_Toc100027"/>
      <w:r>
        <w:rPr>
          <w:rFonts w:ascii="Calibri" w:eastAsia="SimHei"/>
          <w:b/>
          <w:bCs/>
          <w:color w:val="2C3E50"/>
          <w:sz w:val="28"/>
          <w:szCs w:val="28"/>
        </w:rPr>
        <w:t xml:space="preserve">7.2 硬件与资金预算</w:t>
      </w:r>
      <w:bookmarkEnd w:id="100027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7  硬件与资金预算示例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5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预算区间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存储介质</w:t>
            </w:r>
          </w:p>
        </w:tc>
        <w:tc>
          <w:tcPr>
            <w:tcW w:type="pct" w:w="5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本地硬盘 / NAS，依内容总量考虑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服务器 / 带宽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采集与整理运行环境（若需）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正版内容采购</w:t>
            </w:r>
          </w:p>
        </w:tc>
        <w:tc>
          <w:tcPr>
            <w:tcW w:type="pct" w:w="5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正版书籍 / 音乐 / 制品（按需）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备份介质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异地备份硬盘 / 云存储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5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——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【RMB合计：____】</w:t>
            </w:r>
          </w:p>
        </w:tc>
      </w:tr>
    </w:tbl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说明：具体金额需结合实际采购计划填写，以區間形式示例。存储介质预算需按内容总量测算（如 1,000 部影视与 100,000 首音频的实际占用）。</w:t>
      </w:r>
    </w:p>
    <w:p>
      <w:pPr>
        <w:pStyle w:val="Heading1"/>
        <w:spacing w:before="360" w:after="160" w:line="312"/>
      </w:pPr>
      <w:bookmarkStart w:id="100028" w:name="_Toc100028"/>
      <w:r>
        <w:rPr>
          <w:rFonts w:ascii="Calibri" w:eastAsia="SimHei"/>
          <w:b/>
          <w:bCs/>
          <w:color w:val="2C3E50"/>
          <w:sz w:val="32"/>
          <w:szCs w:val="32"/>
        </w:rPr>
        <w:t xml:space="preserve">八、风险分析与应对</w:t>
      </w:r>
      <w:bookmarkEnd w:id="100028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8  主要风险与应对措施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4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4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版权风险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误采未授权内容、许可识别错误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严格来源原则 + 人工复核 + 来源可追溯；存疑一律不入库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合规风险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不当使用爬虫或突破保护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明确禁止；仅用于授权内容的整理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存储风险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介质损坏、数据丢失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定期完整性校验 + 异地备份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质量风险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重复、低质、元数据缺失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去重 + 质量初筛 + 元数据补全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范围蔓延风险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数量目标大、周期拉长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分批推进、以审核通过率为前提，不为达数量牺牲合法性</w:t>
            </w:r>
          </w:p>
        </w:tc>
      </w:tr>
    </w:tbl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重点强调：与一般项目不同，本项目的首要风险是版权与合规风险。任何为追求数量目标而放宽合法性要求的做法，均视为项目失败。合法性优先于数量。</w:t>
      </w:r>
    </w:p>
    <w:p>
      <w:pPr>
        <w:pStyle w:val="Heading1"/>
        <w:spacing w:before="360" w:after="160" w:line="312"/>
      </w:pPr>
      <w:bookmarkStart w:id="100029" w:name="_Toc100029"/>
      <w:r>
        <w:rPr>
          <w:rFonts w:ascii="Calibri" w:eastAsia="SimHei"/>
          <w:b/>
          <w:bCs/>
          <w:color w:val="2C3E50"/>
          <w:sz w:val="32"/>
          <w:szCs w:val="32"/>
        </w:rPr>
        <w:t xml:space="preserve">九、预期收益与评估</w:t>
      </w:r>
      <w:bookmarkEnd w:id="100029"/>
    </w:p>
    <w:p>
      <w:pPr>
        <w:pStyle w:val="Heading2"/>
        <w:spacing w:before="240" w:after="120" w:line="312"/>
      </w:pPr>
      <w:bookmarkStart w:id="100030" w:name="_Toc100030"/>
      <w:r>
        <w:rPr>
          <w:rFonts w:ascii="Calibri" w:eastAsia="SimHei"/>
          <w:b/>
          <w:bCs/>
          <w:color w:val="2C3E50"/>
          <w:sz w:val="28"/>
          <w:szCs w:val="28"/>
        </w:rPr>
        <w:t xml:space="preserve">9.1 预期收益</w:t>
      </w:r>
      <w:bookmarkEnd w:id="100030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本项目为内部使用型项目，主要产出为可复用的内容资源底座，收益体现为：为后续学习、研究与创作提供统一、可检索的资源；通过来源可追溯与许可登记，降低未来合法使用与再授权的成本与风险。</w:t>
      </w:r>
    </w:p>
    <w:p>
      <w:pPr>
        <w:pStyle w:val="Heading2"/>
        <w:spacing w:before="240" w:after="120" w:line="312"/>
      </w:pPr>
      <w:bookmarkStart w:id="100031" w:name="_Toc100031"/>
      <w:r>
        <w:rPr>
          <w:rFonts w:ascii="Calibri" w:eastAsia="SimHei"/>
          <w:b/>
          <w:bCs/>
          <w:color w:val="2C3E50"/>
          <w:sz w:val="28"/>
          <w:szCs w:val="28"/>
        </w:rPr>
        <w:t xml:space="preserve">9.2 评估指标</w:t>
      </w:r>
      <w:bookmarkEnd w:id="100031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9  项目成果评估指标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4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4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数量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各类内容采集量</w:t>
            </w:r>
          </w:p>
        </w:tc>
        <w:tc>
          <w:tcPr>
            <w:tcW w:type="pct" w:w="4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达到阶段性目标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合法性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来源与许可可追溯率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元数据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元数据完整率</w:t>
            </w:r>
          </w:p>
        </w:tc>
        <w:tc>
          <w:tcPr>
            <w:tcW w:type="pct" w:w="4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≥ 95%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质量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重复率 / 损坏率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重复 ≤ 5%，损坏 ≤ 2%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检索</w:t>
            </w:r>
          </w:p>
        </w:tc>
        <w:tc>
          <w:tcPr>
            <w:tcW w:type="pct" w:w="4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检索命中率</w:t>
            </w:r>
          </w:p>
        </w:tc>
        <w:tc>
          <w:tcPr>
            <w:tcW w:type="pct" w:w="40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≥ 90%</w:t>
            </w:r>
          </w:p>
        </w:tc>
      </w:tr>
    </w:tbl>
    <w:p>
      <w:pPr>
        <w:pStyle w:val="Heading2"/>
        <w:spacing w:before="240" w:after="120" w:line="312"/>
      </w:pPr>
      <w:bookmarkStart w:id="100032" w:name="_Toc100032"/>
      <w:r>
        <w:rPr>
          <w:rFonts w:ascii="Calibri" w:eastAsia="SimHei"/>
          <w:b/>
          <w:bCs/>
          <w:color w:val="2C3E50"/>
          <w:sz w:val="28"/>
          <w:szCs w:val="28"/>
        </w:rPr>
        <w:t xml:space="preserve">9.3 结论</w:t>
      </w:r>
      <w:bookmarkEnd w:id="100032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本项目在严格的版权与合规框架下具有可行性。建议以“合法性优先、分批推进、可追溯登记”为原则启动。若在准备阶段发现合法资源不足以支撑目标数量，应优先调整数量目标而非放宽合法要求。</w:t>
      </w:r>
    </w:p>
    <w:p>
      <w:pPr>
        <w:pStyle w:val="Heading1"/>
        <w:spacing w:before="360" w:after="160" w:line="312"/>
      </w:pPr>
      <w:bookmarkStart w:id="100033" w:name="_Toc100033"/>
      <w:r>
        <w:rPr>
          <w:rFonts w:ascii="Calibri" w:eastAsia="SimHei"/>
          <w:b/>
          <w:bCs/>
          <w:color w:val="2C3E50"/>
          <w:sz w:val="32"/>
          <w:szCs w:val="32"/>
        </w:rPr>
        <w:t xml:space="preserve">附录</w:t>
      </w:r>
      <w:bookmarkEnd w:id="100033"/>
    </w:p>
    <w:p>
      <w:pPr>
        <w:pStyle w:val="Heading2"/>
        <w:spacing w:before="240" w:after="120" w:line="312"/>
      </w:pPr>
      <w:bookmarkStart w:id="100034" w:name="_Toc100034"/>
      <w:r>
        <w:rPr>
          <w:rFonts w:ascii="Calibri" w:eastAsia="SimHei"/>
          <w:b/>
          <w:bCs/>
          <w:color w:val="2C3E50"/>
          <w:sz w:val="28"/>
          <w:szCs w:val="28"/>
        </w:rPr>
        <w:t xml:space="preserve">附录 A  合法资源渠道示例（待填写）</w:t>
      </w:r>
      <w:bookmarkEnd w:id="100034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下表为合法渠道示例清单，实际渠道与链接需在准备阶段确认后填写，并确保每个渠道的使用条款与本计划第四章一致。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10  合法资源渠道示例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5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渠道示例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许可类型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影视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【待填写：公共领域 / 授权平台】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【待确认】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书籍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【待填写：公有领域 / CC0 库】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【待确认】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图片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【待填写：CC0 图库】</w:t>
            </w:r>
          </w:p>
        </w:tc>
        <w:tc>
          <w:tcPr>
            <w:tcW w:type="pct" w:w="28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【待确认】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音频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【待填写：CC0 音效库】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【待确认】</w:t>
            </w:r>
          </w:p>
        </w:tc>
      </w:tr>
    </w:tbl>
    <w:p>
      <w:pPr>
        <w:pStyle w:val="Heading2"/>
        <w:spacing w:before="240" w:after="120" w:line="312"/>
      </w:pPr>
      <w:bookmarkStart w:id="100035" w:name="_Toc100035"/>
      <w:r>
        <w:rPr>
          <w:rFonts w:ascii="Calibri" w:eastAsia="SimHei"/>
          <w:b/>
          <w:bCs/>
          <w:color w:val="2C3E50"/>
          <w:sz w:val="28"/>
          <w:szCs w:val="28"/>
        </w:rPr>
        <w:t xml:space="preserve">附录 B  元数据字段规范</w:t>
      </w:r>
      <w:bookmarkEnd w:id="100035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11  元数据字段规范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5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是否必填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标题 / 名称</w:t>
            </w:r>
          </w:p>
        </w:tc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原始来源 URL 或渠道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license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许可类型（CC0 / CC BY / 正版 / 原创 等）</w:t>
            </w:r>
          </w:p>
        </w:tc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collected_at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采集时间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collected_by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采集人</w:t>
            </w:r>
          </w:p>
        </w:tc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分类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tags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标签（多值）</w:t>
            </w:r>
          </w:p>
        </w:tc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review_status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审核状态（待审 / 通过 / 不通过）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review_note</w:t>
            </w:r>
          </w:p>
        </w:tc>
        <w:tc>
          <w:tcPr>
            <w:tcW w:type="pct" w:w="56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审核备注</w:t>
            </w:r>
          </w:p>
        </w:tc>
        <w:tc>
          <w:tcPr>
            <w:tcW w:type="pct" w:w="22%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可选</w:t>
            </w:r>
          </w:p>
        </w:tc>
      </w:tr>
    </w:tbl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08080"/>
        <w:sz w:val="18"/>
        <w:szCs w:val="18"/>
      </w:rPr>
      <w:t xml:space="preserve">多媒体内容库建设项目计划书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rFonts w:ascii="Calibri" w:eastAsia="SimHei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rFonts w:ascii="Calibri" w:eastAsia="SimHe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rFonts w:ascii="Calibri" w:eastAsia="SimHei"/>
      <w:b/>
      <w:bCs/>
      <w:color w:val="2C3E5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多媒体内容库建设项目计划书</dc:title>
  <dc:creator>twysx</dc:creator>
  <cp:lastModifiedBy>Un-named</cp:lastModifiedBy>
  <cp:revision>1</cp:revision>
  <dcterms:created xsi:type="dcterms:W3CDTF">2026-07-28T06:19:16.342Z</dcterms:created>
  <dcterms:modified xsi:type="dcterms:W3CDTF">2026-07-28T06:19:16.343Z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