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117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C9A84C"/>
                      <w:spacing w:val="60"/>
                      <w:sz w:val="18"/>
                      <w:szCs w:val="18"/>
                    </w:rPr>
                    <w:t xml:space="preserve">A I   I N C O M E   P L A N</w:t>
                  </w:r>
                </w:p>
                <w:p>
                  <w:pPr>
                    <w:spacing w:after="200" w:line="920" w:lineRule="atLeast"/>
                  </w:pPr>
                  <w:r>
                    <w:rPr>
                      <w:rFonts w:eastAsia="SimHei" w:ascii="Arial"/>
                      <w:b/>
                      <w:bCs/>
                      <w:color w:val="FFFFFF"/>
                      <w:sz w:val="80"/>
                      <w:szCs w:val="80"/>
                    </w:rPr>
                    <w:t xml:space="preserve">AI 协作网络创收计划书</w:t>
                  </w:r>
                </w:p>
                <w:p>
                  <w:pPr>
                    <w:spacing w:after="100"/>
                  </w:pPr>
                  <w:r>
                    <w:rPr>
                      <w:rFonts w:eastAsia="Microsoft YaHei" w:ascii="Arial"/>
                      <w:color w:val="B0B8C0"/>
                      <w:sz w:val="24"/>
                      <w:szCs w:val="24"/>
                    </w:rPr>
                    <w:t xml:space="preserve">—— 以 AI 为员工的内容、产品与数据变现（初步计划）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eastAsia="Microsoft YaHei" w:ascii="Arial"/>
                <w:color w:val="90989F"/>
                <w:sz w:val="28"/>
                <w:szCs w:val="28"/>
              </w:rPr>
              <w:t xml:space="preserve">文档类型：项目计划书（初步）</w:t>
            </w:r>
          </w:p>
          <w:p>
            <w:pPr>
              <w:spacing w:after="100"/>
              <w:ind w:left="1200"/>
            </w:pPr>
            <w:r>
              <w:rPr>
                <w:rFonts w:eastAsia="Microsoft YaHei" w:ascii="Arial"/>
                <w:color w:val="90989F"/>
                <w:sz w:val="28"/>
                <w:szCs w:val="28"/>
              </w:rPr>
              <w:t xml:space="preserve">协作模式：AI 执行 + 人决策</w:t>
            </w:r>
          </w:p>
          <w:p>
            <w:pPr>
              <w:spacing w:after="100"/>
              <w:ind w:left="1200"/>
            </w:pPr>
            <w:r>
              <w:rPr>
                <w:rFonts w:eastAsia="Microsoft YaHei" w:ascii="Arial"/>
                <w:color w:val="90989F"/>
                <w:sz w:val="28"/>
                <w:szCs w:val="28"/>
              </w:rPr>
              <w:t xml:space="preserve">版本：V0.1（待雇主填写问询清单后凝练）</w:t>
            </w:r>
          </w:p>
          <w:p>
            <w:pPr>
              <w:spacing w:after="100"/>
              <w:ind w:left="1200"/>
            </w:pPr>
            <w:r>
              <w:rPr>
                <w:rFonts w:eastAsia="Microsoft YaHei" w:ascii="Arial"/>
                <w:color w:val="90989F"/>
                <w:sz w:val="28"/>
                <w:szCs w:val="28"/>
              </w:rPr>
              <w:t xml:space="preserve">日期：2026 年 7 月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内部文档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合规优先 · 真实宣传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240" w:after="240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目　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一、项目摘要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二、AI 员工：入职问询清单（必要条件）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三、可行方向与变现路径分析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3.1 路径 A：内容创作与广告变现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3.2 路径 B：产品与服务销售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3.3 路径 C：有价值的数据与数字资料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3.4 三条路径对比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四、推荐起步方案（初稿）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 起步阶段重点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4.2 内容与资料的转化链路（示例）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五、执行流程与角色分工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六、合规与风险底线（重要）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6.1 必须坚守的底线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6.2 主要风险与应对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七、起步资源与预算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八、里程碑与预期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九、结论与下一步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附录 A  雇主决策记录表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附录 B  常用平台与适用场景（示例）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80" w:after="0"/>
      </w:pPr>
      <w:r>
        <w:rPr>
          <w:rFonts w:ascii="Calibri" w:eastAsia="Microsoft YaHei"/>
          <w:i/>
          <w:iCs/>
          <w:color w:val="808080"/>
          <w:sz w:val="18"/>
          <w:szCs w:val="18"/>
        </w:rPr>
        <w:t xml:space="preserve">【提示】右键目录→“更新域”可刷新页码。</w:t>
      </w:r>
      <w:r>
        <w:br w:type="page"/>
      </w:r>
    </w:p>
    <w:p>
      <w:pPr>
        <w:pStyle w:val="Heading1"/>
        <w:spacing w:before="360" w:after="160" w:line="312"/>
      </w:pPr>
      <w:bookmarkStart w:id="100000" w:name="_Toc100000"/>
      <w:r>
        <w:rPr>
          <w:rFonts w:ascii="Calibri" w:eastAsia="SimHei"/>
          <w:b/>
          <w:bCs/>
          <w:color w:val="1A1A1A"/>
          <w:sz w:val="32"/>
          <w:szCs w:val="32"/>
        </w:rPr>
        <w:t xml:space="preserve">一、项目摘要</w:t>
      </w:r>
      <w:bookmarkEnd w:id="100000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本计划探索一种以 AI 为“员工”、以个人为“雇主”的网络创收协作模式。AI 承担调研、起草、改写、整理、复盘等可机械化的执行工作；个人负责决策、审核、发布、收款与履约，并把关合规与合法性。目标是在个人可投入的时间与资金范围内，稳步建立一个可持续的网络收入来源。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本文为“初步计划”。由于可行方案高度依赖雇主的个人条件（技能、资源、可投入时间、风险偏好等），第二章先由 AI 以“员工”身份向雇主提出必要问题。雇主填写后，才能在本计划基础上凝练为针对性的执行方案。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收入预期采保守口径：本计划不承诺任何具体收入数额。网络创收受赛道、内容质量、运营持续性、平台规则与个人投入等多重因素影响，实际收益存在不确定性，并需遵守合规与法律底线（详见第八章）。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1  三条变现路径概览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路径</w:t>
            </w:r>
          </w:p>
        </w:tc>
        <w:tc>
          <w:tcPr>
            <w:tcW w:type="pct" w:w="4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核心做法</w:t>
            </w:r>
          </w:p>
        </w:tc>
        <w:tc>
          <w:tcPr>
            <w:tcW w:type="pct" w:w="3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变现方式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 内容与广告</w:t>
            </w:r>
          </w:p>
        </w:tc>
        <w:tc>
          <w:tcPr>
            <w:tcW w:type="pct" w:w="4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多平台发文 / 发视频，积累流量</w:t>
            </w:r>
          </w:p>
        </w:tc>
        <w:tc>
          <w:tcPr>
            <w:tcW w:type="pct" w:w="3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平台分成、商单、带货佣金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 产品与服务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售实物 / 虚拟商品、提供服务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销售收入、服务报酬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 数据与数字资料</w:t>
            </w:r>
          </w:p>
        </w:tc>
        <w:tc>
          <w:tcPr>
            <w:tcW w:type="pct" w:w="4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整理有价值的资料、模板、报告出售</w:t>
            </w:r>
          </w:p>
        </w:tc>
        <w:tc>
          <w:tcPr>
            <w:tcW w:type="pct" w:w="3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付费下载 / 订阅收入</w:t>
            </w:r>
          </w:p>
        </w:tc>
      </w:tr>
    </w:tbl>
    <w:p>
      <w:pPr>
        <w:pStyle w:val="Heading1"/>
        <w:spacing w:before="360" w:after="160" w:line="312"/>
      </w:pPr>
      <w:bookmarkStart w:id="100001" w:name="_Toc100001"/>
      <w:r>
        <w:rPr>
          <w:rFonts w:ascii="Calibri" w:eastAsia="SimHei"/>
          <w:b/>
          <w:bCs/>
          <w:color w:val="1A1A1A"/>
          <w:sz w:val="32"/>
          <w:szCs w:val="32"/>
        </w:rPr>
        <w:t xml:space="preserve">二、AI 员工：入职问询清单（必要条件）</w:t>
      </w:r>
      <w:bookmarkEnd w:id="100001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以下是 AI 作为“员工”在开始工作前，需要向雇主（你）确认的必要信息。这些答案直接决定可行方向与起步节奏，请如实填写；其中标注“必填”的项目是制定执行方案的前提。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2  入职问询清单（雇主填写）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类别</w:t>
            </w:r>
          </w:p>
        </w:tc>
        <w:tc>
          <w:tcPr>
            <w:tcW w:type="pct" w:w="6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问题（AI 向雇主提出）</w:t>
            </w:r>
          </w:p>
        </w:tc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填写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基本面</w:t>
            </w:r>
          </w:p>
        </w:tc>
        <w:tc>
          <w:tcPr>
            <w:tcW w:type="pct" w:w="6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你所在地区 / 国家？（影响可用平台与税务）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投入</w:t>
            </w:r>
          </w:p>
        </w:tc>
        <w:tc>
          <w:tcPr>
            <w:tcW w:type="pct" w:w="6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每周可稳定投入多少小时？（必填）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【____ 小时/周】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投入</w:t>
            </w:r>
          </w:p>
        </w:tc>
        <w:tc>
          <w:tcPr>
            <w:tcW w:type="pct" w:w="6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可接受的启动资金预算？（包括采购、工具、推广等）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资源</w:t>
            </w:r>
          </w:p>
        </w:tc>
        <w:tc>
          <w:tcPr>
            <w:tcW w:type="pct" w:w="6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你拥有哪些可复用的技能 / 资源？（写作、设计、编程、行业经验、供应链等）（必填）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资源</w:t>
            </w:r>
          </w:p>
        </w:tc>
        <w:tc>
          <w:tcPr>
            <w:tcW w:type="pct" w:w="6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是否有可合法出售的产品 / 服务 / 数据资料？是否拥有其处分权？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资源</w:t>
            </w:r>
          </w:p>
        </w:tc>
        <w:tc>
          <w:tcPr>
            <w:tcW w:type="pct" w:w="6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是否有现成社交账号 / 粉丝基础？在哪些平台？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偏好</w:t>
            </w:r>
          </w:p>
        </w:tc>
        <w:tc>
          <w:tcPr>
            <w:tcW w:type="pct" w:w="6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你更倾向哪个方向？（A 内容 / B 产品服务 / C 数据资料）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偏好</w:t>
            </w:r>
          </w:p>
        </w:tc>
        <w:tc>
          <w:tcPr>
            <w:tcW w:type="pct" w:w="6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是否愿意露脸出镜？（影响视频 / 直播类型）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【是 / 否】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目标</w:t>
            </w:r>
          </w:p>
        </w:tc>
        <w:tc>
          <w:tcPr>
            <w:tcW w:type="pct" w:w="6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你的阶段性目标？（例：首月跑通流程 / 三个月内实现首笔收入）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风险</w:t>
            </w:r>
          </w:p>
        </w:tc>
        <w:tc>
          <w:tcPr>
            <w:tcW w:type="pct" w:w="6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可接受的风险等级？（低 / 中 / 高）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合规</w:t>
            </w:r>
          </w:p>
        </w:tc>
        <w:tc>
          <w:tcPr>
            <w:tcW w:type="pct" w:w="6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是否同意“合法优先、真实宣传、不刷量不垃圾广告”的底线？（必填）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【是 / 否】</w:t>
            </w:r>
          </w:p>
        </w:tc>
      </w:tr>
    </w:tbl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说明：为保障合法性与可持续性，“是否拥有合法处分权”与“合规底线”两项为硬性前提。若答案为“否”或无法确认，对应方向将予以调整或取消。</w:t>
      </w:r>
    </w:p>
    <w:p>
      <w:pPr>
        <w:pStyle w:val="Heading1"/>
        <w:spacing w:before="360" w:after="160" w:line="312"/>
      </w:pPr>
      <w:bookmarkStart w:id="100002" w:name="_Toc100002"/>
      <w:r>
        <w:rPr>
          <w:rFonts w:ascii="Calibri" w:eastAsia="SimHei"/>
          <w:b/>
          <w:bCs/>
          <w:color w:val="1A1A1A"/>
          <w:sz w:val="32"/>
          <w:szCs w:val="32"/>
        </w:rPr>
        <w:t xml:space="preserve">三、可行方向与变现路径分析</w:t>
      </w:r>
      <w:bookmarkEnd w:id="100002"/>
    </w:p>
    <w:p>
      <w:pPr>
        <w:pStyle w:val="Heading2"/>
        <w:spacing w:before="240" w:after="120" w:line="312"/>
      </w:pPr>
      <w:bookmarkStart w:id="100003" w:name="_Toc100003"/>
      <w:r>
        <w:rPr>
          <w:rFonts w:ascii="Calibri" w:eastAsia="SimHei"/>
          <w:b/>
          <w:bCs/>
          <w:color w:val="1A1A1A"/>
          <w:sz w:val="28"/>
          <w:szCs w:val="28"/>
        </w:rPr>
        <w:t xml:space="preserve">3.1 路径 A：内容创作与广告变现</w:t>
      </w:r>
      <w:bookmarkEnd w:id="100003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在公众号、今日头条、小红书、知乎、B 站、抖音等平台发布图文或视频，围绕某一细分领域持续输出，积累流量与粉丝后变现。AI 可协助选题、起草、多平台改写、标题优化；人负责审核与发布。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适用条件与特点：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适用人群：有某专业领域或兴趣领域、能持续输出内容者。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启动门槛：低，主要投入时间。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变现方式：平台广告分成 / 流量价、品牌商单、带货佣金、引流至私域后转化。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主要风险：见效慢、平台规则变化、内容同质化严重。</w:t>
      </w:r>
    </w:p>
    <w:p>
      <w:pPr>
        <w:pStyle w:val="Heading2"/>
        <w:spacing w:before="240" w:after="120" w:line="312"/>
      </w:pPr>
      <w:bookmarkStart w:id="100004" w:name="_Toc100004"/>
      <w:r>
        <w:rPr>
          <w:rFonts w:ascii="Calibri" w:eastAsia="SimHei"/>
          <w:b/>
          <w:bCs/>
          <w:color w:val="1A1A1A"/>
          <w:sz w:val="28"/>
          <w:szCs w:val="28"/>
        </w:rPr>
        <w:t xml:space="preserve">3.2 路径 B：产品与服务销售</w:t>
      </w:r>
      <w:bookmarkEnd w:id="100004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通过电商平台、闲鱼、小店、服务交易平台等，出售实物商品、虚拟商品（课程、模板、充值卡等），或提供服务（设计、写作、翻译、咨询、技术外包、在线课程等）。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适用条件与特点：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适用人群：有可供货商品、可交付服务或可课程化知识者。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启动门槛：商品类需采购与售后；服务 / 虚拟商品类资金门槛低。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变现方式：销售收入、服务报酬、课程售价。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主要风险：售后、届约、退换货、商品合法性与质量纠纷。</w:t>
      </w:r>
    </w:p>
    <w:p>
      <w:pPr>
        <w:pStyle w:val="Heading2"/>
        <w:spacing w:before="240" w:after="120" w:line="312"/>
      </w:pPr>
      <w:bookmarkStart w:id="100005" w:name="_Toc100005"/>
      <w:r>
        <w:rPr>
          <w:rFonts w:ascii="Calibri" w:eastAsia="SimHei"/>
          <w:b/>
          <w:bCs/>
          <w:color w:val="1A1A1A"/>
          <w:sz w:val="28"/>
          <w:szCs w:val="28"/>
        </w:rPr>
        <w:t xml:space="preserve">3.3 路径 C：有价值的数据与数字资料</w:t>
      </w:r>
      <w:bookmarkEnd w:id="100005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将合法取得且拥有处分权的资料，整理为有结构、可直接使用的数字产品（行业报告、模板包、数据集、素材库、指南手册等），通过付费下载、订阅或单价出售获取报酬。AI 可协助资料的整理、结构化与包装。</w:t>
      </w:r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适用条件与特点：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适用人群：在某行业有积累、能产出有需求资料者。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启动门槛：低，但对资料的合法性与独创性要求高。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变现方式：付费下载、订阅会员、单价出售。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主要风险：版权 / 数据合法性风险、资料同质化、需求不明确。</w:t>
      </w:r>
    </w:p>
    <w:p>
      <w:pPr>
        <w:pStyle w:val="Heading2"/>
        <w:spacing w:before="240" w:after="120" w:line="312"/>
      </w:pPr>
      <w:bookmarkStart w:id="100006" w:name="_Toc100006"/>
      <w:r>
        <w:rPr>
          <w:rFonts w:ascii="Calibri" w:eastAsia="SimHei"/>
          <w:b/>
          <w:bCs/>
          <w:color w:val="1A1A1A"/>
          <w:sz w:val="28"/>
          <w:szCs w:val="28"/>
        </w:rPr>
        <w:t xml:space="preserve">3.4 三条路径对比</w:t>
      </w:r>
      <w:bookmarkEnd w:id="100006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3  三条变现路径对比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维度</w:t>
            </w:r>
          </w:p>
        </w:tc>
        <w:tc>
          <w:tcPr>
            <w:tcW w:type="pct" w:w="2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A 内容广告</w:t>
            </w:r>
          </w:p>
        </w:tc>
        <w:tc>
          <w:tcPr>
            <w:tcW w:type="pct" w:w="2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B 产品服务</w:t>
            </w:r>
          </w:p>
        </w:tc>
        <w:tc>
          <w:tcPr>
            <w:tcW w:type="pct" w:w="2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C 数据资料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见效周期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慢（需积累）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较快（成交即收）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中（需包装）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资金门槛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低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中 / 低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技能要求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内容能力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交付能力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行业积累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合规重点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内容真实、不违规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产品合法、售后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版权与数据合法性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可复用性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高（内容资产）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中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高（一次制作多次售）</w:t>
            </w:r>
          </w:p>
        </w:tc>
      </w:tr>
    </w:tbl>
    <w:p>
      <w:pPr>
        <w:pStyle w:val="Heading1"/>
        <w:spacing w:before="360" w:after="160" w:line="312"/>
      </w:pPr>
      <w:bookmarkStart w:id="100007" w:name="_Toc100007"/>
      <w:r>
        <w:rPr>
          <w:rFonts w:ascii="Calibri" w:eastAsia="SimHei"/>
          <w:b/>
          <w:bCs/>
          <w:color w:val="1A1A1A"/>
          <w:sz w:val="32"/>
          <w:szCs w:val="32"/>
        </w:rPr>
        <w:t xml:space="preserve">四、推荐起步方案（初稿）</w:t>
      </w:r>
      <w:bookmarkEnd w:id="100007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在未收到雇主问询清单的答案前，本节为通用型初稿，偏好轻资金、重资产叠加的路线：以内容（A）为流量入口，同步打磨可出售的数字资料（C）与服务（B），形成“内容引流 → 资料 / 服务转化 → 复购与口碑”的闭环。雇主填写清单后，本节将被替换为针对性方案。</w:t>
      </w:r>
    </w:p>
    <w:p>
      <w:pPr>
        <w:pStyle w:val="Heading2"/>
        <w:spacing w:before="240" w:after="120" w:line="312"/>
      </w:pPr>
      <w:bookmarkStart w:id="100008" w:name="_Toc100008"/>
      <w:r>
        <w:rPr>
          <w:rFonts w:ascii="Calibri" w:eastAsia="SimHei"/>
          <w:b/>
          <w:bCs/>
          <w:color w:val="1A1A1A"/>
          <w:sz w:val="28"/>
          <w:szCs w:val="28"/>
        </w:rPr>
        <w:t xml:space="preserve">4.1 起步阶段重点</w:t>
      </w:r>
      <w:bookmarkEnd w:id="100008"/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选定 1 个细分主题（如某行业、某兴趣、某技能领域），作为内容与产品的共同主线。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确定 2–3 个主要平台，集中输出，避免一开始就多线平均用力。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准备 1 件可出售的数字资料或 1 项可交付服务，作为首笔变现的试石头。</w:t>
      </w:r>
    </w:p>
    <w:p>
      <w:pPr>
        <w:pStyle w:val="ListParagraph"/>
        <w:numPr>
          <w:ilvl w:val="0"/>
          <w:numId w:val="2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建立内容 → 引流 → 转化 的基本漏斗，并设定复盘周期。</w:t>
      </w:r>
    </w:p>
    <w:p>
      <w:pPr>
        <w:pStyle w:val="Heading2"/>
        <w:spacing w:before="240" w:after="120" w:line="312"/>
      </w:pPr>
      <w:bookmarkStart w:id="100009" w:name="_Toc100009"/>
      <w:r>
        <w:rPr>
          <w:rFonts w:ascii="Calibri" w:eastAsia="SimHei"/>
          <w:b/>
          <w:bCs/>
          <w:color w:val="1A1A1A"/>
          <w:sz w:val="28"/>
          <w:szCs w:val="28"/>
        </w:rPr>
        <w:t xml:space="preserve">4.2 内容与资料的转化链路（示例）</w:t>
      </w:r>
      <w:bookmarkEnd w:id="100009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4  转化链路示例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环节</w:t>
            </w:r>
          </w:p>
        </w:tc>
        <w:tc>
          <w:tcPr>
            <w:tcW w:type="pct" w:w="56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动作</w:t>
            </w:r>
          </w:p>
        </w:tc>
        <w:tc>
          <w:tcPr>
            <w:tcW w:type="pct" w:w="30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负责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选题</w:t>
            </w:r>
          </w:p>
        </w:tc>
        <w:tc>
          <w:tcPr>
            <w:tcW w:type="pct" w:w="5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分析需求与热点，确定主题</w:t>
            </w:r>
          </w:p>
        </w:tc>
        <w:tc>
          <w:tcPr>
            <w:tcW w:type="pct" w:w="3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起草 + 人确认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图文 / 视频脚本起草与多平台改写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执行 + 人审核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发布</w:t>
            </w:r>
          </w:p>
        </w:tc>
        <w:tc>
          <w:tcPr>
            <w:tcW w:type="pct" w:w="5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发布至平台、运营评论与互动</w:t>
            </w:r>
          </w:p>
        </w:tc>
        <w:tc>
          <w:tcPr>
            <w:tcW w:type="pct" w:w="3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人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转化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在内容中提供资料 / 服务入口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人 + AI 话术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履约</w:t>
            </w:r>
          </w:p>
        </w:tc>
        <w:tc>
          <w:tcPr>
            <w:tcW w:type="pct" w:w="5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交付资料 / 服务、收款、售后</w:t>
            </w:r>
          </w:p>
        </w:tc>
        <w:tc>
          <w:tcPr>
            <w:tcW w:type="pct" w:w="3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人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复盘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数据分析与下一轮优化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分析 + 人决策</w:t>
            </w:r>
          </w:p>
        </w:tc>
      </w:tr>
    </w:tbl>
    <w:p>
      <w:pPr>
        <w:pStyle w:val="Heading1"/>
        <w:spacing w:before="360" w:after="160" w:line="312"/>
      </w:pPr>
      <w:bookmarkStart w:id="100010" w:name="_Toc100010"/>
      <w:r>
        <w:rPr>
          <w:rFonts w:ascii="Calibri" w:eastAsia="SimHei"/>
          <w:b/>
          <w:bCs/>
          <w:color w:val="1A1A1A"/>
          <w:sz w:val="32"/>
          <w:szCs w:val="32"/>
        </w:rPr>
        <w:t xml:space="preserve">五、执行流程与角色分工</w:t>
      </w:r>
      <w:bookmarkEnd w:id="100010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核心原则：AI 负责“可机械化、可复用、高吞吐量”的执行；人负责“决策、审核、合规把关、收款与履约”。所有对外发布与交易决策均由人做出。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5  角色分工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任务</w:t>
            </w:r>
          </w:p>
        </w:tc>
        <w:tc>
          <w:tcPr>
            <w:tcW w:type="pct" w:w="3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AI 员工</w:t>
            </w:r>
          </w:p>
        </w:tc>
        <w:tc>
          <w:tcPr>
            <w:tcW w:type="pct" w:w="40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人（雇主）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市场调研与选题</w:t>
            </w:r>
          </w:p>
        </w:tc>
        <w:tc>
          <w:tcPr>
            <w:tcW w:type="pct" w:w="3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执行（起草）</w:t>
            </w:r>
          </w:p>
        </w:tc>
        <w:tc>
          <w:tcPr>
            <w:tcW w:type="pct" w:w="4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审核确认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 / 资料起草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执行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审核、修改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多平台发布</w:t>
            </w:r>
          </w:p>
        </w:tc>
        <w:tc>
          <w:tcPr>
            <w:tcW w:type="pct" w:w="3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协助改写</w:t>
            </w:r>
          </w:p>
        </w:tc>
        <w:tc>
          <w:tcPr>
            <w:tcW w:type="pct" w:w="4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最终发布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客服与话术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起草话术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实际沟通、成交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产品 / 服务履约</w:t>
            </w:r>
          </w:p>
        </w:tc>
        <w:tc>
          <w:tcPr>
            <w:tcW w:type="pct" w:w="3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协助整理</w:t>
            </w:r>
          </w:p>
        </w:tc>
        <w:tc>
          <w:tcPr>
            <w:tcW w:type="pct" w:w="4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实际交付、售后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收款与财务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——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全权负责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合规把关</w:t>
            </w:r>
          </w:p>
        </w:tc>
        <w:tc>
          <w:tcPr>
            <w:tcW w:type="pct" w:w="3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提示风险</w:t>
            </w:r>
          </w:p>
        </w:tc>
        <w:tc>
          <w:tcPr>
            <w:tcW w:type="pct" w:w="4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最终决策</w:t>
            </w:r>
          </w:p>
        </w:tc>
      </w:tr>
    </w:tbl>
    <w:p>
      <w:pPr>
        <w:pStyle w:val="Heading1"/>
        <w:spacing w:before="360" w:after="160" w:line="312"/>
      </w:pPr>
      <w:bookmarkStart w:id="100011" w:name="_Toc100011"/>
      <w:r>
        <w:rPr>
          <w:rFonts w:ascii="Calibri" w:eastAsia="SimHei"/>
          <w:b/>
          <w:bCs/>
          <w:color w:val="1A1A1A"/>
          <w:sz w:val="32"/>
          <w:szCs w:val="32"/>
        </w:rPr>
        <w:t xml:space="preserve">六、合规与风险底线（重要）</w:t>
      </w:r>
      <w:bookmarkEnd w:id="100011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网络创收与一般项目不同，其首要风险不是“不赚钱”，而是“违规与违法”。以下底线为硬性约束，任何变现方式均不得突破。</w:t>
      </w:r>
    </w:p>
    <w:p>
      <w:pPr>
        <w:pStyle w:val="Heading2"/>
        <w:spacing w:before="240" w:after="120" w:line="312"/>
      </w:pPr>
      <w:bookmarkStart w:id="100012" w:name="_Toc100012"/>
      <w:r>
        <w:rPr>
          <w:rFonts w:ascii="Calibri" w:eastAsia="SimHei"/>
          <w:b/>
          <w:bCs/>
          <w:color w:val="1A1A1A"/>
          <w:sz w:val="28"/>
          <w:szCs w:val="28"/>
        </w:rPr>
        <w:t xml:space="preserve">6.1 必须坚守的底线</w:t>
      </w:r>
      <w:bookmarkEnd w:id="100012"/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真实宣传：不虚假宣传、不夸大收益与效果、不使用“包赚”“稳赚”等误导性表述。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拒绝垃圾营销：不刷量、不买粉、不群发骚扰广告、不仿冒他人身份。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产品与服务真实：必须有真实交付，不售假、不虚构需求、不套路。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数据与资料合法：出售的资料必须合法取得且拥有处分权，不出售侵权、盗版或未授权内容（与本项目其他计划书的版权合规原则保持一致）。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平台规则：遵守各平台与《广告法》等法规，明晰标注广告与带货关系。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税务与收款：使用合法收款渠道，如实申报个人所得税、保留交易凭证。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rFonts w:ascii="Calibri" w:eastAsia="Microsoft YaHei"/>
          <w:color w:val="000000"/>
          <w:sz w:val="24"/>
          <w:szCs w:val="24"/>
        </w:rPr>
        <w:t xml:space="preserve">AI 内容审核：AI 生成的内容必须经人工核实后方可发布，避免错误信息与侵权。</w:t>
      </w:r>
    </w:p>
    <w:p>
      <w:pPr>
        <w:pStyle w:val="Heading2"/>
        <w:spacing w:before="240" w:after="120" w:line="312"/>
      </w:pPr>
      <w:bookmarkStart w:id="100013" w:name="_Toc100013"/>
      <w:r>
        <w:rPr>
          <w:rFonts w:ascii="Calibri" w:eastAsia="SimHei"/>
          <w:b/>
          <w:bCs/>
          <w:color w:val="1A1A1A"/>
          <w:sz w:val="28"/>
          <w:szCs w:val="28"/>
        </w:rPr>
        <w:t xml:space="preserve">6.2 主要风险与应对</w:t>
      </w:r>
      <w:bookmarkEnd w:id="100013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6  主要风险与应对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风险</w:t>
            </w:r>
          </w:p>
        </w:tc>
        <w:tc>
          <w:tcPr>
            <w:tcW w:type="pct" w:w="4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说明</w:t>
            </w:r>
          </w:p>
        </w:tc>
        <w:tc>
          <w:tcPr>
            <w:tcW w:type="pct" w:w="4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合规风险</w:t>
            </w:r>
          </w:p>
        </w:tc>
        <w:tc>
          <w:tcPr>
            <w:tcW w:type="pct" w:w="4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虚假宣传、垃圾广告、侵权资料</w:t>
            </w:r>
          </w:p>
        </w:tc>
        <w:tc>
          <w:tcPr>
            <w:tcW w:type="pct" w:w="4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坚守底线 + 人工审核 + 不出售未授权内容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平台风险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账号限流、封号、规则变动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多平台分散 + 遵守各平台规则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收益风险</w:t>
            </w:r>
          </w:p>
        </w:tc>
        <w:tc>
          <w:tcPr>
            <w:tcW w:type="pct" w:w="4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见效慢、收入不确定</w:t>
            </w:r>
          </w:p>
        </w:tc>
        <w:tc>
          <w:tcPr>
            <w:tcW w:type="pct" w:w="4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设定止损线 + 阶段性复盘 + 不超预算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履约风险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售后、退换货、服务争议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明确交付标准 + 保留凭证</w:t>
            </w:r>
          </w:p>
        </w:tc>
      </w:tr>
      <w:tr>
        <w:trPr>
          <w:cantSplit/>
        </w:trPr>
        <w:tc>
          <w:tcPr>
            <w:tcW w:type="pct" w:w="1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税务风险</w:t>
            </w:r>
          </w:p>
        </w:tc>
        <w:tc>
          <w:tcPr>
            <w:tcW w:type="pct" w:w="4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未如实申报、收款不规范</w:t>
            </w:r>
          </w:p>
        </w:tc>
        <w:tc>
          <w:tcPr>
            <w:tcW w:type="pct" w:w="4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合法收款渠道 + 如实申报</w:t>
            </w:r>
          </w:p>
        </w:tc>
      </w:tr>
    </w:tbl>
    <w:p>
      <w:pPr>
        <w:pStyle w:val="Heading1"/>
        <w:spacing w:before="360" w:after="160" w:line="312"/>
      </w:pPr>
      <w:bookmarkStart w:id="100014" w:name="_Toc100014"/>
      <w:r>
        <w:rPr>
          <w:rFonts w:ascii="Calibri" w:eastAsia="SimHei"/>
          <w:b/>
          <w:bCs/>
          <w:color w:val="1A1A1A"/>
          <w:sz w:val="32"/>
          <w:szCs w:val="32"/>
        </w:rPr>
        <w:t xml:space="preserve">七、起步资源与预算</w:t>
      </w:r>
      <w:bookmarkEnd w:id="100014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以下预算为示例区间，实际金额需结合雇主填写的问询清单确定。建议起步阶段严控预算，优先低成本验证需求，再决定是否加投。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7  起步预算示例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项目</w:t>
            </w:r>
          </w:p>
        </w:tc>
        <w:tc>
          <w:tcPr>
            <w:tcW w:type="pct" w:w="50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说明</w:t>
            </w:r>
          </w:p>
        </w:tc>
        <w:tc>
          <w:tcPr>
            <w:tcW w:type="pct" w:w="2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预算区间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AI 工具</w:t>
            </w:r>
          </w:p>
        </w:tc>
        <w:tc>
          <w:tcPr>
            <w:tcW w:type="pct" w:w="5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多模态 AI 助手 / API 费用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平台入口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账号、认证、保证金（若需）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内容工具</w:t>
            </w:r>
          </w:p>
        </w:tc>
        <w:tc>
          <w:tcPr>
            <w:tcW w:type="pct" w:w="5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素材、剪辑、设计软件订阅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采购 / 展示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样品、展示用品（若 B 路径）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推广费</w:t>
            </w:r>
          </w:p>
        </w:tc>
        <w:tc>
          <w:tcPr>
            <w:tcW w:type="pct" w:w="5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低成本测试投放（可选）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——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【RMB合计：____】</w:t>
            </w:r>
          </w:p>
        </w:tc>
      </w:tr>
    </w:tbl>
    <w:p>
      <w:pPr>
        <w:pStyle w:val="Heading1"/>
        <w:spacing w:before="360" w:after="160" w:line="312"/>
      </w:pPr>
      <w:bookmarkStart w:id="100015" w:name="_Toc100015"/>
      <w:r>
        <w:rPr>
          <w:rFonts w:ascii="Calibri" w:eastAsia="SimHei"/>
          <w:b/>
          <w:bCs/>
          <w:color w:val="1A1A1A"/>
          <w:sz w:val="32"/>
          <w:szCs w:val="32"/>
        </w:rPr>
        <w:t xml:space="preserve">八、里程碑与预期</w:t>
      </w:r>
      <w:bookmarkEnd w:id="100015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里程碑以“验证假设”为导向，而非以收入为硬指标。各阶段结束时进行复盘，根据数据决定加投、调整或止损。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8  阶段与里程碑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阶段</w:t>
            </w:r>
          </w:p>
        </w:tc>
        <w:tc>
          <w:tcPr>
            <w:tcW w:type="pct" w:w="1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时间</w:t>
            </w:r>
          </w:p>
        </w:tc>
        <w:tc>
          <w:tcPr>
            <w:tcW w:type="pct" w:w="44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主要任务</w:t>
            </w:r>
          </w:p>
        </w:tc>
        <w:tc>
          <w:tcPr>
            <w:tcW w:type="pct" w:w="2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里程碑（验证点）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一、启动</w:t>
            </w:r>
          </w:p>
        </w:tc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1 周</w:t>
            </w:r>
          </w:p>
        </w:tc>
        <w:tc>
          <w:tcPr>
            <w:tcW w:type="pct" w:w="4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填写清单、确定主题与平台、准备 MVP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主题与 MVP 确定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二、试跑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2–4 周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内容输出 + 首件资料 / 服务上线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首笔有效访问 / 成交</w:t>
            </w:r>
          </w:p>
        </w:tc>
      </w:tr>
      <w:tr>
        <w:trPr>
          <w:cantSplit/>
        </w:trPr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三、复盘</w:t>
            </w:r>
          </w:p>
        </w:tc>
        <w:tc>
          <w:tcPr>
            <w:tcW w:type="pct" w:w="1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5–6 周</w:t>
            </w:r>
          </w:p>
        </w:tc>
        <w:tc>
          <w:tcPr>
            <w:tcW w:type="pct" w:w="44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数据复盘、优化转化路径</w:t>
            </w:r>
          </w:p>
        </w:tc>
        <w:tc>
          <w:tcPr>
            <w:tcW w:type="pct" w:w="2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转化路径跑通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四、加投 / 止损</w:t>
            </w:r>
          </w:p>
        </w:tc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第 7–8 周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按复盘结果决策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下一阶段决策</w:t>
            </w:r>
          </w:p>
        </w:tc>
      </w:tr>
    </w:tbl>
    <w:p>
      <w:pPr>
        <w:pStyle w:val="Heading1"/>
        <w:spacing w:before="360" w:after="160" w:line="312"/>
      </w:pPr>
      <w:bookmarkStart w:id="100016" w:name="_Toc100016"/>
      <w:r>
        <w:rPr>
          <w:rFonts w:ascii="Calibri" w:eastAsia="SimHei"/>
          <w:b/>
          <w:bCs/>
          <w:color w:val="1A1A1A"/>
          <w:sz w:val="32"/>
          <w:szCs w:val="32"/>
        </w:rPr>
        <w:t xml:space="preserve">九、结论与下一步</w:t>
      </w:r>
      <w:bookmarkEnd w:id="100016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本计划在合规底线内具有可行性，但具体方向与节奏取决于雇主的个人条件。建议立即采取的下一步为：</w:t>
      </w:r>
    </w:p>
    <w:p>
      <w:pPr>
        <w:pStyle w:val="ListParagraph"/>
        <w:numPr>
          <w:ilvl w:val="0"/>
          <w:numId w:val="3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填写第二章「入职问询清单」，尤其是必填项。</w:t>
      </w:r>
    </w:p>
    <w:p>
      <w:pPr>
        <w:pStyle w:val="ListParagraph"/>
        <w:numPr>
          <w:ilvl w:val="0"/>
          <w:numId w:val="3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根据答案，由 AI 凝练成针对性的执行方案（替换本计划第四章初稿）。</w:t>
      </w:r>
    </w:p>
    <w:p>
      <w:pPr>
        <w:pStyle w:val="ListParagraph"/>
        <w:numPr>
          <w:ilvl w:val="0"/>
          <w:numId w:val="3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在合规底线内，优先选择低成本、可复用的方向启动试跑。</w:t>
      </w:r>
    </w:p>
    <w:p>
      <w:pPr>
        <w:pStyle w:val="ListParagraph"/>
        <w:numPr>
          <w:ilvl w:val="0"/>
          <w:numId w:val="3"/>
        </w:numPr>
        <w:spacing w:line="312" w:after="60"/>
      </w:pPr>
      <w:r>
        <w:rPr>
          <w:rFonts w:ascii="Calibri" w:eastAsia="Microsoft YaHei"/>
          <w:color w:val="000000"/>
          <w:sz w:val="24"/>
          <w:szCs w:val="24"/>
        </w:rPr>
        <w:t xml:space="preserve">以阶段性复盘为节奏，不为追求短期收入突破合规底线。</w:t>
      </w:r>
    </w:p>
    <w:p>
      <w:pPr>
        <w:pStyle w:val="Heading1"/>
        <w:spacing w:before="360" w:after="160" w:line="312"/>
      </w:pPr>
      <w:bookmarkStart w:id="100017" w:name="_Toc100017"/>
      <w:r>
        <w:rPr>
          <w:rFonts w:ascii="Calibri" w:eastAsia="SimHei"/>
          <w:b/>
          <w:bCs/>
          <w:color w:val="1A1A1A"/>
          <w:sz w:val="32"/>
          <w:szCs w:val="32"/>
        </w:rPr>
        <w:t xml:space="preserve">附录</w:t>
      </w:r>
      <w:bookmarkEnd w:id="100017"/>
    </w:p>
    <w:p>
      <w:pPr>
        <w:pStyle w:val="Heading2"/>
        <w:spacing w:before="240" w:after="120" w:line="312"/>
      </w:pPr>
      <w:bookmarkStart w:id="100018" w:name="_Toc100018"/>
      <w:r>
        <w:rPr>
          <w:rFonts w:ascii="Calibri" w:eastAsia="SimHei"/>
          <w:b/>
          <w:bCs/>
          <w:color w:val="1A1A1A"/>
          <w:sz w:val="28"/>
          <w:szCs w:val="28"/>
        </w:rPr>
        <w:t xml:space="preserve">附录 A  雇主决策记录表</w:t>
      </w:r>
      <w:bookmarkEnd w:id="100018"/>
    </w:p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用于雇主记录各关键决策与复盘结论，供后续凝练针对性方案使用。</w:t>
      </w:r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9  雇主决策记录表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项目</w:t>
            </w:r>
          </w:p>
        </w:tc>
        <w:tc>
          <w:tcPr>
            <w:tcW w:type="pct" w:w="56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内容</w:t>
            </w:r>
          </w:p>
        </w:tc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日期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主题与平台</w:t>
            </w:r>
          </w:p>
        </w:tc>
        <w:tc>
          <w:tcPr>
            <w:tcW w:type="pct" w:w="5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【____】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起步方向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【A / B / C / 组合】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【____】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首件产品 / 服务</w:t>
            </w:r>
          </w:p>
        </w:tc>
        <w:tc>
          <w:tcPr>
            <w:tcW w:type="pct" w:w="5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【____】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预算与止损线</w:t>
            </w:r>
          </w:p>
        </w:tc>
        <w:tc>
          <w:tcPr>
            <w:tcW w:type="pct" w:w="5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【RMB：____】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【____】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阶段复盘结论</w:t>
            </w:r>
          </w:p>
        </w:tc>
        <w:tc>
          <w:tcPr>
            <w:tcW w:type="pct" w:w="56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【填写】</w:t>
            </w:r>
          </w:p>
        </w:tc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【____】</w:t>
            </w:r>
          </w:p>
        </w:tc>
      </w:tr>
    </w:tbl>
    <w:p>
      <w:pPr>
        <w:pStyle w:val="Heading2"/>
        <w:spacing w:before="240" w:after="120" w:line="312"/>
      </w:pPr>
      <w:bookmarkStart w:id="100019" w:name="_Toc100019"/>
      <w:r>
        <w:rPr>
          <w:rFonts w:ascii="Calibri" w:eastAsia="SimHei"/>
          <w:b/>
          <w:bCs/>
          <w:color w:val="1A1A1A"/>
          <w:sz w:val="28"/>
          <w:szCs w:val="28"/>
        </w:rPr>
        <w:t xml:space="preserve">附录 B  常用平台与适用场景（示例）</w:t>
      </w:r>
      <w:bookmarkEnd w:id="100019"/>
    </w:p>
    <w:p>
      <w:pPr>
        <w:keepNext/>
        <w:spacing w:before="160" w:after="80"/>
        <w:jc w:val="center"/>
      </w:pPr>
      <w:r>
        <w:rPr>
          <w:rFonts w:ascii="Calibri" w:eastAsia="SimHei"/>
          <w:b/>
          <w:bCs/>
          <w:color w:val="000000"/>
          <w:sz w:val="21"/>
          <w:szCs w:val="21"/>
        </w:rPr>
        <w:t xml:space="preserve">表 10  常用平台与适用场景</w:t>
      </w:r>
    </w:p>
    <w:tbl>
      <w:tblPr>
        <w:tblW w:type="pct" w:w="100%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平台示例</w:t>
            </w:r>
          </w:p>
        </w:tc>
        <w:tc>
          <w:tcPr>
            <w:tcW w:type="pct" w:w="48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主要适合</w:t>
            </w:r>
          </w:p>
        </w:tc>
        <w:tc>
          <w:tcPr>
            <w:tcW w:type="pct" w:w="30%"/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1A1A1A"/>
                <w:sz w:val="21"/>
                <w:szCs w:val="21"/>
              </w:rPr>
              <w:t xml:space="preserve">变现方式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公众号 / 今日头条</w:t>
            </w:r>
          </w:p>
        </w:tc>
        <w:tc>
          <w:tcPr>
            <w:tcW w:type="pct" w:w="4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图文内容、引流转化</w:t>
            </w:r>
          </w:p>
        </w:tc>
        <w:tc>
          <w:tcPr>
            <w:tcW w:type="pct" w:w="3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流量价、商单、带货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小红书 / 知乎</w:t>
            </w:r>
          </w:p>
        </w:tc>
        <w:tc>
          <w:tcPr>
            <w:tcW w:type="pct" w:w="4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种草、专业分享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商单、咨询、引流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 站 / 抖音</w:t>
            </w:r>
          </w:p>
        </w:tc>
        <w:tc>
          <w:tcPr>
            <w:tcW w:type="pct" w:w="4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视频内容</w:t>
            </w:r>
          </w:p>
        </w:tc>
        <w:tc>
          <w:tcPr>
            <w:tcW w:type="pct" w:w="3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平台分成、商单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闲鱼 / 小店 / 电商</w:t>
            </w:r>
          </w:p>
        </w:tc>
        <w:tc>
          <w:tcPr>
            <w:tcW w:type="pct" w:w="4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商品销售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销售收入</w:t>
            </w:r>
          </w:p>
        </w:tc>
      </w:tr>
      <w:tr>
        <w:trPr>
          <w:cantSplit/>
        </w:trPr>
        <w:tc>
          <w:tcPr>
            <w:tcW w:type="pct" w:w="22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服务交易平台</w:t>
            </w:r>
          </w:p>
        </w:tc>
        <w:tc>
          <w:tcPr>
            <w:tcW w:type="pct" w:w="48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技能服务接单</w:t>
            </w:r>
          </w:p>
        </w:tc>
        <w:tc>
          <w:tcPr>
            <w:tcW w:type="pct" w:w="30%"/>
            <w:shd w:fill="F5F2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服务报酬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付费资料平台</w:t>
            </w:r>
          </w:p>
        </w:tc>
        <w:tc>
          <w:tcPr>
            <w:tcW w:type="pct" w:w="4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数字产品出售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下载 / 订阅收入</w:t>
            </w:r>
          </w:p>
        </w:tc>
      </w:tr>
    </w:tbl>
    <w:p>
      <w:pPr>
        <w:spacing w:line="312" w:after="60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说明：平台选择需结合个人所在地区与平台规则确认，并在使用前阅读其服务条款与变现、广告、税务等相关规则。</w:t>
      </w:r>
    </w:p>
    <w:sectPr>
      <w:headerReference w:type="default" r:id="rId6"/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08080"/>
        <w:sz w:val="18"/>
        <w:szCs w:val="18"/>
      </w:rPr>
      <w:t xml:space="preserve">AI 协作网络创收计划书（初步）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rFonts w:ascii="Calibri" w:eastAsia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rFonts w:ascii="Calibri" w:eastAsia="SimHe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 w:line="312"/>
      <w:outlineLvl w:val="2"/>
    </w:pPr>
    <w:rPr>
      <w:rFonts w:ascii="Calibri" w:eastAsia="SimHei"/>
      <w:b/>
      <w:bCs/>
      <w:color w:val="1A1A1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协作网络创收计划书</dc:title>
  <dc:creator>twysx</dc:creator>
  <cp:lastModifiedBy>Un-named</cp:lastModifiedBy>
  <cp:revision>1</cp:revision>
  <dcterms:created xsi:type="dcterms:W3CDTF">2026-07-28T06:30:06.717Z</dcterms:created>
  <dcterms:modified xsi:type="dcterms:W3CDTF">2026-07-28T06:30:06.723Z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