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บทที่ 1 บทนำ</w:t>
      </w:r>
    </w:p>
    <w:p>
      <w:r>
        <w:t>1.1 พื้นฐานและความสำคัญของเรื่อง</w:t>
      </w:r>
    </w:p>
    <w:p>
      <w:r>
        <w:t>การเปลี่ยนแปลงสภาพอากาศโลกเป็นปรากฏการณ์ที่ส่งผลกระทบต่อระบบนิเวศและเศรษฐกิจในระดับสากล (กรมอุตุนิยมวิทยา, 2565). ปัจจัยหลักที่กระตุ้นให้เกิดภาวะโลกร้อนคือการปล่อยก๊าซเรือนกระจกที่เป็นผลมาจากกิจกรรมของมนุษย์โดยเฉพาะการเผาไหม้เชื้อเพลิงฟอสซิล การผลิตอุตสาหกรรม และการเปลี่ยนแปลงการใช้ที่ดิน (กระทรวงทรัพยากรธรรมชาติและสิ่งแวดล้อม, 2564). การวัดผลและประเมินผลกระทบของกิจกรรมต่าง ๆ ต่อคาร์บอนฟุตพริ้นท์ขององค์กร (Carbon Footprint for Organization, CFO) จึงเป็นเครื่องมือสำคัญในการกำหนดแนวทางลดการปล่อยก๊าซเรือนกระจกและสนับสนุนการบรรลุเป้าหมายการพัฒนาอย่างยั่งยืนของประเทศไทย (ศูนย์การจัดการก๊าซเรือนกระจกแห่งประเทศไทย [Thai GHG Management Organization], 2563).</w:t>
      </w:r>
    </w:p>
    <w:p>
      <w:r>
        <w:t>1.2 ลักษณะของปัญหา</w:t>
      </w:r>
    </w:p>
    <w:p>
      <w:r>
        <w:t>แม้จะมีกรอบการทำงานและมาตรฐานสากลที่ชัดเจนสำหรับการประเมิน CFO แต่การนำมาประยุกต์ใช้ในภาคอุตสาหกรรมของประเทศไทยยังพบอุปสรรคหลายประการ ได้แก่</w:t>
      </w:r>
    </w:p>
    <w:p>
      <w:pPr>
        <w:pStyle w:val="ListBullet"/>
      </w:pPr>
      <w:r>
        <w:t>ขาดความเข้าใจและความชำนาญของบุคลากรในการประเมินวัฏจักรชีวิตของผลิตภัณฑ์ (LCA) (ศรีสวัสดิ์ &amp; เชาวดา, 2562).</w:t>
      </w:r>
    </w:p>
    <w:p>
      <w:pPr>
        <w:pStyle w:val="ListBullet"/>
      </w:pPr>
      <w:r>
        <w:t>ระบบข้อมูลสภาพแวดล้อมของแต่ละองค์กรยังไม่ครบถ้วนและไม่มีการบูรณาการกับระบบการจัดการคุณภาพ (อมรนันท์, 2561).</w:t>
      </w:r>
    </w:p>
    <w:p>
      <w:pPr>
        <w:pStyle w:val="ListBullet"/>
      </w:pPr>
      <w:r>
        <w:t>การระบุขอบเขตของการปล่อยก๊าซเรือนกระจก (Scope 1, 2, 3) ยังขัดแย้งกับการกำหนดกรอบงานของแต่ละหน่วยงาน (ศิลปชัย, 2560).</w:t>
      </w:r>
    </w:p>
    <w:p>
      <w:r>
        <w:t>ผลกระทบของปัญหาเหล่านี้คือการประเมิน CFO ที่ไม่แม่นยำ ส่งผลให้การกำหนดแนวทางลดคาร์บอนและการสื่อสารความรับผิดชอบต่อสังคม (CSR) ขององค์กรขาดความน่าเชื่อถือ (กอบกฤษณ์ &amp; พิชญา, 2564).</w:t>
      </w:r>
    </w:p>
    <w:p>
      <w:r>
        <w:t>1.3 วัตถุประสงค์การวิจัย</w:t>
      </w:r>
    </w:p>
    <w:p>
      <w:r>
        <w:t>โดยอิงจากลักษณะของปัญหาที่กล่าวมา งานวิจัยนี้มีวัตถุประสงค์หลัก 3 ประการ คือ</w:t>
      </w:r>
    </w:p>
    <w:p>
      <w:r>
        <w:t>1. วิเคราะห์กระบวนการประเมินวัฏจักรชีวิตของผลิตภัณฑ์ในอุตสาหกรรมการพิมพ์เพื่อกำหนดคาร์บอนฟุตพริ้นท์ขององค์กร (CFO) อย่างเป็นระบบ (สมหมาย, 2565).</w:t>
      </w:r>
    </w:p>
    <w:p>
      <w:r>
        <w:t>2. พัฒนาโมเดลการคำนวณ CFO ที่สอดคล้องกับมาตรฐาน ISO 14064‑1 และแนวทางของ Thai GHG Management Organization (กฤติกา, 2565).</w:t>
      </w:r>
    </w:p>
    <w:p>
      <w:r>
        <w:t>3. ประเมินผลกระทบของการนำเทคโนโลยีการพิมพ์คาร์บอนต่ำ (ดิจิทัลและฟล็กซ์โกราฟิก) ต่อการลดการปล่อยก๊าซเรือนกระจกขององค์กร (อุดมทรัพย์, 2565).</w:t>
      </w:r>
    </w:p>
    <w:p>
      <w:r>
        <w:t>1.4 ขอบเขตการวิจัย</w:t>
      </w:r>
    </w:p>
    <w:p>
      <w:r>
        <w:t>การวิจัยนี้กำหนดขอบเขตการศึกษาให้ชัดเจนเพื่อให้สอดคล้องกับวัตถุประสงค์ดังต่อไปนี้</w:t>
      </w:r>
    </w:p>
    <w:p>
      <w:pPr>
        <w:pStyle w:val="ListBullet"/>
      </w:pPr>
      <w:r>
        <w:t>ประเภทอุตสาหกรรม: อุตสาหกรรมการพิมพ์ในประเทศไทยที่ใช้เทคโนโลยีดิจิทัลและฟล็กซ์โกราฟิกเป็นหลัก.</w:t>
      </w:r>
    </w:p>
    <w:p>
      <w:pPr>
        <w:pStyle w:val="ListBullet"/>
      </w:pPr>
      <w:r>
        <w:t>ระยะเวลาการศึกษา: 2560 ถึง 2565.</w:t>
      </w:r>
    </w:p>
    <w:p>
      <w:pPr>
        <w:pStyle w:val="ListBullet"/>
      </w:pPr>
      <w:r>
        <w:t>ตัวแปรหลัก: คาร์บอนฟุตพริ้นท์ขององค์กร (CFO) รวมถึงการปล่อยก๊าซเรือนกระจกในแต่ละ Scope, ความเข้มข้นของก๊าซเรือนกระจก, และประสิทธิภาพของกระบวนการพิมพ์.</w:t>
      </w:r>
    </w:p>
    <w:p>
      <w:pPr>
        <w:pStyle w:val="ListBullet"/>
      </w:pPr>
      <w:r>
        <w:t>วิธีการเก็บข้อมูล: การสำรวจเอกสารภายในองค์กร, การสัมภาษณ์ผู้เชี่ยวชาญด้านสิ่งแวดล้อม, และการใช้ซอฟต์แวร์ประเมินวัฏจักรชีวิต (Life‑Cycle Assessment) ตามมาตรฐาน ISO 14044.</w:t>
      </w:r>
    </w:p>
    <w:p>
      <w:r>
        <w:t>1.5 ความสำคัญของการวิจัย</w:t>
      </w:r>
    </w:p>
    <w:p>
      <w:r>
        <w:t>ผลลัพธ์จากการวิจัยนี้จะมีคุณค่าหลายด้าน ได้แก่</w:t>
      </w:r>
    </w:p>
    <w:p>
      <w:pPr>
        <w:pStyle w:val="ListBullet"/>
      </w:pPr>
      <w:r>
        <w:t>เผยแพร่ความรู้เชิงวิชาการเกี่ยวกับการประเมิน CFO ในภาคอุตสาหกรรมการพิมพ์ ซึ่งยังคงขาดแคลนในวงการวิจัยไทย (สุทธิดี, 2564).</w:t>
      </w:r>
    </w:p>
    <w:p>
      <w:pPr>
        <w:pStyle w:val="ListBullet"/>
      </w:pPr>
      <w:r>
        <w:t>เสนอแนวทางปฏิบัติที่เป็นรูปธรรมให้กับองค์กรที่ต้องการลดคาร์บอนฟุตพริ้นท์และสอดคล้องกับนโยบายพลังงานสีเขียวของรัฐบาล (กระทรวงพลังงาน, 2563).</w:t>
      </w:r>
    </w:p>
    <w:p>
      <w:pPr>
        <w:pStyle w:val="ListBullet"/>
      </w:pPr>
      <w:r>
        <w:t>สนับสนุนการพัฒนานโยบายสาธารณะและมาตรฐานอุตสาหกรรมที่ยั่งยืน โดยเฉพาะการกำหนดเกณฑ์การประเมินการปล่อยก๊าซเรือนกระจกในระดับอุตสาหกรรม (สำนักงานพัฒนานโยบายและยุทธศาสตร์พลังงาน, 2562).</w:t>
      </w:r>
    </w:p>
    <w:p>
      <w:r>
        <w:t>ด้วยเหตุผลดังกล่าว การวิจัยนี้จึงมีความสำคัญต่อการเสริมสร้างความเข้าใจและการปฏิบัติที่เป็นระบบในการจัดการคาร์บอนฟุตพริ้นท์ขององค์กรอุตสาหกรรมการพิมพ์ในประเทศไทย และเป็นฐานข้อมูลสำคัญสำหรับการวางแผนเชิงกลยุทธ์สู่การพัฒนาอย่างยั่งยืนต่อไป.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