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PT JAMINAN PEMBIAYAAN ASKRINDO SYARIAH</w:t>
      </w:r>
    </w:p>
    <w:p>
      <w:pPr>
        <w:pBdr>
          <w:bottom w:val="single" w:color="2E75B6" w:sz="12" w:space="4"/>
        </w:pBdr>
        <w:spacing w:after="80" w:before="0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Analisis Keuangan Mendalam — Periode s.d. Mei 2026</w:t>
      </w:r>
    </w:p>
    <w:p>
      <w:pPr>
        <w:spacing w:after="40" w:before="120"/>
      </w:pPr>
      <w:r>
        <w:rPr>
          <w:rFonts w:ascii="Arial" w:cs="Arial" w:eastAsia="Arial" w:hAnsi="Arial"/>
          <w:i/>
          <w:iCs/>
          <w:color w:val="505050"/>
          <w:sz w:val="20"/>
          <w:szCs w:val="20"/>
        </w:rPr>
        <w:t xml:space="preserve">Evaluasi kinerja, kesehatan keuangan, dan keselarasan regulasi</w:t>
      </w:r>
    </w:p>
    <w:p>
      <w:pPr>
        <w:spacing w:after="600" w:before="40"/>
      </w:pPr>
      <w:r>
        <w:rPr>
          <w:rFonts w:ascii="Arial" w:cs="Arial" w:eastAsia="Arial" w:hAnsi="Arial"/>
          <w:color w:val="808080"/>
          <w:sz w:val="18"/>
          <w:szCs w:val="18"/>
        </w:rPr>
        <w:t xml:space="preserve">Data: Worksheet JPAS Data Financial Mei 2026  |  Regulasi: POJK 11/2025, PADK 47/2025</w:t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Ringkasan Eksekutif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JPAS mencatatkan laba sebelum pajak Rp 90,5 miliar s.d. Mei 2026 (48,3% dari RKAP). Namun analisis mendalam mengungkap ketegangan struktural: laba usaha stagnan YoY (−0,5%) meski pendapatan IJK tumbuh 43,1%, karena seluruh pertumbuhan revenue terserap oleh kenaikan ta'widh bruto (+52,2% YoY) dan lonjakan cadangan premi (−Rp 66,1 miliar vs −Rp 23,8 miliar tahun lalu).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Tiga temuan utama: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PERHATIAN </w:t>
      </w:r>
      <w:r>
        <w:rPr>
          <w:rFonts w:ascii="Arial" w:cs="Arial" w:eastAsia="Arial" w:hAnsi="Arial"/>
          <w:sz w:val="20"/>
          <w:szCs w:val="20"/>
        </w:rPr>
        <w:t xml:space="preserve">Laba tinggi ditopang kuat oleh hasil investasi (Rp 62,6 miliar = 62,1% dari laba usaha) — bukan peningkatan margin underwriting.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PERHATIAN </w:t>
      </w:r>
      <w:r>
        <w:rPr>
          <w:rFonts w:ascii="Arial" w:cs="Arial" w:eastAsia="Arial" w:hAnsi="Arial"/>
          <w:sz w:val="20"/>
          <w:szCs w:val="20"/>
        </w:rPr>
        <w:t xml:space="preserve">Ta'widh bruto tumbuh lebih cepat dari IJK (52% vs 43% YoY) → gross loss ratio naik → sinyal kualitas kredit portofolio memburuk.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INFO </w:t>
      </w:r>
      <w:r>
        <w:rPr>
          <w:rFonts w:ascii="Arial" w:cs="Arial" w:eastAsia="Arial" w:hAnsi="Arial"/>
          <w:sz w:val="20"/>
          <w:szCs w:val="20"/>
        </w:rPr>
        <w:t xml:space="preserve">Cadangan premi adalah 'pajak pertumbuhan' — portofolio yang tumbuh pesat menahan pengakuan pendapatan tahun ini; ini deferred income yang akan diakui di masa depan.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Struktur P&amp;L JPAS — Waterfall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Mekanisme Kafalah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JPAS menjamin kredit UMKM kepada bank (BSI, BRI, Mandiri, dll). Alur: UMKM ajukan kredit → bank minta jaminan JPAS → JPAS terbitkan sertifikat kafalah → UMKM bayar IJK (fee) → jika default: bank klaim ta'widh ke JPAS → JPAS bayar bank → JPAS tagih ke UMKM (subrogasi).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Waterfall P&amp;L (Jan–Mei 2026, Rp Juta)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800"/>
        <w:gridCol w:w="1400"/>
        <w:gridCol w:w="4800"/>
      </w:tblGrid>
      <w:tr>
        <w:trPr>
          <w:tblHeader/>
        </w:trPr>
        <w:tc>
          <w:tcPr>
            <w:tcW w:type="dxa" w:w="3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Uraian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Rp Juta</w:t>
            </w:r>
          </w:p>
        </w:tc>
        <w:tc>
          <w:tcPr>
            <w:tcW w:type="dxa" w:w="4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3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IJK Bruto (Imbal Jasa Kafalah)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405.075</w:t>
            </w:r>
          </w:p>
        </w:tc>
        <w:tc>
          <w:tcPr>
            <w:tcW w:type="dxa" w:w="4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Pendapatan fee penjaminan bruto dari UMKM/bank. Revenue utama JPAS.</w:t>
            </w:r>
          </w:p>
        </w:tc>
      </w:tr>
      <w:tr>
        <w:tc>
          <w:tcPr>
            <w:tcW w:type="dxa" w:w="3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(−) Beban Penjaminan Ulang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(98.802)</w:t>
            </w:r>
          </w:p>
        </w:tc>
        <w:tc>
          <w:tcPr>
            <w:tcW w:type="dxa" w:w="4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Premi dibayar ke reasurador untuk cede risiko.</w:t>
            </w:r>
          </w:p>
        </w:tc>
      </w:tr>
      <w:tr>
        <w:tc>
          <w:tcPr>
            <w:tcW w:type="dxa" w:w="3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(+) Komisi Penjaminan Ulang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28.484</w:t>
            </w:r>
          </w:p>
        </w:tc>
        <w:tc>
          <w:tcPr>
            <w:tcW w:type="dxa" w:w="4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Ceding commission diterima dari reasurador.</w:t>
            </w:r>
          </w:p>
        </w:tc>
      </w:tr>
      <w:tr>
        <w:tc>
          <w:tcPr>
            <w:tcW w:type="dxa" w:w="3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(−) Perubahan Cadangan Premi (IJK YBMP)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(66.105)</w:t>
            </w:r>
          </w:p>
        </w:tc>
        <w:tc>
          <w:tcPr>
            <w:tcW w:type="dxa" w:w="4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KRITIS: Kenaikan = beban. Unearned premium meningkat karena portofolio tumbuh pesat.</w:t>
            </w:r>
          </w:p>
        </w:tc>
      </w:tr>
      <w:tr>
        <w:tc>
          <w:tcPr>
            <w:tcW w:type="dxa" w:w="3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=</w:t>
            </w:r>
          </w:p>
        </w:tc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JUMLAH PENDAPATAN KAFALAH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268.692</w:t>
            </w:r>
          </w:p>
        </w:tc>
        <w:tc>
          <w:tcPr>
            <w:tcW w:type="dxa" w:w="4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IJK neto setelah reas dan cadangan. Hanya 66,3% dari IJK bruto.</w:t>
            </w:r>
          </w:p>
        </w:tc>
      </w:tr>
      <w:tr>
        <w:tc>
          <w:tcPr>
            <w:tcW w:type="dxa" w:w="3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(−) Ta'widh Bruto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(238.548)</w:t>
            </w:r>
          </w:p>
        </w:tc>
        <w:tc>
          <w:tcPr>
            <w:tcW w:type="dxa" w:w="4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Klaim dibayar ke bank atas default UMKM. Beban terbesar JPAS.</w:t>
            </w:r>
          </w:p>
        </w:tc>
      </w:tr>
      <w:tr>
        <w:tc>
          <w:tcPr>
            <w:tcW w:type="dxa" w:w="3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(+) Ta'widh Reas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76.600</w:t>
            </w:r>
          </w:p>
        </w:tc>
        <w:tc>
          <w:tcPr>
            <w:tcW w:type="dxa" w:w="4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Pemulihan dari reasurador atas klaim yang di-cede.</w:t>
            </w:r>
          </w:p>
        </w:tc>
      </w:tr>
      <w:tr>
        <w:tc>
          <w:tcPr>
            <w:tcW w:type="dxa" w:w="3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(+) Recoveries/Subrogasi Bersih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23.867</w:t>
            </w:r>
          </w:p>
        </w:tc>
        <w:tc>
          <w:tcPr>
            <w:tcW w:type="dxa" w:w="4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Penagihan dari UMKM yang sudah dijamin. TURUN 41% YoY.</w:t>
            </w:r>
          </w:p>
        </w:tc>
      </w:tr>
      <w:tr>
        <w:tc>
          <w:tcPr>
            <w:tcW w:type="dxa" w:w="3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(−) Kenaikan ETRS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(16.741)</w:t>
            </w:r>
          </w:p>
        </w:tc>
        <w:tc>
          <w:tcPr>
            <w:tcW w:type="dxa" w:w="4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Kenaikan cadangan klaim outstanding (non-cash).</w:t>
            </w:r>
          </w:p>
        </w:tc>
      </w:tr>
      <w:tr>
        <w:tc>
          <w:tcPr>
            <w:tcW w:type="dxa" w:w="3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(−) Beban Komisi &amp; Akuisisi Neto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(11.201)</w:t>
            </w:r>
          </w:p>
        </w:tc>
        <w:tc>
          <w:tcPr>
            <w:tcW w:type="dxa" w:w="4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Beban komisi akuisisi neto.</w:t>
            </w:r>
          </w:p>
        </w:tc>
      </w:tr>
      <w:tr>
        <w:tc>
          <w:tcPr>
            <w:tcW w:type="dxa" w:w="3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(−) Beban UW Lain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(835)</w:t>
            </w:r>
          </w:p>
        </w:tc>
        <w:tc>
          <w:tcPr>
            <w:tcW w:type="dxa" w:w="4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Beban operasional underwriting lainnya.</w:t>
            </w:r>
          </w:p>
        </w:tc>
      </w:tr>
      <w:tr>
        <w:tc>
          <w:tcPr>
            <w:tcW w:type="dxa" w:w="3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=</w:t>
            </w:r>
          </w:p>
        </w:tc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JUMLAH BEBAN KAFALAH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(166.860)</w:t>
            </w:r>
          </w:p>
        </w:tc>
        <w:tc>
          <w:tcPr>
            <w:tcW w:type="dxa" w:w="4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beban underwriting.</w:t>
            </w:r>
          </w:p>
        </w:tc>
      </w:tr>
      <w:tr>
        <w:tc>
          <w:tcPr>
            <w:tcW w:type="dxa" w:w="3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=</w:t>
            </w:r>
          </w:p>
        </w:tc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HASIL UNDERWRITING NETO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101.832</w:t>
            </w:r>
          </w:p>
        </w:tc>
        <w:tc>
          <w:tcPr>
            <w:tcW w:type="dxa" w:w="4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Margin UW sebelum investasi dan opex. Only 25,1% dari IJK bruto.</w:t>
            </w:r>
          </w:p>
        </w:tc>
      </w:tr>
      <w:tr>
        <w:tc>
          <w:tcPr>
            <w:tcW w:type="dxa" w:w="3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(+) Nisbah / Hasil Investasi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62.556</w:t>
            </w:r>
          </w:p>
        </w:tc>
        <w:tc>
          <w:tcPr>
            <w:tcW w:type="dxa" w:w="4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 portofolio SBSN, deposito, reksadana. = 62,1% dari laba usaha!</w:t>
            </w:r>
          </w:p>
        </w:tc>
      </w:tr>
      <w:tr>
        <w:tc>
          <w:tcPr>
            <w:tcW w:type="dxa" w:w="3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(−) Beban Usaha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(63.650)</w:t>
            </w:r>
          </w:p>
        </w:tc>
        <w:tc>
          <w:tcPr>
            <w:tcW w:type="dxa" w:w="4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Opex: marketing, umum, admin, penyusutan.</w:t>
            </w:r>
          </w:p>
        </w:tc>
      </w:tr>
      <w:tr>
        <w:tc>
          <w:tcPr>
            <w:tcW w:type="dxa" w:w="3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=</w:t>
            </w:r>
          </w:p>
        </w:tc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LABA USAHA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100.738</w:t>
            </w:r>
          </w:p>
        </w:tc>
        <w:tc>
          <w:tcPr>
            <w:tcW w:type="dxa" w:w="4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Operating profit. STAGNAN YoY (−0,5%) meski revenue +43%.</w:t>
            </w:r>
          </w:p>
        </w:tc>
      </w:tr>
      <w:tr>
        <w:tc>
          <w:tcPr>
            <w:tcW w:type="dxa" w:w="3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(−) Beban Lain &amp; Zakat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(10.249)</w:t>
            </w:r>
          </w:p>
        </w:tc>
        <w:tc>
          <w:tcPr>
            <w:tcW w:type="dxa" w:w="4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Beban non-operasional + zakat (kewajiban syariah).</w:t>
            </w:r>
          </w:p>
        </w:tc>
      </w:tr>
      <w:tr>
        <w:tc>
          <w:tcPr>
            <w:tcW w:type="dxa" w:w="3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=</w:t>
            </w:r>
          </w:p>
        </w:tc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LABA SEBELUM PAJAK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90.489</w:t>
            </w:r>
          </w:p>
        </w:tc>
        <w:tc>
          <w:tcPr>
            <w:tcW w:type="dxa" w:w="4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Pre-tax profit. 48,3% dari RKAP 2026.</w:t>
            </w:r>
          </w:p>
        </w:tc>
      </w:tr>
      <w:tr>
        <w:tc>
          <w:tcPr>
            <w:tcW w:type="dxa" w:w="3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(−) Pajak Penghasilan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(15.777)</w:t>
            </w:r>
          </w:p>
        </w:tc>
        <w:tc>
          <w:tcPr>
            <w:tcW w:type="dxa" w:w="4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PPh badan.</w:t>
            </w:r>
          </w:p>
        </w:tc>
      </w:tr>
      <w:tr>
        <w:tc>
          <w:tcPr>
            <w:tcW w:type="dxa" w:w="3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=</w:t>
            </w:r>
          </w:p>
        </w:tc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LABA BERSIH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74.711</w:t>
            </w:r>
          </w:p>
        </w:tc>
        <w:tc>
          <w:tcPr>
            <w:tcW w:type="dxa" w:w="4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Bottom line. 49,3% dari RKAP.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Satuan: Jutaan Rupiah (Rp Juta) | Periode: 1 Januari s.d. 31 Mei 2026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Mekanisme Keuangan Kunci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Ta'widh Bruto — Mekanisme Klaim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Ta'widh bruto adalah cash keluar nyata ketika JPAS membayar bank atas default UMKM. Alur penuh: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UMKM NPL → Bank klaim ta'widh ke JPAS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JPAS verifikasi &amp; bayar bank = Ta'widh Bruto (beban terbesar)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Porsi yang di-reasuransikan dipulihkan = Ta'widh Reasuransi (pengurang)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JPAS tagih ke UMKM = Subrogasi/Recoveries (pengurang)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Net exposure = Ta'widh Bruto − Ta'widh Reas − Recoveries = Rp 137.081 juta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ETRS (Estimasi Ta'widh Retensi Sendiri) — Cadangan Klaim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ETRS adalah provision/cadangan untuk klaim yang terjadi tapi belum dibayar (Outstanding Claims + IBNR). Kenaikan ETRS = beban non-cash di P&amp;L.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Lifecycle: </w:t>
      </w:r>
      <w:r>
        <w:rPr>
          <w:rFonts w:ascii="Arial" w:cs="Arial" w:eastAsia="Arial" w:hAnsi="Arial"/>
          <w:sz w:val="20"/>
          <w:szCs w:val="20"/>
        </w:rPr>
        <w:t xml:space="preserve">Bank laporkan NPL → JPAS naikan ETRS (expense, non-cash) → JPAS bayar bank → Ta'widh Bruto naik + ETRS turun (release) → JPAS tagih UMKM → Recoveries masuk.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Per Mei 2026: Total ETRS di neraca = Rp 459.365 juta (naik dari Rp 437.877 juta Des 2025). Kenaikan di P&amp;L = Rp 16.741 juta (lebih rendah dari Rp 40.617 juta YoY → banyak klaim sudah aktif dibayar).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Cadangan Premi / IJK YBMP — 'Pajak Pertumbuhan'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Ini adalah konsep terpenting untuk memahami mengapa laba usaha stagnan meski revenue tumbuh 43%.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Prinsip: </w:t>
      </w:r>
      <w:r>
        <w:rPr>
          <w:rFonts w:ascii="Arial" w:cs="Arial" w:eastAsia="Arial" w:hAnsi="Arial"/>
          <w:sz w:val="20"/>
          <w:szCs w:val="20"/>
        </w:rPr>
        <w:t xml:space="preserve">IJK (fee kafalah) diterima di muka tapi diakui sebagai pendapatan bertahap sepanjang masa jaminan. Bagian belum diakui = IJK YBMP (Yang Belum Merupakan Pendapatan) = Cadangan Premi, dicatat sebagai liabilitas di neraca.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Analogi 'Depreciation-Claim': Garansi Rp 100 Juta Tenor 3 Tahun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000"/>
        <w:gridCol w:w="2000"/>
        <w:gridCol w:w="236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Tahun</w:t>
            </w:r>
          </w:p>
        </w:tc>
        <w:tc>
          <w:tcPr>
            <w:tcW w:type="dxa" w:w="1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IJK Masuk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Cadangan Premi (Neraca)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IJK Earned (P&amp;L)</w:t>
            </w:r>
          </w:p>
        </w:tc>
        <w:tc>
          <w:tcPr>
            <w:tcW w:type="dxa" w:w="23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Dampak P&amp;L neto</w:t>
            </w:r>
          </w:p>
        </w:tc>
      </w:tr>
      <w:tr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Thn 1 (penerbitan)</w:t>
            </w:r>
          </w:p>
        </w:tc>
        <w:tc>
          <w:tcPr>
            <w:tcW w:type="dxa" w:w="1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 100 juta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+Rp 66,7 juta (naik)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 33,3 juta</w:t>
            </w:r>
          </w:p>
        </w:tc>
        <w:tc>
          <w:tcPr>
            <w:tcW w:type="dxa" w:w="23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−Rp 66,7 juta BESAR</w:t>
            </w:r>
          </w:p>
        </w:tc>
      </w:tr>
      <w:tr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Thn 2</w:t>
            </w:r>
          </w:p>
        </w:tc>
        <w:tc>
          <w:tcPr>
            <w:tcW w:type="dxa" w:w="1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−Rp 33,3 juta (turun)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 33,3 juta</w:t>
            </w:r>
          </w:p>
        </w:tc>
        <w:tc>
          <w:tcPr>
            <w:tcW w:type="dxa" w:w="23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+Rp 33,3 juta</w:t>
            </w:r>
          </w:p>
        </w:tc>
      </w:tr>
      <w:tr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Thn 3 (jatuh tempo)</w:t>
            </w:r>
          </w:p>
        </w:tc>
        <w:tc>
          <w:tcPr>
            <w:tcW w:type="dxa" w:w="1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−Rp 33,4 juta (habis)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 33,4 juta</w:t>
            </w:r>
          </w:p>
        </w:tc>
        <w:tc>
          <w:tcPr>
            <w:tcW w:type="dxa" w:w="23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+Rp 33,4 juta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Implikasi JPAS 2026: Karena JPAS tumbuh +43% YoY, volume garansi baru jauh melampaui release cadangan lama → Cadangan Premi neto meningkat Rp 66,1 miliar → bukan kerugian riil, melainkan deferred income yang akan mengalir ke P&amp;L saat garansi jatuh tempo. Pertumbuhan yang lebih pesat = 'pajak' cadangan yang lebih besar di tahun berjalan.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Total IJK YBMP di neraca Mei 2026 = Rp 1.465.820 juta — 'tabungan pendapatan masa depan' yang akan diakui bertahap.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Analisis Rasio Keuangan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Rasio Underwriting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300"/>
        <w:gridCol w:w="1300"/>
        <w:gridCol w:w="1300"/>
        <w:gridCol w:w="2760"/>
      </w:tblGrid>
      <w:tr>
        <w:trPr>
          <w:tblHeader/>
        </w:trPr>
        <w:tc>
          <w:tcPr>
            <w:tcW w:type="dxa" w:w="2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Rasio</w:t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Mei 2026</w:t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Mei 2025</w:t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RKAP</w:t>
            </w:r>
          </w:p>
        </w:tc>
        <w:tc>
          <w:tcPr>
            <w:tcW w:type="dxa" w:w="27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Analisis &amp; Driver</w:t>
            </w:r>
          </w:p>
        </w:tc>
      </w:tr>
      <w:tr>
        <w:tc>
          <w:tcPr>
            <w:tcW w:type="dxa" w:w="2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Gross Loss Ratio (Ta'widh Bruto / IJK Bruto)</w:t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58,9%</w:t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55,4%</w:t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~58,9%</w:t>
            </w:r>
          </w:p>
        </w:tc>
        <w:tc>
          <w:tcPr>
            <w:tcW w:type="dxa" w:w="27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Naik 3,5 pp YoY. Klaim tumbuh lebih cepat dari revenue — kualitas kredit memburuk.</w:t>
            </w:r>
          </w:p>
        </w:tc>
      </w:tr>
      <w:tr>
        <w:tc>
          <w:tcPr>
            <w:tcW w:type="dxa" w:w="2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 Loss Ratio (Ta'widh Net / Pend. Kafalah Neto)</w:t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60,3%</w:t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~60%</w:t>
            </w:r>
          </w:p>
        </w:tc>
        <w:tc>
          <w:tcPr>
            <w:tcW w:type="dxa" w:w="27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(238.548−76.600) / 268.692. On-track vs RKAP.</w:t>
            </w:r>
          </w:p>
        </w:tc>
      </w:tr>
      <w:tr>
        <w:tc>
          <w:tcPr>
            <w:tcW w:type="dxa" w:w="2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Ceded Ratio (Ta'widh Reas / Ta'widh Bruto)</w:t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32,1%</w:t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33,6%</w:t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32,6%</w:t>
            </w:r>
          </w:p>
        </w:tc>
        <w:tc>
          <w:tcPr>
            <w:tcW w:type="dxa" w:w="27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Efektivitas reasuransi stabil. Sedikit turun.</w:t>
            </w:r>
          </w:p>
        </w:tc>
      </w:tr>
      <w:tr>
        <w:tc>
          <w:tcPr>
            <w:tcW w:type="dxa" w:w="2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Recovery Ratio (Subrogasi / Ta'widh Bruto)</w:t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10,0%</w:t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26,0%</w:t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27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TURUN DRASTIS. Penagihan UMKM melemah signifikan. Risiko net loss naik.</w:t>
            </w:r>
          </w:p>
        </w:tc>
      </w:tr>
      <w:tr>
        <w:tc>
          <w:tcPr>
            <w:tcW w:type="dxa" w:w="2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Combined Ratio (Beb. UW / Pend. Kafalah Neto)</w:t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62,1%</w:t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~53%</w:t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&lt;100%</w:t>
            </w:r>
          </w:p>
        </w:tc>
        <w:tc>
          <w:tcPr>
            <w:tcW w:type="dxa" w:w="27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Jauh &lt;100% → UW sangat profitable. Tapi tren naik perlu diperhatikan.</w:t>
            </w:r>
          </w:p>
        </w:tc>
      </w:tr>
      <w:tr>
        <w:tc>
          <w:tcPr>
            <w:tcW w:type="dxa" w:w="2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Retensi Premi (Pend. Kafalah Neto / IJK Bruto)</w:t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66,3%</w:t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~75%</w:t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27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Turun karena cadangan premi naik lebih besar. Efek pertumbuhan, bukan masalah.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Rasio Investasi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35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Rasio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Nilai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Benchmark</w:t>
            </w:r>
          </w:p>
        </w:tc>
        <w:tc>
          <w:tcPr>
            <w:tcW w:type="dxa" w:w="35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Analisis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Investment Yield Annualized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~5,97%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SBN 10Y ~7%</w:t>
            </w:r>
          </w:p>
        </w:tc>
        <w:tc>
          <w:tcPr>
            <w:tcW w:type="dxa" w:w="35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62.556 × 12/5 ÷ 2.515.325. Wajar untuk portofolio SBSN-heavy.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Investasi / Total Aset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73,6%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&gt;60%</w:t>
            </w:r>
          </w:p>
        </w:tc>
        <w:tc>
          <w:tcPr>
            <w:tcW w:type="dxa" w:w="35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Aset produktif sangat tinggi. SBSN = 75,4% dari portofolio.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Investasi / Cadangan Teknis (Coverage)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126,5%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&gt;100%</w:t>
            </w:r>
          </w:p>
        </w:tc>
        <w:tc>
          <w:tcPr>
            <w:tcW w:type="dxa" w:w="35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2.515.324 ÷ ~1.988.849. Investasi menutup kewajiban teknis dengan aman.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Dependensi Investasi (Hasil Inv / Laba Usaha)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62,1%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&lt;40%</w:t>
            </w:r>
          </w:p>
        </w:tc>
        <w:tc>
          <w:tcPr>
            <w:tcW w:type="dxa" w:w="35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62.556 ÷ 100.738. Tinggi! Penurunan yield investasi = risiko besar ke profit.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Konsentrasi SBSN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75,4%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&lt;70%</w:t>
            </w:r>
          </w:p>
        </w:tc>
        <w:tc>
          <w:tcPr>
            <w:tcW w:type="dxa" w:w="35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 1.897M dari Rp 2.515M investasi. Sovereign risk aman, tapi harga MTM sensitif suku bunga.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Profitabilitas &amp; YoY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1300"/>
        <w:gridCol w:w="1300"/>
        <w:gridCol w:w="28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 / Rasio</w:t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s.d. Mei 2025</w:t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s.d. Mei 2026</w:t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YoY</w:t>
            </w:r>
          </w:p>
        </w:tc>
        <w:tc>
          <w:tcPr>
            <w:tcW w:type="dxa" w:w="28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Interpretasi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IJK Bruto (Rp Juta)</w:t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283.047</w:t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405.075</w:t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+43,1%</w:t>
            </w:r>
          </w:p>
        </w:tc>
        <w:tc>
          <w:tcPr>
            <w:tcW w:type="dxa" w:w="28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Pertumbuhan revenue sangat kuat.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Ta'widh Bruto (Rp Juta)</w:t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156.690</w:t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238.548</w:t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+52,2%</w:t>
            </w:r>
          </w:p>
        </w:tc>
        <w:tc>
          <w:tcPr>
            <w:tcW w:type="dxa" w:w="28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Klaim tumbuh lebih cepat dari revenue.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Recoveries/Subrogasi (Rp Juta)</w:t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40.708</w:t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23.867</w:t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−41,4%</w:t>
            </w:r>
          </w:p>
        </w:tc>
        <w:tc>
          <w:tcPr>
            <w:tcW w:type="dxa" w:w="28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Penagihan UMKM melemah drastis.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Cadangan Premi (Rp Juta)</w:t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(23.756)</w:t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(66.105)</w:t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+178%</w:t>
            </w:r>
          </w:p>
        </w:tc>
        <w:tc>
          <w:tcPr>
            <w:tcW w:type="dxa" w:w="28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Beban 'pertumbuhan'. Deferred income.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Hasil Investasi (Rp Juta)</w:t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59.202</w:t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62.556</w:t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+5,7%</w:t>
            </w:r>
          </w:p>
        </w:tc>
        <w:tc>
          <w:tcPr>
            <w:tcW w:type="dxa" w:w="28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Pertumbuhan moderat, stabil.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Beban Usaha (Rp Juta)</w:t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57.983</w:t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63.650</w:t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+9,8%</w:t>
            </w:r>
          </w:p>
        </w:tc>
        <w:tc>
          <w:tcPr>
            <w:tcW w:type="dxa" w:w="28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Terkendali, jauh di bawah revenue.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Laba Usaha (Rp Juta)</w:t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101.231</w:t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100.738</w:t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−0,5%</w:t>
            </w:r>
          </w:p>
        </w:tc>
        <w:tc>
          <w:tcPr>
            <w:tcW w:type="dxa" w:w="28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STAGNAN. Semua revenue terserap klaim.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Gross Loss Ratio</w:t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55,4%</w:t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58,9%</w:t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+3,5 pp</w:t>
            </w:r>
          </w:p>
        </w:tc>
        <w:tc>
          <w:tcPr>
            <w:tcW w:type="dxa" w:w="28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Tren memburuk.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Operating Margin (Laba / IJK Bruto)</w:t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35,8%</w:t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24,9%</w:t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−10,9 pp</w:t>
            </w:r>
          </w:p>
        </w:tc>
        <w:tc>
          <w:tcPr>
            <w:tcW w:type="dxa" w:w="28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Compression signifikan karena klaim.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 Margin (Laba Bersih / IJK Bruto)</w:t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27,1%</w:t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18,4%</w:t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−8,7 pp</w:t>
            </w:r>
          </w:p>
        </w:tc>
        <w:tc>
          <w:tcPr>
            <w:tcW w:type="dxa" w:w="28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Turun karena laba bersih lebih rendah dari IJK yang tumbuh.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Neraca &amp; Keselarasan Regulasi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Gearing Ratio (POJK 11/2025)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Nilai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Batas</w:t>
            </w:r>
          </w:p>
        </w:tc>
        <w:tc>
          <w:tcPr>
            <w:tcW w:type="dxa" w:w="27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 Penjaminan Neto — Produktif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 21.845 T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</w:t>
            </w:r>
          </w:p>
        </w:tc>
        <w:tc>
          <w:tcPr>
            <w:tcW w:type="dxa" w:w="27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Eksposur bersih segmen produktif.</w:t>
            </w:r>
          </w:p>
        </w:tc>
      </w:tr>
      <w:tr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 Penjaminan Neto — Non-Produktif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 13.938 T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</w:t>
            </w:r>
          </w:p>
        </w:tc>
        <w:tc>
          <w:tcPr>
            <w:tcW w:type="dxa" w:w="27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Eksposur bersih segmen non-produktif.</w:t>
            </w:r>
          </w:p>
        </w:tc>
      </w:tr>
      <w:tr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OS Penjaminan Neto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 35.784 T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</w:t>
            </w:r>
          </w:p>
        </w:tc>
        <w:tc>
          <w:tcPr>
            <w:tcW w:type="dxa" w:w="27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outstanding penjaminan yang ditanggung sendiri.</w:t>
            </w:r>
          </w:p>
        </w:tc>
      </w:tr>
      <w:tr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Modal Sendiri Bersih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 1.206,9 Miliar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</w:t>
            </w:r>
          </w:p>
        </w:tc>
        <w:tc>
          <w:tcPr>
            <w:tcW w:type="dxa" w:w="27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Ekuitas bersih sebagai penyangga.</w:t>
            </w:r>
          </w:p>
        </w:tc>
      </w:tr>
      <w:tr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Gearing Ratio TOTAL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29,65×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Maks. 40× (POJK 11/2025)</w:t>
            </w:r>
          </w:p>
        </w:tc>
        <w:tc>
          <w:tcPr>
            <w:tcW w:type="dxa" w:w="27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SEHAT. Headroom 10,35× atau ~Rp 12,5 triliun kapasitas tambahan.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Compliance Regulasi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35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Aspek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Aktual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Ketentuan</w:t>
            </w:r>
          </w:p>
        </w:tc>
        <w:tc>
          <w:tcPr>
            <w:tcW w:type="dxa" w:w="35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Catatan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Gearing Ratio (POJK 11/2025)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29,65×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Maks. 40×</w:t>
            </w:r>
          </w:p>
        </w:tc>
        <w:tc>
          <w:tcPr>
            <w:tcW w:type="dxa" w:w="35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Compliant. Headroom besar untuk ekspansi.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Investasi / Cadangan Teknis (POJK 11/2025)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126,5%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Min. 100%</w:t>
            </w:r>
          </w:p>
        </w:tc>
        <w:tc>
          <w:tcPr>
            <w:tcW w:type="dxa" w:w="35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Compliant. Investasi lebih dari cukup menutup CT.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RCAR (PADK 47/2025)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Belum dihitung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Min. 7% per Des 2026</w:t>
            </w:r>
          </w:p>
        </w:tc>
        <w:tc>
          <w:tcPr>
            <w:tcW w:type="dxa" w:w="35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PERHATIAN: Laporan pertama Des 2026. Perlu persiapan metodologi Q3 2026.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OCI / MTM SBSN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−Rp 21,5 Miliar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Monitoring</w:t>
            </w:r>
          </w:p>
        </w:tc>
        <w:tc>
          <w:tcPr>
            <w:tcW w:type="dxa" w:w="35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Turun dari +Rp 14,8M (Des 2025). Risiko jika suku bunga BI naik lagi.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Cadangan Teknis Cukup (ETRS + Cad. Premi)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 1.988 Miliar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Metodologi aktuaria</w:t>
            </w:r>
          </w:p>
        </w:tc>
        <w:tc>
          <w:tcPr>
            <w:tcW w:type="dxa" w:w="35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cadangan teknis besar — kecukupan perlu dikonfirmasi aktuaris.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Driver P&amp;L — Mengapa Laba Usaha Stagnan?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Dekomposisi matematis: dari Laba Usaha Mei 2025 (Rp 101.231 juta) ke Mei 2026 (Rp 100.738 juta):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800"/>
        <w:gridCol w:w="256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Driver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Dampak (Rp Juta)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Arah</w:t>
            </w:r>
          </w:p>
        </w:tc>
        <w:tc>
          <w:tcPr>
            <w:tcW w:type="dxa" w:w="25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Kenaikan IJK Bruto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6B2E"/>
                <w:sz w:val="18"/>
                <w:szCs w:val="18"/>
              </w:rPr>
              <w:t xml:space="preserve">+122.028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Positif ✓</w:t>
            </w:r>
          </w:p>
        </w:tc>
        <w:tc>
          <w:tcPr>
            <w:tcW w:type="dxa" w:w="25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Revenue tumbuh kuat +43%.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Kenaikan Beban Penjaminan Ulang (−)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(26.637)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Negatif</w:t>
            </w:r>
          </w:p>
        </w:tc>
        <w:tc>
          <w:tcPr>
            <w:tcW w:type="dxa" w:w="25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Naik seiring volume.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Kenaikan Cadangan Premi YoY (−)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(42.349)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Negatif</w:t>
            </w:r>
          </w:p>
        </w:tc>
        <w:tc>
          <w:tcPr>
            <w:tcW w:type="dxa" w:w="25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Dari 23.756 → 66.105. Efek pertumbuhan portofolio.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Kenaikan Ta'widh Bruto (−)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(81.858)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Negatif !</w:t>
            </w:r>
          </w:p>
        </w:tc>
        <w:tc>
          <w:tcPr>
            <w:tcW w:type="dxa" w:w="25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DRIVER NEGATIF TERBESAR. Klaim meledak +52%.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Kenaikan Ta'widh Reas (+)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6B2E"/>
                <w:sz w:val="18"/>
                <w:szCs w:val="18"/>
              </w:rPr>
              <w:t xml:space="preserve">+23.941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Positif ✓</w:t>
            </w:r>
          </w:p>
        </w:tc>
        <w:tc>
          <w:tcPr>
            <w:tcW w:type="dxa" w:w="25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Reas menanggung lebih banyak klaim.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Penurunan Recoveries (−)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(16.841)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Negatif</w:t>
            </w:r>
          </w:p>
        </w:tc>
        <w:tc>
          <w:tcPr>
            <w:tcW w:type="dxa" w:w="25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Recovery turun 41% YoY — penagihan melemah.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Penurunan ETRS (+)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6B2E"/>
                <w:sz w:val="18"/>
                <w:szCs w:val="18"/>
              </w:rPr>
              <w:t xml:space="preserve">+23.876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Positif ✓</w:t>
            </w:r>
          </w:p>
        </w:tc>
        <w:tc>
          <w:tcPr>
            <w:tcW w:type="dxa" w:w="25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Reserve build lebih rendah dari tahun lalu.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Kenaikan Hasil Investasi (+)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6B2E"/>
                <w:sz w:val="18"/>
                <w:szCs w:val="18"/>
              </w:rPr>
              <w:t xml:space="preserve">+3.354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Positif ✓</w:t>
            </w:r>
          </w:p>
        </w:tc>
        <w:tc>
          <w:tcPr>
            <w:tcW w:type="dxa" w:w="25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Stabil, naik moderat.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Kenaikan Beban Usaha (−)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(5.667)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Negatif</w:t>
            </w:r>
          </w:p>
        </w:tc>
        <w:tc>
          <w:tcPr>
            <w:tcW w:type="dxa" w:w="25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Terkendali, well below revenue growth.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NET PERUBAHAN LABA USAHA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(493)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−0,5%</w:t>
            </w:r>
          </w:p>
        </w:tc>
        <w:tc>
          <w:tcPr>
            <w:tcW w:type="dxa" w:w="25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Semua keuntungan revenue terserap klaim &amp; cadangan.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Titik Permasalahan &amp; Rekomendasi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000"/>
        <w:gridCol w:w="476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Isu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Indikator</w:t>
            </w:r>
          </w:p>
        </w:tc>
        <w:tc>
          <w:tcPr>
            <w:tcW w:type="dxa" w:w="47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Akar Sebab &amp; Rekomendasi</w:t>
            </w:r>
          </w:p>
        </w:tc>
      </w:tr>
      <w:tr>
        <w:tc>
          <w:tcPr>
            <w:tcW w:type="dxa" w:w="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Loss Ratio Naik (Klaim &gt; Revenue growth)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Gross LR: 58,9% vs 55,4% (YoY)</w:t>
            </w:r>
          </w:p>
        </w:tc>
        <w:tc>
          <w:tcPr>
            <w:tcW w:type="dxa" w:w="47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NPL UMKM meningkat (dampak suku bunga tinggi 2023-2024). Rekomendasi: review underwriting criteria per segmen, analisis vintages portofolio, pertimbangkan re-pricing untuk segmen bermasalah.</w:t>
            </w:r>
          </w:p>
        </w:tc>
      </w:tr>
      <w:tr>
        <w:tc>
          <w:tcPr>
            <w:tcW w:type="dxa" w:w="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Subrogasi/Recovery Melemah Drastis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Recovery ratio: 10% vs 26% (YoY)</w:t>
            </w:r>
          </w:p>
        </w:tc>
        <w:tc>
          <w:tcPr>
            <w:tcW w:type="dxa" w:w="47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Kapasitas tim penagihan tidak skalabel dengan pertumbuhan klaim. Rekomendasi: perkuat tim subrogasi, digitalisasi tracking piutang, prioritaskan klaim besar.</w:t>
            </w:r>
          </w:p>
        </w:tc>
      </w:tr>
      <w:tr>
        <w:tc>
          <w:tcPr>
            <w:tcW w:type="dxa" w:w="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Dependensi Investasi Tinggi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Hasil Inv = 62,1% dari Laba Usaha</w:t>
            </w:r>
          </w:p>
        </w:tc>
        <w:tc>
          <w:tcPr>
            <w:tcW w:type="dxa" w:w="47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Margin UW tidak cukup kuat untuk mandiri. Rekomendasi: tingkatkan UW margin melalui efisiensi klaim dan pricing, diversifikasi portofolio investasi.</w:t>
            </w:r>
          </w:p>
        </w:tc>
      </w:tr>
      <w:tr>
        <w:tc>
          <w:tcPr>
            <w:tcW w:type="dxa" w:w="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RCAR Deadline Desember 2026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PADK 47/2025 — laporan pertama</w:t>
            </w:r>
          </w:p>
        </w:tc>
        <w:tc>
          <w:tcPr>
            <w:tcW w:type="dxa" w:w="47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Framework baru RCAR belum diimplementasi. Rekomendasi: kick-off proyek RCAR Q3 2026, konsultasi aktuaris, stress test kapital.</w:t>
            </w:r>
          </w:p>
        </w:tc>
      </w:tr>
      <w:tr>
        <w:tc>
          <w:tcPr>
            <w:tcW w:type="dxa" w:w="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MTM SBSN Negatif (OCI)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OCI: −Rp 21,5 M (Des: +Rp 14,8M)</w:t>
            </w:r>
          </w:p>
        </w:tc>
        <w:tc>
          <w:tcPr>
            <w:tcW w:type="dxa" w:w="47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Harga SBSN turun (suku bunga naik). Rekomendasi: monitor durasi portofolio, pertimbangkan hedging atau shortening durasi.</w:t>
            </w:r>
          </w:p>
        </w:tc>
      </w:tr>
      <w:tr>
        <w:tc>
          <w:tcPr>
            <w:tcW w:type="dxa" w:w="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Konsentrasi Mitra BSI (~47% IJK)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BSI = 47% dari total IJK</w:t>
            </w:r>
          </w:p>
        </w:tc>
        <w:tc>
          <w:tcPr>
            <w:tcW w:type="dxa" w:w="47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Risiko konsentrasi tinggi. Rekomendasi: diversifikasi ke bank syariah dan konvensional lain, kembangkan produk non-KUR.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BFBFBF" w:sz="4" w:space="4"/>
        </w:pBdr>
        <w:spacing w:after="60" w:before="24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Dokumen ini berdasarkan: Worksheet JPAS Data Financial Mei 2026 (12 Juni 2026) | JPAS_Knowledge_Base.md | Regulasi: POJK 11/2025, POJK 10/2025, PADK 47/2025. Untuk keperluan analisis internal.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80"/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Halaman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dari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  <w:spacing w:after="80"/>
    </w:pPr>
    <w:r>
      <w:rPr>
        <w:rFonts w:ascii="Arial" w:cs="Arial" w:eastAsia="Arial" w:hAnsi="Arial"/>
        <w:color w:val="808080"/>
        <w:sz w:val="16"/>
        <w:szCs w:val="16"/>
      </w:rPr>
      <w:t xml:space="preserve">PT Jaminan Pembiayaan Askrindo Syariah — Analisis Keuangan s.d. Mei 2026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b/>
        <w:bCs/>
        <w:color w:val="C00000"/>
        <w:sz w:val="16"/>
        <w:szCs w:val="16"/>
      </w:rPr>
      <w:t xml:space="preserve">KONFIDENSIAL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2026-06-19T04:39:20.262Z</dcterms:created>
  <dcterms:modified xsi:type="dcterms:W3CDTF">2026-06-19T04:39:20.263Z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