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18A6B8">
      <w:pPr>
        <w:rPr>
          <w:rFonts w:hint="eastAsia"/>
        </w:rPr>
      </w:pPr>
    </w:p>
    <w:p w14:paraId="7B221503">
      <w:pPr>
        <w:numPr>
          <w:ilvl w:val="0"/>
          <w:numId w:val="1"/>
        </w:numPr>
        <w:rPr>
          <w:rFonts w:hint="eastAsia"/>
          <w:b/>
          <w:bCs/>
        </w:rPr>
      </w:pPr>
      <w:r>
        <w:rPr>
          <w:rFonts w:hint="eastAsia"/>
          <w:b/>
          <w:bCs/>
        </w:rPr>
        <w:t>核心问题研究现状：系统梳理学界关于地票法律性质（债权说/物权说/发展权衍生物说/行政资格说）、权利构造（主体/内容/客体）、交易流程合规性（合同效力/登记程序）、权益保障（农民与集体收益分配）等核心争议的研究成果，厘清学术观点分歧。</w:t>
      </w:r>
    </w:p>
    <w:p w14:paraId="0BA056F0">
      <w:pPr>
        <w:numPr>
          <w:ilvl w:val="0"/>
          <w:numId w:val="2"/>
        </w:numPr>
        <w:rPr>
          <w:rFonts w:hint="eastAsia"/>
          <w:lang w:val="en-US" w:eastAsia="zh-CN"/>
        </w:rPr>
      </w:pPr>
      <w:r>
        <w:rPr>
          <w:rFonts w:hint="eastAsia"/>
          <w:lang w:val="en-US" w:eastAsia="zh-CN"/>
        </w:rPr>
        <w:t>地票交易法律性质</w:t>
      </w:r>
    </w:p>
    <w:p w14:paraId="553ABFD3">
      <w:pPr>
        <w:numPr>
          <w:ilvl w:val="0"/>
          <w:numId w:val="3"/>
        </w:numPr>
        <w:rPr>
          <w:rFonts w:hint="default"/>
          <w:lang w:val="en-US" w:eastAsia="zh-CN"/>
        </w:rPr>
      </w:pPr>
      <w:r>
        <w:rPr>
          <w:rFonts w:hint="eastAsia"/>
          <w:lang w:val="en-US" w:eastAsia="zh-CN"/>
        </w:rPr>
        <w:t>土地发展权说：</w:t>
      </w:r>
    </w:p>
    <w:p w14:paraId="2C6F1FD3">
      <w:pPr>
        <w:numPr>
          <w:numId w:val="0"/>
        </w:numPr>
        <w:rPr>
          <w:rFonts w:hint="default"/>
          <w:lang w:val="en-US" w:eastAsia="zh-CN"/>
        </w:rPr>
      </w:pPr>
      <w:r>
        <w:rPr>
          <w:rFonts w:hint="default"/>
          <w:lang w:val="en-US" w:eastAsia="zh-CN"/>
        </w:rPr>
        <w:t>该观点认为地票的本质是土地发展权。</w:t>
      </w:r>
      <w:r>
        <w:rPr>
          <w:rStyle w:val="6"/>
          <w:rFonts w:hint="default"/>
          <w:lang w:val="en-US" w:eastAsia="zh-CN"/>
        </w:rPr>
        <w:footnoteReference w:id="0"/>
      </w:r>
      <w:r>
        <w:rPr>
          <w:rFonts w:hint="default"/>
          <w:lang w:val="en-US" w:eastAsia="zh-CN"/>
        </w:rPr>
        <w:t>不论是地票交易还是城乡建设用地增减挂钩其指标的产生都是农村集体经济组织或农民将其建设用地复垦为耕地后转化而来的。在此农村土地的用途发生了变化对于复垦的农村集体经济组织和农民而言其土地 由相对值钱的建设用地变为不太值钱的耕地其土地发展权潜在收益发生变化他们放弃了这部分发展权并通过地票交易的方式收回其土地发展权收益而对于地票的竞购方而言在地票落地时便可以将不太值钱的农用地变为值钱的建设用地。可见</w:t>
      </w:r>
      <w:r>
        <w:rPr>
          <w:rFonts w:hint="eastAsia"/>
          <w:lang w:val="en-US" w:eastAsia="zh-CN"/>
        </w:rPr>
        <w:t>，</w:t>
      </w:r>
      <w:r>
        <w:rPr>
          <w:rFonts w:hint="default"/>
          <w:lang w:val="en-US" w:eastAsia="zh-CN"/>
        </w:rPr>
        <w:t>地票交易其实是土地发展权的交易</w:t>
      </w:r>
      <w:r>
        <w:rPr>
          <w:rFonts w:hint="eastAsia"/>
          <w:lang w:val="en-US" w:eastAsia="zh-CN"/>
        </w:rPr>
        <w:t>。土地发展权交易理论来源于美国，其是指将一块土地进行非农开发的权利通过市场机制转移到另外一块土地</w:t>
      </w:r>
      <w:r>
        <w:rPr>
          <w:rStyle w:val="6"/>
          <w:rFonts w:hint="eastAsia"/>
          <w:lang w:val="en-US" w:eastAsia="zh-CN"/>
        </w:rPr>
        <w:footnoteReference w:id="1"/>
      </w:r>
      <w:r>
        <w:rPr>
          <w:rFonts w:hint="eastAsia"/>
          <w:lang w:val="en-US" w:eastAsia="zh-CN"/>
        </w:rPr>
        <w:t>。从地票交易的主体来看，其也存在申让方与竞购方，这与土地发展权交易中的“出让方”（转移地区）和“受让方”（接受地区）类似；而地票交易的结果则类似于土地发展权交易中的发展潜能从农业用地转移到了房地产开发用地上。此外，地票交易也需要类似于土地发展权交易中“受让方”对“出让方”的补偿，因此在理论上似乎可以将地票交易解释为土地发展权的交易。但需要注意的是，由于我国现行法中并无土地发展权的明确规定，因此就现行法而言，以土地发展权来解释地票交易似乎无理据。其实，进一步分析后甚至还可发现，在我国现行法上，所谓的土地发展权其实是属于国家的。</w:t>
      </w:r>
      <w:r>
        <w:rPr>
          <w:rStyle w:val="6"/>
          <w:rFonts w:hint="eastAsia"/>
          <w:lang w:val="en-US" w:eastAsia="zh-CN"/>
        </w:rPr>
        <w:footnoteReference w:id="2"/>
      </w:r>
      <w:r>
        <w:rPr>
          <w:rFonts w:hint="eastAsia"/>
          <w:lang w:val="en-US" w:eastAsia="zh-CN"/>
        </w:rPr>
        <w:t>因此若将地票交易解释为土地发展权的交易，那么地票交易的主题就应当是国家与农民或农村集体经济组织，其价款也应当由国家支付，但这显然与地票交易的实际情况和发展方向不相符。目前，参加地票竞买的主要是企业法人，甚至是自然人，而国家或地方政府均未直接涉足。此外，尤需强调的是，如果认为地票交易是国家与农民工或农村集体经济组织之间的交易，那么极易为地方政府“强行”进行土地发展权的转移，进而“合法”地启动征地程序提供不当的激励——在地票交易出现前，地方政府的土地征收尚且要受到建设用地指标的限制，但因地票交易的出现，地方政府可以经由地票交易获得更充裕的建设用地指标，因此就可能会启动更大规模的征地，这无疑会进一步强化地方政府垄断土地增值收益的非均衡的利益分配模式。</w:t>
      </w:r>
    </w:p>
    <w:p w14:paraId="078B1F99">
      <w:pPr>
        <w:numPr>
          <w:ilvl w:val="0"/>
          <w:numId w:val="3"/>
        </w:numPr>
        <w:rPr>
          <w:rFonts w:hint="default"/>
          <w:lang w:val="en-US" w:eastAsia="zh-CN"/>
        </w:rPr>
      </w:pPr>
      <w:r>
        <w:rPr>
          <w:rFonts w:hint="eastAsia"/>
          <w:lang w:val="en-US" w:eastAsia="zh-CN"/>
        </w:rPr>
        <w:t>债权说：</w:t>
      </w:r>
    </w:p>
    <w:p w14:paraId="091685D8">
      <w:pPr>
        <w:numPr>
          <w:numId w:val="0"/>
        </w:numPr>
        <w:rPr>
          <w:rFonts w:hint="eastAsia"/>
          <w:lang w:val="en-US" w:eastAsia="zh-CN"/>
        </w:rPr>
      </w:pPr>
      <w:r>
        <w:rPr>
          <w:rFonts w:hint="eastAsia"/>
          <w:lang w:val="en-US" w:eastAsia="zh-CN"/>
        </w:rPr>
        <w:t>由于地票交易是脱离土地的单纯指标流转，因此其交易客体是不特定的，这与物权要求其客体是特定物，并以此实现对物的排他支配性质不相符合。同时，又因地票利益主要体现为可增加等量建设用地指标，但这一权益的实现按照现行《土地管理法》又需以政府的征收专用为前提。换言之，地票持有人本身没有权力直接征地，而只能请求政府为征地行为，进而实现其利益，因此地票权利的性质为债权。</w:t>
      </w:r>
    </w:p>
    <w:p w14:paraId="2F7A150C">
      <w:pPr>
        <w:numPr>
          <w:numId w:val="0"/>
        </w:numPr>
        <w:rPr>
          <w:rFonts w:hint="default"/>
          <w:lang w:val="en-US" w:eastAsia="zh-CN"/>
        </w:rPr>
      </w:pPr>
    </w:p>
    <w:p w14:paraId="3330F4C7">
      <w:pPr>
        <w:numPr>
          <w:ilvl w:val="0"/>
          <w:numId w:val="3"/>
        </w:numPr>
        <w:rPr>
          <w:rFonts w:hint="default"/>
          <w:lang w:val="en-US" w:eastAsia="zh-CN"/>
        </w:rPr>
      </w:pPr>
      <w:r>
        <w:rPr>
          <w:rFonts w:hint="eastAsia"/>
          <w:lang w:val="en-US" w:eastAsia="zh-CN"/>
        </w:rPr>
        <w:t>物权说：（地役权说）</w:t>
      </w:r>
      <w:r>
        <w:rPr>
          <w:rStyle w:val="6"/>
          <w:rFonts w:hint="eastAsia"/>
          <w:lang w:val="en-US" w:eastAsia="zh-CN"/>
        </w:rPr>
        <w:footnoteReference w:id="3"/>
      </w:r>
    </w:p>
    <w:p w14:paraId="1781ECD3">
      <w:pPr>
        <w:numPr>
          <w:numId w:val="0"/>
        </w:numPr>
        <w:rPr>
          <w:rFonts w:hint="eastAsia"/>
          <w:lang w:val="en-US" w:eastAsia="zh-CN"/>
        </w:rPr>
      </w:pPr>
      <w:r>
        <w:rPr>
          <w:rFonts w:hint="eastAsia"/>
          <w:lang w:val="en-US" w:eastAsia="zh-CN"/>
        </w:rPr>
        <w:t>在民法的视野里，一切直接支配物并排除他人干涉的权利都可以取名为物权</w:t>
      </w:r>
      <w:r>
        <w:rPr>
          <w:rStyle w:val="6"/>
          <w:rFonts w:hint="eastAsia"/>
          <w:lang w:val="en-US" w:eastAsia="zh-CN"/>
        </w:rPr>
        <w:footnoteReference w:id="4"/>
      </w:r>
      <w:r>
        <w:rPr>
          <w:rFonts w:hint="eastAsia"/>
          <w:lang w:val="en-US" w:eastAsia="zh-CN"/>
        </w:rPr>
        <w:t>。而地票交易的结果是使地票持有人享有直接使特定面积的农用地用于建设用途，并排除他人干涉的权利，其完全满足物权的支配属性，可以被界定为物权。。当然，这一权利与通常意义上的物权确有不同，它要受到行政法上的一些限制。通说认为，地役权制度的本质在于限制供役地的使用权范围，增加需役地的利用价值。与其他种类的用益物权严格遵循物权法定原则、就权利义务内容进行明确界定不同，地役权的权利义务内容并不确定，而是由当事人自主约定，从而为权利人留下广泛的空寂那。换言之，地役权中的“便利”是指“开发、利用需役地的内容形成，当事人享有相当程度私法资质的空间，可以以此调节土地的利用。正是因为地役权的内容具有开放性，因此需役地的权利人如何对供役地进行使用，完全取决于其与供役地权利人之间的约定。从地票交易制度的实践来看，其所交易的是宅基地及其附属设施用地、乡镇企业用地、农村公共设施和公益事业建设用地等集体建设用地复垦为耕地后可用于建设的用地指标，而交易结果是地票申让放的土地用途受到了限制，地票竞购方则获得了将其农用地转为建设用地的资格，进而可以增进土地的收益。可见，地票交易与地役权的属性相契合，而且将地票交易解释为地役权可以避免因为允许集体建设用地直接入市而导致与现行《土地管理法》相冲突的问题。因为在地票交易中，其转让的并非是建设用地本身，而是通过复垦所获得的建设用地指标，因此就不存在与《土地管理法》相违悖的问题。</w:t>
      </w:r>
    </w:p>
    <w:p w14:paraId="53ED2BA9">
      <w:pPr>
        <w:numPr>
          <w:ilvl w:val="0"/>
          <w:numId w:val="3"/>
        </w:numPr>
        <w:ind w:left="0" w:leftChars="0" w:firstLine="0" w:firstLineChars="0"/>
        <w:rPr>
          <w:rFonts w:hint="eastAsia"/>
          <w:lang w:val="en-US" w:eastAsia="zh-CN"/>
        </w:rPr>
      </w:pPr>
      <w:r>
        <w:rPr>
          <w:rFonts w:hint="eastAsia"/>
          <w:lang w:val="en-US" w:eastAsia="zh-CN"/>
        </w:rPr>
        <w:t>指标交易说（行政资格说）</w:t>
      </w:r>
    </w:p>
    <w:p w14:paraId="4E6BA84C">
      <w:pPr>
        <w:numPr>
          <w:numId w:val="0"/>
        </w:numPr>
        <w:ind w:leftChars="0"/>
        <w:rPr>
          <w:rFonts w:hint="default"/>
          <w:lang w:val="en-US" w:eastAsia="zh-CN"/>
        </w:rPr>
      </w:pPr>
      <w:r>
        <w:rPr>
          <w:rFonts w:hint="eastAsia"/>
          <w:lang w:val="en-US" w:eastAsia="zh-CN"/>
        </w:rPr>
        <w:t>该观点认为地票是“指标”的“票据化”。通过交易取得地票并不等同于地票受让方直接获取率建设用地使用权，其只是具备了使用新增建设用地指标的资格，所获指标还要经过“落地”环节，才能转化为建设用地使用权。即地票受让方还需要通过“招拍挂”取得建设用地使用权，两种指标合并才能够实现对土地的开发利用。按照此观点，地票本身并不直接指向土地，其所衍生的权益亦并非基于关于土地而产生的物权，这种“票据”是通过行政权力介入设计出来的。</w:t>
      </w:r>
    </w:p>
    <w:p w14:paraId="4CB0F942">
      <w:pPr>
        <w:numPr>
          <w:ilvl w:val="0"/>
          <w:numId w:val="2"/>
        </w:numPr>
        <w:rPr>
          <w:rFonts w:hint="default"/>
          <w:lang w:val="en-US" w:eastAsia="zh-CN"/>
        </w:rPr>
      </w:pPr>
      <w:r>
        <w:rPr>
          <w:rFonts w:hint="eastAsia"/>
          <w:lang w:val="en-US" w:eastAsia="zh-CN"/>
        </w:rPr>
        <w:t>权利构造</w:t>
      </w:r>
    </w:p>
    <w:p w14:paraId="69877C48">
      <w:pPr>
        <w:numPr>
          <w:ilvl w:val="0"/>
          <w:numId w:val="4"/>
        </w:numPr>
        <w:rPr>
          <w:rFonts w:hint="eastAsia"/>
          <w:lang w:val="en-US" w:eastAsia="zh-CN"/>
        </w:rPr>
      </w:pPr>
      <w:r>
        <w:rPr>
          <w:rFonts w:hint="eastAsia"/>
          <w:lang w:val="en-US" w:eastAsia="zh-CN"/>
        </w:rPr>
        <w:t>主体：《重庆市地票管理办法》第九条规定了通过土地复垦获得地票的资格主体，其主体范围为农户、村集体经济组织、具有土地权利的其他主体，该条并未对地票交易的资格主体进行规定。该办法第二十条以“权利人”来表述地票交易的主体，但同样未规定地票交易的资格主体。那么在没有其他法律规定地票交易资格主体的前提下，可认定合同当事人订立地票交易合同不受任何资格的限制。通过可知地票交易合同通常由农民、村集体经济组织、企业之间订立，政府与农民及企业订立地票交易合同的情形也有。地票出让方：农民、村集体组织、企业，甚至基层政府。地票受让方：农村集体经济组织、法人、其他组织及具有独立民事能力的自然人。</w:t>
      </w:r>
    </w:p>
    <w:p w14:paraId="03061CB5">
      <w:pPr>
        <w:numPr>
          <w:ilvl w:val="0"/>
          <w:numId w:val="4"/>
        </w:numPr>
        <w:rPr>
          <w:rFonts w:hint="default"/>
          <w:lang w:val="en-US" w:eastAsia="zh-CN"/>
        </w:rPr>
      </w:pPr>
      <w:r>
        <w:rPr>
          <w:rFonts w:hint="eastAsia"/>
          <w:lang w:val="en-US" w:eastAsia="zh-CN"/>
        </w:rPr>
        <w:t>客体：学者吴义茂在分析重庆地区地票交易后认为，地票应属于“指标性权利”，其现实载体并不是土地，而是通过行政权力介入设计出来的“票据”，确定地票实质上是一种“指标”。地票作为地票交易合同的客体，其能使市场主体取得竞拍土地使用权的资格，只要地票作为合同客体进行交易不违反强制性规定，那么地票交易合同有效认定就是合理的。</w:t>
      </w:r>
    </w:p>
    <w:p w14:paraId="0099C24E">
      <w:pPr>
        <w:numPr>
          <w:ilvl w:val="0"/>
          <w:numId w:val="4"/>
        </w:numPr>
        <w:rPr>
          <w:rFonts w:hint="default"/>
          <w:lang w:val="en-US" w:eastAsia="zh-CN"/>
        </w:rPr>
      </w:pPr>
      <w:r>
        <w:rPr>
          <w:rFonts w:hint="eastAsia"/>
          <w:lang w:val="en-US" w:eastAsia="zh-CN"/>
        </w:rPr>
        <w:t>内容：地票交易自由、地票交易价格的限定、地票交易合同的履行</w:t>
      </w:r>
    </w:p>
    <w:p w14:paraId="22263510">
      <w:pPr>
        <w:numPr>
          <w:ilvl w:val="0"/>
          <w:numId w:val="2"/>
        </w:numPr>
        <w:rPr>
          <w:rFonts w:hint="default"/>
          <w:lang w:val="en-US" w:eastAsia="zh-CN"/>
        </w:rPr>
      </w:pPr>
      <w:r>
        <w:rPr>
          <w:rFonts w:hint="eastAsia"/>
          <w:lang w:val="en-US" w:eastAsia="zh-CN"/>
        </w:rPr>
        <w:t>交易流程合规性</w:t>
      </w:r>
    </w:p>
    <w:p w14:paraId="47998C99">
      <w:pPr>
        <w:numPr>
          <w:ilvl w:val="0"/>
          <w:numId w:val="5"/>
        </w:numPr>
        <w:rPr>
          <w:rFonts w:hint="eastAsia"/>
          <w:lang w:val="en-US" w:eastAsia="zh-CN"/>
        </w:rPr>
      </w:pPr>
      <w:r>
        <w:rPr>
          <w:rFonts w:hint="eastAsia"/>
          <w:lang w:val="en-US" w:eastAsia="zh-CN"/>
        </w:rPr>
        <w:t xml:space="preserve">合同效力： </w:t>
      </w:r>
    </w:p>
    <w:p w14:paraId="74153B4B">
      <w:pPr>
        <w:numPr>
          <w:numId w:val="0"/>
        </w:numPr>
      </w:pPr>
      <w:r>
        <w:drawing>
          <wp:inline distT="0" distB="0" distL="114300" distR="114300">
            <wp:extent cx="5272405" cy="4737735"/>
            <wp:effectExtent l="0" t="0" r="10795"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72405" cy="4737735"/>
                    </a:xfrm>
                    <a:prstGeom prst="rect">
                      <a:avLst/>
                    </a:prstGeom>
                    <a:noFill/>
                    <a:ln>
                      <a:noFill/>
                    </a:ln>
                  </pic:spPr>
                </pic:pic>
              </a:graphicData>
            </a:graphic>
          </wp:inline>
        </w:drawing>
      </w:r>
    </w:p>
    <w:p w14:paraId="56D822A2">
      <w:pPr>
        <w:numPr>
          <w:numId w:val="0"/>
        </w:numPr>
      </w:pPr>
      <w:r>
        <w:drawing>
          <wp:inline distT="0" distB="0" distL="114300" distR="114300">
            <wp:extent cx="5270500" cy="7134225"/>
            <wp:effectExtent l="0" t="0" r="1270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0500" cy="7134225"/>
                    </a:xfrm>
                    <a:prstGeom prst="rect">
                      <a:avLst/>
                    </a:prstGeom>
                    <a:noFill/>
                    <a:ln>
                      <a:noFill/>
                    </a:ln>
                  </pic:spPr>
                </pic:pic>
              </a:graphicData>
            </a:graphic>
          </wp:inline>
        </w:drawing>
      </w:r>
    </w:p>
    <w:p w14:paraId="2F6FAD06">
      <w:pPr>
        <w:numPr>
          <w:numId w:val="0"/>
        </w:numPr>
      </w:pPr>
      <w:r>
        <w:drawing>
          <wp:inline distT="0" distB="0" distL="114300" distR="114300">
            <wp:extent cx="5268595" cy="3394710"/>
            <wp:effectExtent l="0" t="0" r="1460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68595" cy="3394710"/>
                    </a:xfrm>
                    <a:prstGeom prst="rect">
                      <a:avLst/>
                    </a:prstGeom>
                    <a:noFill/>
                    <a:ln>
                      <a:noFill/>
                    </a:ln>
                  </pic:spPr>
                </pic:pic>
              </a:graphicData>
            </a:graphic>
          </wp:inline>
        </w:drawing>
      </w:r>
    </w:p>
    <w:p w14:paraId="7C86E003">
      <w:pPr>
        <w:numPr>
          <w:numId w:val="0"/>
        </w:numPr>
        <w:rPr>
          <w:rFonts w:hint="eastAsia"/>
          <w:lang w:val="en-US" w:eastAsia="zh-CN"/>
        </w:rPr>
      </w:pPr>
      <w:r>
        <w:rPr>
          <w:rFonts w:hint="eastAsia"/>
          <w:lang w:val="en-US" w:eastAsia="zh-CN"/>
        </w:rPr>
        <w:t>认定地票交易合同效力有效的裁判理由：一是地票交易合同或指标交易协议相关内容并未违法法律的强制性规定；二是涉案地票交易合同或指标交易协议系当事人意思表达真实且达成一致的结果。另外，承担证明责任的当事人往往也无法向法院提供有效证据证明该协议会导致社会公共利益受损。满足上述条件的地票交易合同或指标交易协议，法院一般认定为有效。</w:t>
      </w:r>
    </w:p>
    <w:p w14:paraId="70E9C650">
      <w:pPr>
        <w:numPr>
          <w:numId w:val="0"/>
        </w:numPr>
        <w:rPr>
          <w:rFonts w:hint="eastAsia"/>
          <w:lang w:val="en-US" w:eastAsia="zh-CN"/>
        </w:rPr>
      </w:pPr>
      <w:r>
        <w:rPr>
          <w:rFonts w:hint="eastAsia"/>
          <w:lang w:val="en-US" w:eastAsia="zh-CN"/>
        </w:rPr>
        <w:t>认定地票交易合同效力无效的裁判理由：一是地票交易合同相关内容违反了法律的强制性规定；二是地票交易合同损害了社会公共利益，包括违背了相关土地政策、损害其他购票者利益、损害地票市场秩序；三是地票交易合同违反了地票交易程序。法院只要认定案涉地票交易合同满足上述任何一项，该协议护着合同均会被认定为无效。</w:t>
      </w:r>
    </w:p>
    <w:p w14:paraId="54F81B89">
      <w:pPr>
        <w:numPr>
          <w:ilvl w:val="0"/>
          <w:numId w:val="5"/>
        </w:numPr>
        <w:ind w:left="0" w:leftChars="0" w:firstLine="0" w:firstLineChars="0"/>
        <w:rPr>
          <w:rFonts w:hint="eastAsia"/>
          <w:lang w:val="en-US" w:eastAsia="zh-CN"/>
        </w:rPr>
      </w:pPr>
      <w:r>
        <w:rPr>
          <w:rFonts w:hint="eastAsia"/>
          <w:lang w:val="en-US" w:eastAsia="zh-CN"/>
        </w:rPr>
        <w:t>登记程序：</w:t>
      </w:r>
    </w:p>
    <w:p w14:paraId="2E2450B6">
      <w:pPr>
        <w:numPr>
          <w:numId w:val="0"/>
        </w:numPr>
        <w:ind w:leftChars="0"/>
        <w:rPr>
          <w:rFonts w:hint="default"/>
          <w:lang w:val="en-US" w:eastAsia="zh-CN"/>
        </w:rPr>
      </w:pPr>
      <w:r>
        <w:drawing>
          <wp:inline distT="0" distB="0" distL="114300" distR="114300">
            <wp:extent cx="5269865" cy="5293360"/>
            <wp:effectExtent l="0" t="0" r="13335" b="152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69865" cy="5293360"/>
                    </a:xfrm>
                    <a:prstGeom prst="rect">
                      <a:avLst/>
                    </a:prstGeom>
                    <a:noFill/>
                    <a:ln>
                      <a:noFill/>
                    </a:ln>
                  </pic:spPr>
                </pic:pic>
              </a:graphicData>
            </a:graphic>
          </wp:inline>
        </w:drawing>
      </w:r>
    </w:p>
    <w:p w14:paraId="28243061">
      <w:pPr>
        <w:numPr>
          <w:ilvl w:val="0"/>
          <w:numId w:val="2"/>
        </w:numPr>
        <w:rPr>
          <w:rFonts w:hint="default"/>
          <w:lang w:val="en-US" w:eastAsia="zh-CN"/>
        </w:rPr>
      </w:pPr>
      <w:r>
        <w:rPr>
          <w:rFonts w:hint="eastAsia"/>
          <w:lang w:val="en-US" w:eastAsia="zh-CN"/>
        </w:rPr>
        <w:t>权益保障</w:t>
      </w:r>
    </w:p>
    <w:p w14:paraId="5E8447A3">
      <w:pPr>
        <w:numPr>
          <w:numId w:val="0"/>
        </w:numPr>
      </w:pPr>
      <w:r>
        <w:drawing>
          <wp:inline distT="0" distB="0" distL="114300" distR="114300">
            <wp:extent cx="5260340" cy="1537970"/>
            <wp:effectExtent l="0" t="0" r="22860"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60340" cy="1537970"/>
                    </a:xfrm>
                    <a:prstGeom prst="rect">
                      <a:avLst/>
                    </a:prstGeom>
                    <a:noFill/>
                    <a:ln>
                      <a:noFill/>
                    </a:ln>
                  </pic:spPr>
                </pic:pic>
              </a:graphicData>
            </a:graphic>
          </wp:inline>
        </w:drawing>
      </w:r>
    </w:p>
    <w:p w14:paraId="205B88A8">
      <w:pPr>
        <w:numPr>
          <w:numId w:val="0"/>
        </w:numPr>
      </w:pPr>
    </w:p>
    <w:p w14:paraId="4984F7FE">
      <w:pPr>
        <w:numPr>
          <w:numId w:val="0"/>
        </w:numPr>
      </w:pPr>
      <w:r>
        <w:drawing>
          <wp:inline distT="0" distB="0" distL="114300" distR="114300">
            <wp:extent cx="5268595" cy="1461135"/>
            <wp:effectExtent l="0" t="0" r="14605" b="1206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8595" cy="1461135"/>
                    </a:xfrm>
                    <a:prstGeom prst="rect">
                      <a:avLst/>
                    </a:prstGeom>
                    <a:noFill/>
                    <a:ln>
                      <a:noFill/>
                    </a:ln>
                  </pic:spPr>
                </pic:pic>
              </a:graphicData>
            </a:graphic>
          </wp:inline>
        </w:drawing>
      </w:r>
    </w:p>
    <w:p w14:paraId="101B7318">
      <w:pPr>
        <w:numPr>
          <w:numId w:val="0"/>
        </w:numPr>
      </w:pPr>
    </w:p>
    <w:p w14:paraId="669E4FA6">
      <w:pPr>
        <w:numPr>
          <w:numId w:val="0"/>
        </w:numPr>
      </w:pPr>
    </w:p>
    <w:p w14:paraId="0B29C772">
      <w:pPr>
        <w:numPr>
          <w:numId w:val="0"/>
        </w:numPr>
        <w:rPr>
          <w:rFonts w:hint="eastAsia"/>
        </w:rPr>
      </w:pPr>
      <w:r>
        <w:drawing>
          <wp:inline distT="0" distB="0" distL="114300" distR="114300">
            <wp:extent cx="5274310" cy="4646295"/>
            <wp:effectExtent l="0" t="0" r="889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74310" cy="4646295"/>
                    </a:xfrm>
                    <a:prstGeom prst="rect">
                      <a:avLst/>
                    </a:prstGeom>
                    <a:noFill/>
                    <a:ln>
                      <a:noFill/>
                    </a:ln>
                  </pic:spPr>
                </pic:pic>
              </a:graphicData>
            </a:graphic>
          </wp:inline>
        </w:drawing>
      </w:r>
    </w:p>
    <w:p w14:paraId="13A808F6">
      <w:pPr>
        <w:numPr>
          <w:ilvl w:val="0"/>
          <w:numId w:val="1"/>
        </w:numPr>
        <w:ind w:left="0" w:leftChars="0" w:firstLine="0" w:firstLineChars="0"/>
        <w:rPr>
          <w:rFonts w:hint="eastAsia"/>
          <w:b/>
          <w:bCs/>
        </w:rPr>
      </w:pPr>
      <w:r>
        <w:rPr>
          <w:rFonts w:hint="eastAsia"/>
          <w:b/>
          <w:bCs/>
        </w:rPr>
        <w:t>实证研究进展：总结基于重庆试点的案例分析、数据统计等实证研究，指出当前研究存在的“重定性轻建构”“重单一学科轻交叉融合”“重问题梳理轻解决方案实操性”等不足。</w:t>
      </w:r>
    </w:p>
    <w:p w14:paraId="4AEC024A">
      <w:pPr>
        <w:numPr>
          <w:numId w:val="0"/>
        </w:numPr>
        <w:ind w:leftChars="0"/>
        <w:rPr>
          <w:rFonts w:hint="eastAsia"/>
          <w:b/>
          <w:bCs/>
        </w:rPr>
      </w:pPr>
    </w:p>
    <w:p w14:paraId="24BFEC4F">
      <w:pPr>
        <w:numPr>
          <w:ilvl w:val="0"/>
          <w:numId w:val="6"/>
        </w:numPr>
        <w:ind w:leftChars="0"/>
        <w:rPr>
          <w:rFonts w:hint="eastAsia"/>
          <w:lang w:val="en-US" w:eastAsia="zh-CN"/>
        </w:rPr>
      </w:pPr>
      <w:r>
        <w:rPr>
          <w:rFonts w:hint="eastAsia"/>
          <w:lang w:val="en-US" w:eastAsia="zh-CN"/>
        </w:rPr>
        <w:t>地票购买流程：</w:t>
      </w:r>
      <w:r>
        <w:rPr>
          <w:rFonts w:hint="eastAsia"/>
          <w:lang w:val="en-US" w:eastAsia="zh-CN"/>
        </w:rPr>
        <w:fldChar w:fldCharType="begin"/>
      </w:r>
      <w:r>
        <w:rPr>
          <w:rFonts w:hint="eastAsia"/>
          <w:lang w:val="en-US" w:eastAsia="zh-CN"/>
        </w:rPr>
        <w:instrText xml:space="preserve"> HYPERLINK "https://www.ccle.cn/info.html#/infoDetail?id=11738&amp;left=84" </w:instrText>
      </w:r>
      <w:r>
        <w:rPr>
          <w:rFonts w:hint="eastAsia"/>
          <w:lang w:val="en-US" w:eastAsia="zh-CN"/>
        </w:rPr>
        <w:fldChar w:fldCharType="separate"/>
      </w:r>
      <w:r>
        <w:rPr>
          <w:rStyle w:val="5"/>
          <w:rFonts w:hint="eastAsia"/>
          <w:lang w:val="en-US" w:eastAsia="zh-CN"/>
        </w:rPr>
        <w:t>https://www.ccle.cn/info.html#/infoDetail?id=11738&amp;left=84</w:t>
      </w:r>
      <w:r>
        <w:rPr>
          <w:rFonts w:hint="eastAsia"/>
          <w:lang w:val="en-US" w:eastAsia="zh-CN"/>
        </w:rPr>
        <w:fldChar w:fldCharType="end"/>
      </w:r>
    </w:p>
    <w:p w14:paraId="5664D371">
      <w:pPr>
        <w:numPr>
          <w:ilvl w:val="0"/>
          <w:numId w:val="6"/>
        </w:numPr>
        <w:ind w:leftChars="0"/>
        <w:rPr>
          <w:rFonts w:hint="default"/>
          <w:lang w:val="en-US" w:eastAsia="zh-CN"/>
        </w:rPr>
      </w:pPr>
      <w:r>
        <w:rPr>
          <w:rFonts w:hint="default"/>
          <w:lang w:val="en-US" w:eastAsia="zh-CN"/>
        </w:rPr>
        <w:t>区县申请交易地票指标操作流程</w:t>
      </w:r>
      <w:r>
        <w:rPr>
          <w:rFonts w:hint="eastAsia"/>
          <w:lang w:val="en-US" w:eastAsia="zh-CN"/>
        </w:rPr>
        <w:t>：</w:t>
      </w:r>
      <w:r>
        <w:rPr>
          <w:rFonts w:hint="eastAsia"/>
          <w:lang w:val="en-US" w:eastAsia="zh-CN"/>
        </w:rPr>
        <w:fldChar w:fldCharType="begin"/>
      </w:r>
      <w:r>
        <w:rPr>
          <w:rFonts w:hint="eastAsia"/>
          <w:lang w:val="en-US" w:eastAsia="zh-CN"/>
        </w:rPr>
        <w:instrText xml:space="preserve"> HYPERLINK "https://www.ccle.cn/info.html#/infoDetail?id=11747&amp;left=84" </w:instrText>
      </w:r>
      <w:r>
        <w:rPr>
          <w:rFonts w:hint="eastAsia"/>
          <w:lang w:val="en-US" w:eastAsia="zh-CN"/>
        </w:rPr>
        <w:fldChar w:fldCharType="separate"/>
      </w:r>
      <w:r>
        <w:rPr>
          <w:rStyle w:val="5"/>
          <w:rFonts w:hint="eastAsia"/>
          <w:lang w:val="en-US" w:eastAsia="zh-CN"/>
        </w:rPr>
        <w:t>https://www.ccle.cn/info.html#/infoDetail?id=11747&amp;left=84</w:t>
      </w:r>
      <w:r>
        <w:rPr>
          <w:rFonts w:hint="eastAsia"/>
          <w:lang w:val="en-US" w:eastAsia="zh-CN"/>
        </w:rPr>
        <w:fldChar w:fldCharType="end"/>
      </w:r>
    </w:p>
    <w:p w14:paraId="36C3CED5">
      <w:pPr>
        <w:numPr>
          <w:numId w:val="0"/>
        </w:numPr>
        <w:rPr>
          <w:rFonts w:hint="default"/>
          <w:lang w:val="en-US" w:eastAsia="zh-CN"/>
        </w:rPr>
      </w:pPr>
    </w:p>
    <w:p w14:paraId="091D524F">
      <w:pPr>
        <w:numPr>
          <w:ilvl w:val="0"/>
          <w:numId w:val="1"/>
        </w:numPr>
        <w:ind w:left="0" w:leftChars="0" w:firstLine="0" w:firstLineChars="0"/>
        <w:rPr>
          <w:rFonts w:hint="eastAsia"/>
          <w:b/>
          <w:bCs/>
        </w:rPr>
      </w:pPr>
      <w:r>
        <w:rPr>
          <w:rFonts w:hint="eastAsia"/>
          <w:b/>
          <w:bCs/>
        </w:rPr>
        <w:t>本文研究定位：明确以“实证分析和规范建构”为核心特色，融合多学科理论破解地票法律定性难题，结合重庆实践设计可落地的制度规则，弥补现有研究的短板。</w:t>
      </w:r>
    </w:p>
    <w:p w14:paraId="3A6BF345">
      <w:pPr>
        <w:widowControl w:val="0"/>
        <w:numPr>
          <w:numId w:val="0"/>
        </w:numPr>
        <w:jc w:val="both"/>
        <w:rPr>
          <w:rFonts w:hint="eastAsia"/>
          <w:b/>
          <w:bCs/>
        </w:rPr>
      </w:pPr>
    </w:p>
    <w:p w14:paraId="29A5FFA3">
      <w:pPr>
        <w:widowControl w:val="0"/>
        <w:numPr>
          <w:numId w:val="0"/>
        </w:numPr>
        <w:jc w:val="both"/>
        <w:rPr>
          <w:rFonts w:hint="eastAsia"/>
          <w:b/>
          <w:bCs/>
        </w:rPr>
      </w:pPr>
    </w:p>
    <w:p w14:paraId="2E6BCFDF">
      <w:pPr>
        <w:widowControl w:val="0"/>
        <w:numPr>
          <w:numId w:val="0"/>
        </w:numPr>
        <w:jc w:val="both"/>
        <w:rPr>
          <w:rFonts w:hint="eastAsia"/>
          <w:b/>
          <w:bCs/>
        </w:rPr>
      </w:pPr>
    </w:p>
    <w:p w14:paraId="53B18ED3">
      <w:pPr>
        <w:numPr>
          <w:ilvl w:val="0"/>
          <w:numId w:val="1"/>
        </w:numPr>
        <w:ind w:left="0" w:leftChars="0" w:firstLine="0" w:firstLineChars="0"/>
        <w:rPr>
          <w:rFonts w:hint="eastAsia"/>
          <w:b/>
          <w:bCs/>
        </w:rPr>
      </w:pPr>
      <w:r>
        <w:rPr>
          <w:rFonts w:hint="eastAsia"/>
          <w:b/>
          <w:bCs/>
          <w:lang w:val="en-US" w:eastAsia="zh-CN"/>
        </w:rPr>
        <w:t>问题：</w:t>
      </w:r>
    </w:p>
    <w:p w14:paraId="6D13E460">
      <w:pPr>
        <w:numPr>
          <w:numId w:val="0"/>
        </w:numPr>
        <w:ind w:leftChars="0"/>
        <w:rPr>
          <w:rFonts w:hint="eastAsia"/>
          <w:b/>
          <w:bCs/>
          <w:lang w:val="en-US" w:eastAsia="zh-CN"/>
        </w:rPr>
      </w:pPr>
      <w:r>
        <w:rPr>
          <w:rFonts w:hint="eastAsia"/>
          <w:b/>
          <w:bCs/>
          <w:lang w:val="en-US" w:eastAsia="zh-CN"/>
        </w:rPr>
        <w:t>关于权益保障这一部分，《重庆市地票管理办法》中并没有提及对于地票落地区的失地农民的补偿是按照是如何规定的？</w:t>
      </w:r>
    </w:p>
    <w:p w14:paraId="5A8119DF">
      <w:pPr>
        <w:numPr>
          <w:numId w:val="0"/>
        </w:numPr>
        <w:ind w:leftChars="0"/>
        <w:rPr>
          <w:rFonts w:hint="eastAsia"/>
          <w:b/>
          <w:bCs/>
          <w:lang w:val="en-US" w:eastAsia="zh-CN"/>
        </w:rPr>
      </w:pPr>
      <w:r>
        <w:rPr>
          <w:rFonts w:hint="eastAsia"/>
          <w:b/>
          <w:bCs/>
          <w:lang w:val="en-US" w:eastAsia="zh-CN"/>
        </w:rPr>
        <w:t>关于地票净收益的计算方式和复垦成本明细等核心内容，未予充分的公开，农民会不会无法清晰的了解到自身收益的构成及资金的去向，如何判断收益分配的合理性？</w:t>
      </w:r>
    </w:p>
    <w:p w14:paraId="2136D42E">
      <w:pPr>
        <w:numPr>
          <w:numId w:val="0"/>
        </w:numPr>
        <w:ind w:leftChars="0"/>
        <w:rPr>
          <w:rFonts w:hint="default"/>
          <w:b/>
          <w:bCs/>
          <w:lang w:val="en-US" w:eastAsia="zh-CN"/>
        </w:rPr>
      </w:pPr>
      <w:bookmarkStart w:id="0" w:name="_GoBack"/>
      <w:bookmarkEnd w:id="0"/>
    </w:p>
    <w:p w14:paraId="71E38385">
      <w:pPr>
        <w:numPr>
          <w:numId w:val="0"/>
        </w:numPr>
        <w:ind w:leftChars="0"/>
        <w:rPr>
          <w:rFonts w:hint="eastAsia"/>
          <w:b/>
          <w:bCs/>
        </w:rPr>
      </w:pPr>
    </w:p>
    <w:p w14:paraId="4FFFC5B2">
      <w:pPr>
        <w:numPr>
          <w:numId w:val="0"/>
        </w:numPr>
        <w:ind w:leftChars="0"/>
        <w:rPr>
          <w:rFonts w:hint="eastAsia"/>
          <w:b/>
          <w:bCs/>
        </w:rPr>
      </w:pPr>
    </w:p>
    <w:p w14:paraId="4B89C337">
      <w:pPr>
        <w:numPr>
          <w:numId w:val="0"/>
        </w:numPr>
        <w:ind w:leftChars="0"/>
        <w:rPr>
          <w:rFonts w:hint="eastAsia"/>
          <w:b/>
          <w:bCs/>
        </w:rPr>
      </w:pPr>
    </w:p>
    <w:p w14:paraId="41D507A4">
      <w:pPr>
        <w:numPr>
          <w:numId w:val="0"/>
        </w:numPr>
        <w:ind w:leftChars="0"/>
        <w:rPr>
          <w:rFonts w:hint="default"/>
          <w:b/>
          <w:bCs/>
          <w:lang w:val="en-U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方正仿宋_GBK"/>
    <w:panose1 w:val="02010609060101010101"/>
    <w:charset w:val="00"/>
    <w:family w:val="modern"/>
    <w:pitch w:val="default"/>
    <w:sig w:usb0="00000000" w:usb1="00000000" w:usb2="00000016" w:usb3="00000000" w:csb0="00040001" w:csb1="00000000"/>
  </w:font>
  <w:font w:name="方正仿宋_GBK">
    <w:panose1 w:val="02000000000000000000"/>
    <w:charset w:val="86"/>
    <w:family w:val="auto"/>
    <w:pitch w:val="default"/>
    <w:sig w:usb0="A00002BF" w:usb1="38CF7CFA" w:usb2="00082016" w:usb3="00000000" w:csb0="00040001" w:csb1="00000000"/>
  </w:font>
  <w:font w:name="楷体">
    <w:altName w:val="汉仪楷体KW"/>
    <w:panose1 w:val="02010609060101010101"/>
    <w:charset w:val="00"/>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GBZ_CNKI">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0">
    <w:p>
      <w:r>
        <w:separator/>
      </w:r>
    </w:p>
  </w:footnote>
  <w:footnote w:type="continuationSeparator" w:id="11">
    <w:p>
      <w:r>
        <w:continuationSeparator/>
      </w:r>
    </w:p>
  </w:footnote>
  <w:footnote w:id="0">
    <w:p w14:paraId="020AC373">
      <w:pPr>
        <w:pStyle w:val="2"/>
        <w:snapToGrid w:val="0"/>
      </w:pPr>
      <w:r>
        <w:rPr>
          <w:rStyle w:val="6"/>
        </w:rPr>
        <w:footnoteRef/>
      </w:r>
      <w:r>
        <w:t xml:space="preserve"> </w:t>
      </w:r>
      <w:r>
        <w:rPr>
          <w:lang w:val="en-US" w:eastAsia="zh-CN"/>
        </w:rPr>
        <w:t>参见崔之元《重庆地票交易的本质是</w:t>
      </w:r>
      <w:r>
        <w:rPr>
          <w:rFonts w:hint="default"/>
          <w:lang w:val="en-US" w:eastAsia="zh-CN"/>
        </w:rPr>
        <w:t xml:space="preserve">“ </w:t>
      </w:r>
      <w:r>
        <w:rPr>
          <w:lang w:val="en-US" w:eastAsia="zh-CN"/>
        </w:rPr>
        <w:t>开发权转移制</w:t>
      </w:r>
      <w:r>
        <w:rPr>
          <w:rFonts w:hint="default"/>
          <w:lang w:val="en-US" w:eastAsia="zh-CN"/>
        </w:rPr>
        <w:t xml:space="preserve">” </w:t>
      </w:r>
      <w:r>
        <w:rPr>
          <w:lang w:val="en-US" w:eastAsia="zh-CN"/>
        </w:rPr>
        <w:t>的创新</w:t>
      </w:r>
      <w:r>
        <w:rPr>
          <w:rFonts w:hint="default"/>
          <w:lang w:val="en-US" w:eastAsia="zh-CN"/>
        </w:rPr>
        <w:t>》</w:t>
      </w:r>
      <w:r>
        <w:rPr>
          <w:rFonts w:hint="eastAsia"/>
          <w:lang w:val="en-US" w:eastAsia="zh-CN"/>
        </w:rPr>
        <w:t>，</w:t>
      </w:r>
      <w:r>
        <w:rPr>
          <w:rFonts w:hint="default"/>
          <w:lang w:val="en-US" w:eastAsia="zh-CN"/>
        </w:rPr>
        <w:t>《</w:t>
      </w:r>
      <w:r>
        <w:rPr>
          <w:lang w:val="en-US" w:eastAsia="zh-CN"/>
        </w:rPr>
        <w:t>重庆时报</w:t>
      </w:r>
      <w:r>
        <w:rPr>
          <w:rFonts w:hint="default"/>
          <w:lang w:val="en-US" w:eastAsia="zh-CN"/>
        </w:rPr>
        <w:t>》</w:t>
      </w:r>
      <w:r>
        <w:rPr>
          <w:rFonts w:hint="eastAsia"/>
          <w:lang w:val="en-US" w:eastAsia="zh-CN"/>
        </w:rPr>
        <w:t>2011</w:t>
      </w:r>
      <w:r>
        <w:rPr>
          <w:lang w:val="en-US" w:eastAsia="zh-CN"/>
        </w:rPr>
        <w:t>年</w:t>
      </w:r>
      <w:r>
        <w:rPr>
          <w:rFonts w:hint="eastAsia"/>
          <w:lang w:val="en-US" w:eastAsia="zh-CN"/>
        </w:rPr>
        <w:t>2</w:t>
      </w:r>
      <w:r>
        <w:rPr>
          <w:lang w:val="en-US" w:eastAsia="zh-CN"/>
        </w:rPr>
        <w:t>月</w:t>
      </w:r>
      <w:r>
        <w:rPr>
          <w:rFonts w:hint="eastAsia"/>
          <w:lang w:val="en-US" w:eastAsia="zh-CN"/>
        </w:rPr>
        <w:t>10</w:t>
      </w:r>
      <w:r>
        <w:rPr>
          <w:lang w:val="en-US" w:eastAsia="zh-CN"/>
        </w:rPr>
        <w:t>日</w:t>
      </w:r>
      <w:r>
        <w:rPr>
          <w:rFonts w:hint="eastAsia"/>
          <w:lang w:val="en-US" w:eastAsia="zh-CN"/>
        </w:rPr>
        <w:t>；</w:t>
      </w:r>
      <w:r>
        <w:rPr>
          <w:lang w:val="en-US" w:eastAsia="zh-CN"/>
        </w:rPr>
        <w:t>张鹏</w:t>
      </w:r>
      <w:r>
        <w:rPr>
          <w:rFonts w:hint="default"/>
          <w:lang w:val="en-US" w:eastAsia="zh-CN"/>
        </w:rPr>
        <w:t>、</w:t>
      </w:r>
      <w:r>
        <w:rPr>
          <w:lang w:val="en-US" w:eastAsia="zh-CN"/>
        </w:rPr>
        <w:t xml:space="preserve">刘春鑫 </w:t>
      </w:r>
      <w:r>
        <w:rPr>
          <w:rFonts w:hint="default"/>
          <w:lang w:val="en-US" w:eastAsia="zh-CN"/>
        </w:rPr>
        <w:t>《</w:t>
      </w:r>
      <w:r>
        <w:rPr>
          <w:lang w:val="en-US" w:eastAsia="zh-CN"/>
        </w:rPr>
        <w:t>基于土地发展权与制度变迁视角的城 乡土地地票文易探索</w:t>
      </w:r>
      <w:r>
        <w:rPr>
          <w:rFonts w:hint="default"/>
          <w:lang w:val="en-US" w:eastAsia="zh-CN"/>
        </w:rPr>
        <w:t>—</w:t>
      </w:r>
      <w:r>
        <w:rPr>
          <w:lang w:val="en-US" w:eastAsia="zh-CN"/>
        </w:rPr>
        <w:t>重庆模式分析</w:t>
      </w:r>
      <w:r>
        <w:rPr>
          <w:rFonts w:hint="default"/>
          <w:lang w:val="en-US" w:eastAsia="zh-CN"/>
        </w:rPr>
        <w:t>》</w:t>
      </w:r>
      <w:r>
        <w:rPr>
          <w:rFonts w:hint="eastAsia"/>
          <w:lang w:val="en-US" w:eastAsia="zh-CN"/>
        </w:rPr>
        <w:t>；</w:t>
      </w:r>
      <w:r>
        <w:rPr>
          <w:rFonts w:hint="default"/>
          <w:lang w:val="en-US" w:eastAsia="zh-CN"/>
        </w:rPr>
        <w:t>《</w:t>
      </w:r>
      <w:r>
        <w:rPr>
          <w:lang w:val="en-US" w:eastAsia="zh-CN"/>
        </w:rPr>
        <w:t>经济体制改革</w:t>
      </w:r>
      <w:r>
        <w:rPr>
          <w:rFonts w:hint="default"/>
          <w:lang w:val="en-US" w:eastAsia="zh-CN"/>
        </w:rPr>
        <w:t>》</w:t>
      </w:r>
      <w:r>
        <w:rPr>
          <w:rFonts w:hint="eastAsia"/>
          <w:lang w:val="en-US" w:eastAsia="zh-CN"/>
        </w:rPr>
        <w:t>2010</w:t>
      </w:r>
      <w:r>
        <w:rPr>
          <w:lang w:val="en-US" w:eastAsia="zh-CN"/>
        </w:rPr>
        <w:t>年第</w:t>
      </w:r>
      <w:r>
        <w:rPr>
          <w:rFonts w:hint="eastAsia"/>
          <w:lang w:val="en-US" w:eastAsia="zh-CN"/>
        </w:rPr>
        <w:t>5</w:t>
      </w:r>
      <w:r>
        <w:rPr>
          <w:lang w:val="en-US" w:eastAsia="zh-CN"/>
        </w:rPr>
        <w:t>期</w:t>
      </w:r>
      <w:r>
        <w:rPr>
          <w:rFonts w:hint="default"/>
          <w:lang w:val="en-US" w:eastAsia="zh-CN"/>
        </w:rPr>
        <w:t>。</w:t>
      </w:r>
    </w:p>
  </w:footnote>
  <w:footnote w:id="1">
    <w:p w14:paraId="32E8264F">
      <w:pPr>
        <w:pStyle w:val="2"/>
        <w:snapToGrid w:val="0"/>
        <w:rPr/>
      </w:pPr>
      <w:r>
        <w:rPr>
          <w:rStyle w:val="6"/>
        </w:rPr>
        <w:footnoteRef/>
      </w:r>
      <w:r>
        <w:t xml:space="preserve"> </w:t>
      </w:r>
      <w:r>
        <w:rPr>
          <w:lang w:val="en-US" w:eastAsia="zh-CN"/>
        </w:rPr>
        <w:t xml:space="preserve">汪晖、陶然 </w:t>
      </w:r>
      <w:r>
        <w:rPr>
          <w:rFonts w:hint="default"/>
          <w:lang w:val="en-US" w:eastAsia="zh-CN"/>
        </w:rPr>
        <w:t>《</w:t>
      </w:r>
      <w:r>
        <w:rPr>
          <w:lang w:val="en-US" w:eastAsia="zh-CN"/>
        </w:rPr>
        <w:t>论土地发展权转移与交易的浙江模式制度起源</w:t>
      </w:r>
      <w:r>
        <w:rPr>
          <w:rFonts w:hint="default"/>
          <w:lang w:val="en-US" w:eastAsia="zh-CN"/>
        </w:rPr>
        <w:t>、</w:t>
      </w:r>
      <w:r>
        <w:rPr>
          <w:lang w:val="en-US" w:eastAsia="zh-CN"/>
        </w:rPr>
        <w:t>操作模式及其重要含义</w:t>
      </w:r>
      <w:r>
        <w:rPr>
          <w:rFonts w:hint="default"/>
          <w:lang w:val="en-US" w:eastAsia="zh-CN"/>
        </w:rPr>
        <w:t>》</w:t>
      </w:r>
      <w:r>
        <w:rPr>
          <w:rFonts w:hint="eastAsia"/>
          <w:lang w:val="en-US" w:eastAsia="zh-CN"/>
        </w:rPr>
        <w:t>，</w:t>
      </w:r>
      <w:r>
        <w:rPr>
          <w:rFonts w:hint="default"/>
          <w:lang w:val="en-US" w:eastAsia="zh-CN"/>
        </w:rPr>
        <w:t>《</w:t>
      </w:r>
      <w:r>
        <w:rPr>
          <w:lang w:val="en-US" w:eastAsia="zh-CN"/>
        </w:rPr>
        <w:t>管理世界</w:t>
      </w:r>
      <w:r>
        <w:rPr>
          <w:rFonts w:hint="default"/>
          <w:lang w:val="en-US" w:eastAsia="zh-CN"/>
        </w:rPr>
        <w:t xml:space="preserve">》 </w:t>
      </w:r>
    </w:p>
    <w:p w14:paraId="1963411E">
      <w:pPr>
        <w:pStyle w:val="2"/>
        <w:snapToGrid w:val="0"/>
      </w:pPr>
      <w:r>
        <w:rPr>
          <w:rFonts w:hint="eastAsia"/>
          <w:lang w:val="en-US" w:eastAsia="zh-CN"/>
        </w:rPr>
        <w:t>2009</w:t>
      </w:r>
      <w:r>
        <w:rPr>
          <w:lang w:val="en-US" w:eastAsia="zh-CN"/>
        </w:rPr>
        <w:t>年第</w:t>
      </w:r>
      <w:r>
        <w:rPr>
          <w:rFonts w:hint="eastAsia"/>
          <w:lang w:val="en-US" w:eastAsia="zh-CN"/>
        </w:rPr>
        <w:t>8</w:t>
      </w:r>
      <w:r>
        <w:rPr>
          <w:lang w:val="en-US" w:eastAsia="zh-CN"/>
        </w:rPr>
        <w:t>期</w:t>
      </w:r>
      <w:r>
        <w:rPr>
          <w:rFonts w:hint="default"/>
          <w:lang w:val="en-US" w:eastAsia="zh-CN"/>
        </w:rPr>
        <w:t>。</w:t>
      </w:r>
    </w:p>
  </w:footnote>
  <w:footnote w:id="2">
    <w:p w14:paraId="5A2A1D9F">
      <w:pPr>
        <w:pStyle w:val="2"/>
        <w:snapToGrid w:val="0"/>
        <w:rPr/>
      </w:pPr>
      <w:r>
        <w:rPr>
          <w:rStyle w:val="6"/>
        </w:rPr>
        <w:footnoteRef/>
      </w:r>
      <w:r>
        <w:t xml:space="preserve"> </w:t>
      </w:r>
      <w:r>
        <w:rPr>
          <w:lang w:val="en-US" w:eastAsia="zh-CN"/>
        </w:rPr>
        <w:t>按照现行法</w:t>
      </w:r>
      <w:r>
        <w:rPr>
          <w:rFonts w:hint="eastAsia"/>
          <w:lang w:val="en-US" w:eastAsia="zh-CN"/>
        </w:rPr>
        <w:t>，</w:t>
      </w:r>
      <w:r>
        <w:rPr>
          <w:lang w:val="en-US" w:eastAsia="zh-CN"/>
        </w:rPr>
        <w:t>政府一方面在征收农村土地的过程中按照</w:t>
      </w:r>
      <w:r>
        <w:rPr>
          <w:rFonts w:hint="default"/>
          <w:lang w:val="en-US" w:eastAsia="zh-CN"/>
        </w:rPr>
        <w:t>《</w:t>
      </w:r>
      <w:r>
        <w:rPr>
          <w:lang w:val="en-US" w:eastAsia="zh-CN"/>
        </w:rPr>
        <w:t>土地管理法</w:t>
      </w:r>
      <w:r>
        <w:rPr>
          <w:rFonts w:hint="default"/>
          <w:lang w:val="en-US" w:eastAsia="zh-CN"/>
        </w:rPr>
        <w:t>》</w:t>
      </w:r>
      <w:r>
        <w:rPr>
          <w:lang w:val="en-US" w:eastAsia="zh-CN"/>
        </w:rPr>
        <w:t>的固定标准对农民进行补偿</w:t>
      </w:r>
      <w:r>
        <w:rPr>
          <w:rFonts w:hint="eastAsia"/>
          <w:lang w:val="en-US" w:eastAsia="zh-CN"/>
        </w:rPr>
        <w:t>；</w:t>
      </w:r>
      <w:r>
        <w:rPr>
          <w:lang w:val="en-US" w:eastAsia="zh-CN"/>
        </w:rPr>
        <w:t>另一方面</w:t>
      </w:r>
      <w:r>
        <w:rPr>
          <w:rFonts w:hint="eastAsia"/>
          <w:lang w:val="en-US" w:eastAsia="zh-CN"/>
        </w:rPr>
        <w:t>，</w:t>
      </w:r>
      <w:r>
        <w:rPr>
          <w:lang w:val="en-US" w:eastAsia="zh-CN"/>
        </w:rPr>
        <w:t>政府又将</w:t>
      </w:r>
      <w:r>
        <w:rPr>
          <w:rFonts w:hint="eastAsia"/>
          <w:lang w:val="en-US" w:eastAsia="zh-CN"/>
        </w:rPr>
        <w:t>（</w:t>
      </w:r>
      <w:r>
        <w:rPr>
          <w:lang w:val="en-US" w:eastAsia="zh-CN"/>
        </w:rPr>
        <w:t>经征收来的</w:t>
      </w:r>
      <w:r>
        <w:rPr>
          <w:rFonts w:hint="eastAsia"/>
          <w:lang w:val="en-US" w:eastAsia="zh-CN"/>
        </w:rPr>
        <w:t>）</w:t>
      </w:r>
      <w:r>
        <w:rPr>
          <w:lang w:val="en-US" w:eastAsia="zh-CN"/>
        </w:rPr>
        <w:t>城市土地使用权按照市场价格通过招标</w:t>
      </w:r>
      <w:r>
        <w:rPr>
          <w:rFonts w:hint="default"/>
          <w:lang w:val="en-US" w:eastAsia="zh-CN"/>
        </w:rPr>
        <w:t>、</w:t>
      </w:r>
      <w:r>
        <w:rPr>
          <w:lang w:val="en-US" w:eastAsia="zh-CN"/>
        </w:rPr>
        <w:t>拍 卖</w:t>
      </w:r>
      <w:r>
        <w:rPr>
          <w:rFonts w:hint="default"/>
          <w:lang w:val="en-US" w:eastAsia="zh-CN"/>
        </w:rPr>
        <w:t>、</w:t>
      </w:r>
      <w:r>
        <w:rPr>
          <w:lang w:val="en-US" w:eastAsia="zh-CN"/>
        </w:rPr>
        <w:t>挂牌的方式进行出让</w:t>
      </w:r>
      <w:r>
        <w:rPr>
          <w:rFonts w:hint="eastAsia"/>
          <w:lang w:val="en-US" w:eastAsia="zh-CN"/>
        </w:rPr>
        <w:t>，</w:t>
      </w:r>
      <w:r>
        <w:rPr>
          <w:rFonts w:hint="default"/>
          <w:lang w:val="en-US" w:eastAsia="zh-CN"/>
        </w:rPr>
        <w:t></w:t>
      </w:r>
      <w:r>
        <w:rPr>
          <w:lang w:val="en-US" w:eastAsia="zh-CN"/>
        </w:rPr>
        <w:t>在此政府实际上获得了发展权移转的最大利益</w:t>
      </w:r>
      <w:r>
        <w:rPr>
          <w:rFonts w:hint="default"/>
          <w:lang w:val="en-US" w:eastAsia="zh-CN"/>
        </w:rPr>
        <w:t>。</w:t>
      </w:r>
      <w:r>
        <w:rPr>
          <w:lang w:val="en-US" w:eastAsia="zh-CN"/>
        </w:rPr>
        <w:t>所以在我国</w:t>
      </w:r>
      <w:r>
        <w:rPr>
          <w:rFonts w:hint="eastAsia"/>
          <w:lang w:val="en-US" w:eastAsia="zh-CN"/>
        </w:rPr>
        <w:t>，</w:t>
      </w:r>
      <w:r>
        <w:rPr>
          <w:lang w:val="en-US" w:eastAsia="zh-CN"/>
        </w:rPr>
        <w:t>土地的发展权实际上是归属于国家的</w:t>
      </w:r>
      <w:r>
        <w:rPr>
          <w:rFonts w:hint="default"/>
          <w:lang w:val="en-US" w:eastAsia="zh-CN"/>
        </w:rPr>
        <w:t>。</w:t>
      </w:r>
      <w:r>
        <w:rPr>
          <w:lang w:val="en-US" w:eastAsia="zh-CN"/>
        </w:rPr>
        <w:t>参见陈柏峰</w:t>
      </w:r>
      <w:r>
        <w:rPr>
          <w:rFonts w:hint="default"/>
          <w:lang w:val="en-US" w:eastAsia="zh-CN"/>
        </w:rPr>
        <w:t>《</w:t>
      </w:r>
      <w:r>
        <w:rPr>
          <w:lang w:val="en-US" w:eastAsia="zh-CN"/>
        </w:rPr>
        <w:t>土地发展权的理论基础与制度前景</w:t>
      </w:r>
      <w:r>
        <w:rPr>
          <w:rFonts w:hint="default"/>
          <w:lang w:val="en-US" w:eastAsia="zh-CN"/>
        </w:rPr>
        <w:t>》</w:t>
      </w:r>
      <w:r>
        <w:rPr>
          <w:rFonts w:hint="eastAsia"/>
          <w:lang w:val="en-US" w:eastAsia="zh-CN"/>
        </w:rPr>
        <w:t>，</w:t>
      </w:r>
      <w:r>
        <w:rPr>
          <w:rFonts w:hint="default"/>
          <w:lang w:val="en-US" w:eastAsia="zh-CN"/>
        </w:rPr>
        <w:t>《</w:t>
      </w:r>
      <w:r>
        <w:rPr>
          <w:lang w:val="en-US" w:eastAsia="zh-CN"/>
        </w:rPr>
        <w:t>法学研究</w:t>
      </w:r>
      <w:r>
        <w:rPr>
          <w:rFonts w:hint="default"/>
          <w:lang w:val="en-US" w:eastAsia="zh-CN"/>
        </w:rPr>
        <w:t>》</w:t>
      </w:r>
      <w:r>
        <w:rPr>
          <w:rFonts w:hint="eastAsia"/>
          <w:lang w:val="en-US" w:eastAsia="zh-CN"/>
        </w:rPr>
        <w:t>2012</w:t>
      </w:r>
      <w:r>
        <w:rPr>
          <w:lang w:val="en-US" w:eastAsia="zh-CN"/>
        </w:rPr>
        <w:t>年第</w:t>
      </w:r>
      <w:r>
        <w:rPr>
          <w:rFonts w:hint="eastAsia"/>
          <w:lang w:val="en-US" w:eastAsia="zh-CN"/>
        </w:rPr>
        <w:t>4</w:t>
      </w:r>
      <w:r>
        <w:rPr>
          <w:lang w:val="en-US" w:eastAsia="zh-CN"/>
        </w:rPr>
        <w:t>期</w:t>
      </w:r>
      <w:r>
        <w:rPr>
          <w:rFonts w:hint="default"/>
          <w:lang w:val="en-US" w:eastAsia="zh-CN"/>
        </w:rPr>
        <w:t>。</w:t>
      </w:r>
    </w:p>
    <w:p w14:paraId="64A1D287">
      <w:pPr>
        <w:pStyle w:val="2"/>
        <w:snapToGrid w:val="0"/>
      </w:pPr>
    </w:p>
  </w:footnote>
  <w:footnote w:id="3">
    <w:p w14:paraId="5C8B79CA">
      <w:pPr>
        <w:pStyle w:val="2"/>
        <w:snapToGrid w:val="0"/>
        <w:rPr>
          <w:rFonts w:hint="default" w:eastAsiaTheme="minorEastAsia"/>
          <w:lang w:val="en-US" w:eastAsia="zh-CN"/>
        </w:rPr>
      </w:pPr>
      <w:r>
        <w:rPr>
          <w:rStyle w:val="6"/>
        </w:rPr>
        <w:footnoteRef/>
      </w:r>
      <w:r>
        <w:t xml:space="preserve"> </w:t>
      </w:r>
      <w:r>
        <w:rPr>
          <w:rFonts w:hint="eastAsia"/>
          <w:lang w:val="en-US" w:eastAsia="zh-CN"/>
        </w:rPr>
        <w:t>参见黄忠：《地票交易的地役权属性论》，《法学》2013年第6期。</w:t>
      </w:r>
    </w:p>
  </w:footnote>
  <w:footnote w:id="4">
    <w:p w14:paraId="681D8FC0">
      <w:pPr>
        <w:pStyle w:val="2"/>
        <w:snapToGrid w:val="0"/>
        <w:rPr>
          <w:rFonts w:hint="default"/>
          <w:lang w:val="en-US"/>
        </w:rPr>
      </w:pPr>
      <w:r>
        <w:rPr>
          <w:rStyle w:val="6"/>
        </w:rPr>
        <w:footnoteRef/>
      </w:r>
      <w:r>
        <w:t xml:space="preserve"> </w:t>
      </w:r>
      <w:r>
        <w:rPr>
          <w:lang w:val="en-US" w:eastAsia="zh-CN"/>
        </w:rPr>
        <w:t>参见崔建远</w:t>
      </w:r>
      <w:r>
        <w:rPr>
          <w:rFonts w:hint="eastAsia"/>
          <w:lang w:val="en-US" w:eastAsia="zh-CN"/>
        </w:rPr>
        <w:t>：</w:t>
      </w:r>
      <w:r>
        <w:rPr>
          <w:lang w:val="en-US" w:eastAsia="zh-CN"/>
        </w:rPr>
        <w:t>《物权法</w:t>
      </w:r>
      <w:r>
        <w:rPr>
          <w:rFonts w:hint="default"/>
          <w:lang w:val="en-US" w:eastAsia="zh-CN"/>
        </w:rPr>
        <w:t>》</w:t>
      </w:r>
      <w:r>
        <w:rPr>
          <w:lang w:val="en-US" w:eastAsia="zh-CN"/>
        </w:rPr>
        <w:t>中国人民大学出版社</w:t>
      </w:r>
      <w:r>
        <w:rPr>
          <w:rFonts w:hint="eastAsia"/>
          <w:lang w:val="en-US" w:eastAsia="zh-CN"/>
        </w:rPr>
        <w:t>2009</w:t>
      </w:r>
      <w:r>
        <w:rPr>
          <w:lang w:val="en-US" w:eastAsia="zh-CN"/>
        </w:rPr>
        <w:t>年版</w:t>
      </w:r>
      <w:r>
        <w:rPr>
          <w:rFonts w:hint="eastAsia"/>
          <w:lang w:val="en-US" w:eastAsia="zh-CN"/>
        </w:rPr>
        <w:t>，</w:t>
      </w:r>
      <w:r>
        <w:rPr>
          <w:lang w:val="en-US" w:eastAsia="zh-CN"/>
        </w:rPr>
        <w:t>第</w:t>
      </w:r>
      <w:r>
        <w:rPr>
          <w:rFonts w:hint="eastAsia"/>
          <w:lang w:val="en-US" w:eastAsia="zh-CN"/>
        </w:rPr>
        <w:t>364</w:t>
      </w:r>
      <w:r>
        <w:rPr>
          <w:lang w:val="en-US" w:eastAsia="zh-CN"/>
        </w:rPr>
        <w:t>页</w:t>
      </w:r>
      <w:r>
        <w:rPr>
          <w:rFonts w:hint="eastAsia"/>
          <w:lang w:val="en-US" w:eastAsia="zh-CN"/>
        </w:rPr>
        <w:t>；</w:t>
      </w:r>
      <w:r>
        <w:rPr>
          <w:lang w:val="en-US" w:eastAsia="zh-CN"/>
        </w:rPr>
        <w:t>孙宪忠</w:t>
      </w:r>
      <w:r>
        <w:rPr>
          <w:rFonts w:hint="eastAsia"/>
          <w:lang w:val="en-US" w:eastAsia="zh-CN"/>
        </w:rPr>
        <w:t>：《</w:t>
      </w:r>
      <w:r>
        <w:rPr>
          <w:lang w:val="en-US" w:eastAsia="zh-CN"/>
        </w:rPr>
        <w:t>中国物权法原理</w:t>
      </w:r>
      <w:r>
        <w:rPr>
          <w:rFonts w:hint="default"/>
          <w:lang w:val="en-US" w:eastAsia="zh-CN"/>
        </w:rPr>
        <w:t>》</w:t>
      </w:r>
      <w:r>
        <w:rPr>
          <w:rFonts w:hint="eastAsia"/>
          <w:lang w:val="en-US" w:eastAsia="zh-CN"/>
        </w:rPr>
        <w:t>，</w:t>
      </w:r>
      <w:r>
        <w:rPr>
          <w:lang w:val="en-US" w:eastAsia="zh-CN"/>
        </w:rPr>
        <w:t>法律出版社</w:t>
      </w:r>
      <w:r>
        <w:rPr>
          <w:rFonts w:hint="eastAsia"/>
          <w:lang w:val="en-US" w:eastAsia="zh-CN"/>
        </w:rPr>
        <w:t>2004</w:t>
      </w:r>
      <w:r>
        <w:rPr>
          <w:lang w:val="en-US" w:eastAsia="zh-CN"/>
        </w:rPr>
        <w:t>年版</w:t>
      </w:r>
      <w:r>
        <w:rPr>
          <w:rFonts w:hint="eastAsia"/>
          <w:lang w:val="en-US" w:eastAsia="zh-CN"/>
        </w:rPr>
        <w:t>，</w:t>
      </w:r>
      <w:r>
        <w:rPr>
          <w:lang w:val="en-US" w:eastAsia="zh-CN"/>
        </w:rPr>
        <w:t xml:space="preserve">第 </w:t>
      </w:r>
      <w:r>
        <w:rPr>
          <w:rFonts w:hint="eastAsia"/>
          <w:lang w:val="en-US" w:eastAsia="zh-CN"/>
        </w:rPr>
        <w:t>11</w:t>
      </w:r>
      <w:r>
        <w:rPr>
          <w:lang w:val="en-US" w:eastAsia="zh-CN"/>
        </w:rPr>
        <w:t>页</w:t>
      </w:r>
      <w:r>
        <w:rPr>
          <w:rFonts w:hint="eastAsia"/>
          <w:lang w:val="en-US" w:eastAsia="zh-CN"/>
        </w:rPr>
        <w:t>；</w:t>
      </w:r>
      <w:r>
        <w:rPr>
          <w:lang w:val="en-US" w:eastAsia="zh-CN"/>
        </w:rPr>
        <w:t>高富平</w:t>
      </w:r>
      <w:r>
        <w:rPr>
          <w:rFonts w:hint="eastAsia"/>
          <w:lang w:val="en-US" w:eastAsia="zh-CN"/>
        </w:rPr>
        <w:t>：</w:t>
      </w:r>
      <w:r>
        <w:rPr>
          <w:rFonts w:hint="default"/>
          <w:lang w:val="en-US" w:eastAsia="zh-CN"/>
        </w:rPr>
        <w:t>《</w:t>
      </w:r>
      <w:r>
        <w:rPr>
          <w:lang w:val="en-US" w:eastAsia="zh-CN"/>
        </w:rPr>
        <w:t>物权法原论</w:t>
      </w:r>
      <w:r>
        <w:rPr>
          <w:rFonts w:hint="default"/>
          <w:lang w:val="en-US" w:eastAsia="zh-CN"/>
        </w:rPr>
        <w:t>》</w:t>
      </w:r>
      <w:r>
        <w:rPr>
          <w:rFonts w:hint="eastAsia"/>
          <w:lang w:val="en-US" w:eastAsia="zh-CN"/>
        </w:rPr>
        <w:t>，</w:t>
      </w:r>
      <w:r>
        <w:rPr>
          <w:lang w:val="en-US" w:eastAsia="zh-CN"/>
        </w:rPr>
        <w:t>中国法制出版社</w:t>
      </w:r>
      <w:r>
        <w:rPr>
          <w:rFonts w:hint="eastAsia"/>
          <w:lang w:val="en-US" w:eastAsia="zh-CN"/>
        </w:rPr>
        <w:t>2001</w:t>
      </w:r>
      <w:r>
        <w:rPr>
          <w:lang w:val="en-US" w:eastAsia="zh-CN"/>
        </w:rPr>
        <w:t>年版</w:t>
      </w:r>
      <w:r>
        <w:rPr>
          <w:rFonts w:hint="eastAsia"/>
          <w:lang w:val="en-US" w:eastAsia="zh-CN"/>
        </w:rPr>
        <w:t>，</w:t>
      </w:r>
      <w:r>
        <w:rPr>
          <w:lang w:val="en-US" w:eastAsia="zh-CN"/>
        </w:rPr>
        <w:t>第</w:t>
      </w:r>
      <w:r>
        <w:rPr>
          <w:rFonts w:hint="eastAsia"/>
          <w:lang w:val="en-US" w:eastAsia="zh-CN"/>
        </w:rPr>
        <w:t>330-331</w:t>
      </w:r>
      <w:r>
        <w:rPr>
          <w:lang w:val="en-US" w:eastAsia="zh-CN"/>
        </w:rPr>
        <w:t>页</w:t>
      </w:r>
      <w:r>
        <w:rPr>
          <w:rFonts w:hint="eastAsia"/>
          <w:lang w:val="en-US" w:eastAsia="zh-CN"/>
        </w:rPr>
        <w:t>.</w:t>
      </w:r>
    </w:p>
    <w:p w14:paraId="6464CBD6">
      <w:pPr>
        <w:pStyle w:val="2"/>
        <w:snapToGrid w:val="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DF5586"/>
    <w:multiLevelType w:val="singleLevel"/>
    <w:tmpl w:val="B1DF5586"/>
    <w:lvl w:ilvl="0" w:tentative="0">
      <w:start w:val="1"/>
      <w:numFmt w:val="decimal"/>
      <w:suff w:val="nothing"/>
      <w:lvlText w:val="（%1）"/>
      <w:lvlJc w:val="left"/>
    </w:lvl>
  </w:abstractNum>
  <w:abstractNum w:abstractNumId="1">
    <w:nsid w:val="3BBF1734"/>
    <w:multiLevelType w:val="singleLevel"/>
    <w:tmpl w:val="3BBF1734"/>
    <w:lvl w:ilvl="0" w:tentative="0">
      <w:start w:val="1"/>
      <w:numFmt w:val="decimal"/>
      <w:suff w:val="nothing"/>
      <w:lvlText w:val="%1、"/>
      <w:lvlJc w:val="left"/>
    </w:lvl>
  </w:abstractNum>
  <w:abstractNum w:abstractNumId="2">
    <w:nsid w:val="3E8BC156"/>
    <w:multiLevelType w:val="singleLevel"/>
    <w:tmpl w:val="3E8BC156"/>
    <w:lvl w:ilvl="0" w:tentative="0">
      <w:start w:val="1"/>
      <w:numFmt w:val="decimal"/>
      <w:suff w:val="nothing"/>
      <w:lvlText w:val="（%1）"/>
      <w:lvlJc w:val="left"/>
    </w:lvl>
  </w:abstractNum>
  <w:abstractNum w:abstractNumId="3">
    <w:nsid w:val="6FB7539E"/>
    <w:multiLevelType w:val="singleLevel"/>
    <w:tmpl w:val="6FB7539E"/>
    <w:lvl w:ilvl="0" w:tentative="0">
      <w:start w:val="1"/>
      <w:numFmt w:val="decimal"/>
      <w:suff w:val="nothing"/>
      <w:lvlText w:val="%1、"/>
      <w:lvlJc w:val="left"/>
    </w:lvl>
  </w:abstractNum>
  <w:abstractNum w:abstractNumId="4">
    <w:nsid w:val="7DA51520"/>
    <w:multiLevelType w:val="singleLevel"/>
    <w:tmpl w:val="7DA51520"/>
    <w:lvl w:ilvl="0" w:tentative="0">
      <w:start w:val="1"/>
      <w:numFmt w:val="chineseCounting"/>
      <w:suff w:val="nothing"/>
      <w:lvlText w:val="%1、"/>
      <w:lvlJc w:val="left"/>
      <w:rPr>
        <w:rFonts w:hint="eastAsia"/>
      </w:rPr>
    </w:lvl>
  </w:abstractNum>
  <w:abstractNum w:abstractNumId="5">
    <w:nsid w:val="7F3B717C"/>
    <w:multiLevelType w:val="singleLevel"/>
    <w:tmpl w:val="7F3B717C"/>
    <w:lvl w:ilvl="0" w:tentative="0">
      <w:start w:val="1"/>
      <w:numFmt w:val="decimal"/>
      <w:suff w:val="nothing"/>
      <w:lvlText w:val="（%1）"/>
      <w:lvlJc w:val="left"/>
    </w:lvl>
  </w:abstractNum>
  <w:num w:numId="1">
    <w:abstractNumId w:val="4"/>
  </w:num>
  <w:num w:numId="2">
    <w:abstractNumId w:val="1"/>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0"/>
    <w:footnote w:id="11"/>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D39AE8"/>
    <w:rsid w:val="536798C7"/>
    <w:rsid w:val="7BD39AE8"/>
    <w:rsid w:val="7BD9E254"/>
    <w:rsid w:val="7FBEAF0C"/>
    <w:rsid w:val="7FBECEF8"/>
    <w:rsid w:val="9EE3A372"/>
    <w:rsid w:val="9FF4A594"/>
    <w:rsid w:val="DF7DE90B"/>
    <w:rsid w:val="FFF39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Hyperlink"/>
    <w:basedOn w:val="4"/>
    <w:uiPriority w:val="0"/>
    <w:rPr>
      <w:color w:val="0000FF"/>
      <w:u w:val="single"/>
    </w:rPr>
  </w:style>
  <w:style w:type="character" w:styleId="6">
    <w:name w:val="footnote reference"/>
    <w:basedOn w:val="4"/>
    <w:uiPriority w:val="0"/>
    <w:rPr>
      <w:vertAlign w:val="superscript"/>
    </w:rPr>
  </w:style>
  <w:style w:type="paragraph" w:customStyle="1" w:styleId="7">
    <w:name w:val="样式1"/>
    <w:basedOn w:val="1"/>
    <w:next w:val="1"/>
    <w:uiPriority w:val="0"/>
    <w:pPr>
      <w:keepNext/>
      <w:keepLines/>
      <w:spacing w:before="340" w:beforeLines="0" w:after="330" w:afterLines="0" w:line="576" w:lineRule="auto"/>
      <w:jc w:val="center"/>
      <w:outlineLvl w:val="0"/>
    </w:pPr>
    <w:rPr>
      <w:rFonts w:hint="default" w:asciiTheme="minorAscii" w:hAnsiTheme="minorAscii"/>
      <w:b/>
      <w:kern w:val="44"/>
      <w:sz w:val="44"/>
    </w:rPr>
  </w:style>
  <w:style w:type="paragraph" w:customStyle="1" w:styleId="8">
    <w:name w:val="样式2"/>
    <w:basedOn w:val="1"/>
    <w:uiPriority w:val="0"/>
    <w:pPr>
      <w:jc w:val="center"/>
    </w:pPr>
    <w:rPr>
      <w:rFonts w:hint="default" w:ascii="Times New Roman" w:hAnsi="Times New Roman" w:eastAsia="黑体" w:cs="黑体"/>
      <w:b/>
      <w:bCs/>
      <w:sz w:val="36"/>
      <w:szCs w:val="36"/>
    </w:rPr>
  </w:style>
  <w:style w:type="paragraph" w:customStyle="1" w:styleId="9">
    <w:name w:val="样式3"/>
    <w:basedOn w:val="1"/>
    <w:next w:val="1"/>
    <w:uiPriority w:val="0"/>
    <w:pPr>
      <w:keepNext/>
      <w:keepLines/>
      <w:spacing w:before="340" w:beforeLines="0" w:after="330" w:afterLines="0" w:line="576" w:lineRule="auto"/>
      <w:jc w:val="center"/>
      <w:outlineLvl w:val="0"/>
    </w:pPr>
    <w:rPr>
      <w:rFonts w:hint="eastAsia" w:ascii="Times New Roman" w:hAnsi="Times New Roman" w:eastAsia="仿宋"/>
      <w:b/>
      <w:kern w:val="44"/>
      <w:sz w:val="30"/>
    </w:rPr>
  </w:style>
  <w:style w:type="paragraph" w:customStyle="1" w:styleId="10">
    <w:name w:val="样式4"/>
    <w:basedOn w:val="1"/>
    <w:next w:val="1"/>
    <w:uiPriority w:val="0"/>
    <w:pPr>
      <w:keepNext/>
      <w:keepLines/>
      <w:spacing w:before="260" w:beforeLines="0" w:after="260" w:afterLines="0" w:line="413" w:lineRule="auto"/>
      <w:ind w:firstLine="641" w:firstLineChars="200"/>
      <w:jc w:val="center"/>
      <w:outlineLvl w:val="1"/>
    </w:pPr>
    <w:rPr>
      <w:rFonts w:hint="eastAsia" w:ascii="Arial" w:hAnsi="Arial" w:eastAsia="黑体"/>
      <w:b/>
      <w:sz w:val="24"/>
    </w:rPr>
  </w:style>
  <w:style w:type="paragraph" w:customStyle="1" w:styleId="11">
    <w:name w:val="样式5"/>
    <w:basedOn w:val="1"/>
    <w:next w:val="1"/>
    <w:uiPriority w:val="0"/>
    <w:pPr>
      <w:spacing w:beforeAutospacing="1" w:afterAutospacing="1"/>
      <w:ind w:firstLine="541" w:firstLineChars="200"/>
      <w:jc w:val="left"/>
      <w:outlineLvl w:val="2"/>
    </w:pPr>
    <w:rPr>
      <w:rFonts w:hint="eastAsia" w:ascii="宋体" w:hAnsi="宋体" w:eastAsia="楷体" w:cs="宋体"/>
      <w:b/>
      <w:bCs/>
      <w:kern w:val="0"/>
      <w:sz w:val="24"/>
      <w:szCs w:val="27"/>
      <w:lang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830</TotalTime>
  <ScaleCrop>false</ScaleCrop>
  <LinksUpToDate>false</LinksUpToDate>
  <CharactersWithSpaces>0</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2025-12-02T22:56:00Z</dcterms:created>
  <dc:creator>岳青旺</dc:creator>
  <cp:lastModifiedBy>岳青旺</cp:lastModifiedBy>
  <dcterms:modified xsi:type="dcterms:W3CDTF">2025-12-08T09:55:54Z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1E774B496A6A485E28FE2E699915180F_41</vt:lpwstr>
  </property>
</Properties>
</file>