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2CA75">
      <w:pPr>
        <w:keepNext w:val="0"/>
        <w:keepLines w:val="0"/>
        <w:widowControl/>
        <w:suppressLineNumbers w:val="0"/>
        <w:jc w:val="left"/>
      </w:pPr>
      <w:r>
        <w:rPr>
          <w:rFonts w:ascii="微软雅黑" w:hAnsi="微软雅黑" w:eastAsia="微软雅黑" w:cs="微软雅黑"/>
          <w:i w:val="0"/>
          <w:iCs w:val="0"/>
          <w:caps w:val="0"/>
          <w:color w:val="333333"/>
          <w:spacing w:val="0"/>
          <w:kern w:val="0"/>
          <w:sz w:val="30"/>
          <w:szCs w:val="30"/>
          <w:u w:val="none"/>
          <w:bdr w:val="none" w:color="auto" w:sz="0" w:space="0"/>
          <w:shd w:val="clear" w:fill="F2F2F2"/>
          <w:lang w:val="en-US" w:eastAsia="zh-CN" w:bidi="ar"/>
        </w:rPr>
        <w:drawing>
          <wp:inline distT="0" distB="0" distL="114300" distR="114300">
            <wp:extent cx="304800" cy="304800"/>
            <wp:effectExtent l="0" t="0" r="0"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B91F9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微软雅黑" w:hAnsi="微软雅黑" w:eastAsia="微软雅黑" w:cs="微软雅黑"/>
          <w:i w:val="0"/>
          <w:iCs w:val="0"/>
          <w:caps w:val="0"/>
          <w:color w:val="000000"/>
          <w:spacing w:val="0"/>
          <w:sz w:val="0"/>
          <w:szCs w:val="0"/>
          <w:u w:val="none"/>
        </w:rPr>
      </w:pPr>
      <w:r>
        <w:rPr>
          <w:rFonts w:hint="default" w:ascii="微软雅黑" w:hAnsi="微软雅黑" w:eastAsia="微软雅黑" w:cs="微软雅黑"/>
          <w:i w:val="0"/>
          <w:iCs w:val="0"/>
          <w:caps w:val="0"/>
          <w:color w:val="0F54A1"/>
          <w:spacing w:val="0"/>
          <w:kern w:val="0"/>
          <w:sz w:val="0"/>
          <w:szCs w:val="0"/>
          <w:u w:val="none"/>
          <w:bdr w:val="none" w:color="auto" w:sz="0" w:space="0"/>
          <w:lang w:val="en-US" w:eastAsia="zh-CN" w:bidi="ar"/>
        </w:rPr>
        <w:t>登录</w:t>
      </w:r>
      <w:r>
        <w:rPr>
          <w:rFonts w:hint="default" w:ascii="微软雅黑" w:hAnsi="微软雅黑" w:eastAsia="微软雅黑" w:cs="微软雅黑"/>
          <w:i w:val="0"/>
          <w:iCs w:val="0"/>
          <w:caps w:val="0"/>
          <w:color w:val="000000"/>
          <w:spacing w:val="0"/>
          <w:kern w:val="0"/>
          <w:sz w:val="0"/>
          <w:szCs w:val="0"/>
          <w:u w:val="none"/>
          <w:bdr w:val="none" w:color="auto" w:sz="0" w:space="0"/>
          <w:lang w:val="en-US" w:eastAsia="zh-CN" w:bidi="ar"/>
        </w:rPr>
        <w:t>  </w:t>
      </w:r>
      <w:r>
        <w:rPr>
          <w:rFonts w:hint="default" w:ascii="微软雅黑" w:hAnsi="微软雅黑" w:eastAsia="微软雅黑" w:cs="微软雅黑"/>
          <w:i w:val="0"/>
          <w:iCs w:val="0"/>
          <w:caps w:val="0"/>
          <w:color w:val="0F54A1"/>
          <w:spacing w:val="0"/>
          <w:kern w:val="0"/>
          <w:sz w:val="0"/>
          <w:szCs w:val="0"/>
          <w:u w:val="none"/>
          <w:bdr w:val="none" w:color="auto" w:sz="0" w:space="0"/>
          <w:lang w:val="en-US" w:eastAsia="zh-CN" w:bidi="ar"/>
        </w:rPr>
        <w:t>注册</w:t>
      </w:r>
    </w:p>
    <w:p w14:paraId="5C333B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微软雅黑" w:hAnsi="微软雅黑" w:eastAsia="微软雅黑" w:cs="微软雅黑"/>
          <w:i w:val="0"/>
          <w:iCs w:val="0"/>
          <w:caps w:val="0"/>
          <w:color w:val="000000"/>
          <w:spacing w:val="0"/>
          <w:sz w:val="0"/>
          <w:szCs w:val="0"/>
          <w:u w:val="none"/>
        </w:rPr>
      </w:pPr>
      <w:r>
        <w:rPr>
          <w:rFonts w:hint="default" w:ascii="微软雅黑" w:hAnsi="微软雅黑" w:eastAsia="微软雅黑" w:cs="微软雅黑"/>
          <w:i w:val="0"/>
          <w:iCs w:val="0"/>
          <w:caps w:val="0"/>
          <w:color w:val="0F54A1"/>
          <w:spacing w:val="0"/>
          <w:kern w:val="0"/>
          <w:sz w:val="0"/>
          <w:szCs w:val="0"/>
          <w:u w:val="none"/>
          <w:bdr w:val="none" w:color="auto" w:sz="0" w:space="0"/>
          <w:lang w:val="en-US" w:eastAsia="zh-CN" w:bidi="ar"/>
        </w:rPr>
        <w:t>繁體版</w:t>
      </w:r>
      <w:r>
        <w:rPr>
          <w:rFonts w:hint="default" w:ascii="微软雅黑" w:hAnsi="微软雅黑" w:eastAsia="微软雅黑" w:cs="微软雅黑"/>
          <w:i w:val="0"/>
          <w:iCs w:val="0"/>
          <w:caps w:val="0"/>
          <w:color w:val="000000"/>
          <w:spacing w:val="0"/>
          <w:kern w:val="0"/>
          <w:sz w:val="0"/>
          <w:szCs w:val="0"/>
          <w:u w:val="none"/>
          <w:bdr w:val="none" w:color="auto" w:sz="0" w:space="0"/>
          <w:lang w:val="en-US" w:eastAsia="zh-CN" w:bidi="ar"/>
        </w:rPr>
        <w:t>  </w:t>
      </w:r>
      <w:r>
        <w:rPr>
          <w:rFonts w:hint="default" w:ascii="微软雅黑" w:hAnsi="微软雅黑" w:eastAsia="微软雅黑" w:cs="微软雅黑"/>
          <w:i w:val="0"/>
          <w:iCs w:val="0"/>
          <w:caps w:val="0"/>
          <w:color w:val="0F54A1"/>
          <w:spacing w:val="0"/>
          <w:kern w:val="0"/>
          <w:sz w:val="0"/>
          <w:szCs w:val="0"/>
          <w:u w:val="none"/>
          <w:bdr w:val="none" w:color="auto" w:sz="0" w:space="0"/>
          <w:lang w:val="en-US" w:eastAsia="zh-CN" w:bidi="ar"/>
        </w:rPr>
        <w:fldChar w:fldCharType="begin"/>
      </w:r>
      <w:r>
        <w:rPr>
          <w:rFonts w:hint="default" w:ascii="微软雅黑" w:hAnsi="微软雅黑" w:eastAsia="微软雅黑" w:cs="微软雅黑"/>
          <w:i w:val="0"/>
          <w:iCs w:val="0"/>
          <w:caps w:val="0"/>
          <w:color w:val="0F54A1"/>
          <w:spacing w:val="0"/>
          <w:kern w:val="0"/>
          <w:sz w:val="0"/>
          <w:szCs w:val="0"/>
          <w:u w:val="none"/>
          <w:bdr w:val="none" w:color="auto" w:sz="0" w:space="0"/>
          <w:lang w:val="en-US" w:eastAsia="zh-CN" w:bidi="ar"/>
        </w:rPr>
        <w:instrText xml:space="preserve"> HYPERLINK "https://webvpn.hainanu.edu.cn/https/32393332413339303239333421416369a8df145440b0251e4b3a106783/ggbf_search/AImhww/" \t "/Users/macbook/Documents\\x/_blank" </w:instrText>
      </w:r>
      <w:r>
        <w:rPr>
          <w:rFonts w:hint="default" w:ascii="微软雅黑" w:hAnsi="微软雅黑" w:eastAsia="微软雅黑" w:cs="微软雅黑"/>
          <w:i w:val="0"/>
          <w:iCs w:val="0"/>
          <w:caps w:val="0"/>
          <w:color w:val="0F54A1"/>
          <w:spacing w:val="0"/>
          <w:kern w:val="0"/>
          <w:sz w:val="0"/>
          <w:szCs w:val="0"/>
          <w:u w:val="none"/>
          <w:bdr w:val="none" w:color="auto" w:sz="0" w:space="0"/>
          <w:lang w:val="en-US" w:eastAsia="zh-CN" w:bidi="ar"/>
        </w:rPr>
        <w:fldChar w:fldCharType="separate"/>
      </w:r>
      <w:r>
        <w:rPr>
          <w:rStyle w:val="9"/>
          <w:rFonts w:hint="default" w:ascii="微软雅黑" w:hAnsi="微软雅黑" w:eastAsia="微软雅黑" w:cs="微软雅黑"/>
          <w:i w:val="0"/>
          <w:iCs w:val="0"/>
          <w:caps w:val="0"/>
          <w:color w:val="0F54A1"/>
          <w:spacing w:val="0"/>
          <w:sz w:val="0"/>
          <w:szCs w:val="0"/>
          <w:u w:val="none"/>
          <w:bdr w:val="none" w:color="auto" w:sz="0" w:space="0"/>
        </w:rPr>
        <w:t>智能机器人</w:t>
      </w:r>
      <w:r>
        <w:rPr>
          <w:rFonts w:hint="default" w:ascii="微软雅黑" w:hAnsi="微软雅黑" w:eastAsia="微软雅黑" w:cs="微软雅黑"/>
          <w:i w:val="0"/>
          <w:iCs w:val="0"/>
          <w:caps w:val="0"/>
          <w:color w:val="0F54A1"/>
          <w:spacing w:val="0"/>
          <w:kern w:val="0"/>
          <w:sz w:val="0"/>
          <w:szCs w:val="0"/>
          <w:u w:val="none"/>
          <w:bdr w:val="none" w:color="auto" w:sz="0" w:space="0"/>
          <w:lang w:val="en-US" w:eastAsia="zh-CN" w:bidi="ar"/>
        </w:rPr>
        <w:fldChar w:fldCharType="end"/>
      </w:r>
      <w:r>
        <w:rPr>
          <w:rFonts w:hint="default" w:ascii="微软雅黑" w:hAnsi="微软雅黑" w:eastAsia="微软雅黑" w:cs="微软雅黑"/>
          <w:i w:val="0"/>
          <w:iCs w:val="0"/>
          <w:caps w:val="0"/>
          <w:color w:val="000000"/>
          <w:spacing w:val="0"/>
          <w:kern w:val="0"/>
          <w:sz w:val="0"/>
          <w:szCs w:val="0"/>
          <w:u w:val="none"/>
          <w:bdr w:val="none" w:color="auto" w:sz="0" w:space="0"/>
          <w:lang w:val="en-US" w:eastAsia="zh-CN" w:bidi="ar"/>
        </w:rPr>
        <w:t>  </w:t>
      </w:r>
      <w:r>
        <w:rPr>
          <w:rFonts w:hint="default" w:ascii="微软雅黑" w:hAnsi="微软雅黑" w:eastAsia="微软雅黑" w:cs="微软雅黑"/>
          <w:i w:val="0"/>
          <w:iCs w:val="0"/>
          <w:caps w:val="0"/>
          <w:color w:val="0F54A1"/>
          <w:spacing w:val="0"/>
          <w:kern w:val="0"/>
          <w:sz w:val="0"/>
          <w:szCs w:val="0"/>
          <w:u w:val="none"/>
          <w:bdr w:val="none" w:color="auto" w:sz="0" w:space="0"/>
          <w:lang w:val="en-US" w:eastAsia="zh-CN" w:bidi="ar"/>
        </w:rPr>
        <w:t>无障碍</w:t>
      </w:r>
      <w:r>
        <w:rPr>
          <w:rFonts w:hint="default" w:ascii="微软雅黑" w:hAnsi="微软雅黑" w:eastAsia="微软雅黑" w:cs="微软雅黑"/>
          <w:i w:val="0"/>
          <w:iCs w:val="0"/>
          <w:caps w:val="0"/>
          <w:color w:val="000000"/>
          <w:spacing w:val="0"/>
          <w:kern w:val="0"/>
          <w:sz w:val="0"/>
          <w:szCs w:val="0"/>
          <w:u w:val="none"/>
          <w:bdr w:val="none" w:color="auto" w:sz="0" w:space="0"/>
          <w:lang w:val="en-US" w:eastAsia="zh-CN" w:bidi="ar"/>
        </w:rPr>
        <w:t>  </w:t>
      </w:r>
      <w:r>
        <w:rPr>
          <w:rFonts w:hint="default" w:ascii="微软雅黑" w:hAnsi="微软雅黑" w:eastAsia="微软雅黑" w:cs="微软雅黑"/>
          <w:i w:val="0"/>
          <w:iCs w:val="0"/>
          <w:caps w:val="0"/>
          <w:color w:val="0F54A1"/>
          <w:spacing w:val="0"/>
          <w:kern w:val="0"/>
          <w:sz w:val="0"/>
          <w:szCs w:val="0"/>
          <w:u w:val="none"/>
          <w:bdr w:val="none" w:color="auto" w:sz="0" w:space="0"/>
          <w:lang w:val="en-US" w:eastAsia="zh-CN" w:bidi="ar"/>
        </w:rPr>
        <w:t>关怀版</w:t>
      </w:r>
      <w:r>
        <w:rPr>
          <w:rFonts w:hint="default" w:ascii="微软雅黑" w:hAnsi="微软雅黑" w:eastAsia="微软雅黑" w:cs="微软雅黑"/>
          <w:i w:val="0"/>
          <w:iCs w:val="0"/>
          <w:caps w:val="0"/>
          <w:color w:val="000000"/>
          <w:spacing w:val="0"/>
          <w:kern w:val="0"/>
          <w:sz w:val="0"/>
          <w:szCs w:val="0"/>
          <w:u w:val="none"/>
          <w:bdr w:val="none" w:color="auto" w:sz="0" w:space="0"/>
          <w:lang w:val="en-US" w:eastAsia="zh-CN" w:bidi="ar"/>
        </w:rPr>
        <w:t>  </w:t>
      </w:r>
      <w:r>
        <w:rPr>
          <w:rFonts w:hint="default" w:ascii="微软雅黑" w:hAnsi="微软雅黑" w:eastAsia="微软雅黑" w:cs="微软雅黑"/>
          <w:i w:val="0"/>
          <w:iCs w:val="0"/>
          <w:caps w:val="0"/>
          <w:color w:val="0F54A1"/>
          <w:spacing w:val="0"/>
          <w:kern w:val="0"/>
          <w:sz w:val="0"/>
          <w:szCs w:val="0"/>
          <w:u w:val="none"/>
          <w:bdr w:val="none" w:color="auto" w:sz="0" w:space="0"/>
          <w:lang w:val="en-US" w:eastAsia="zh-CN" w:bidi="ar"/>
        </w:rPr>
        <w:t>手机版</w:t>
      </w:r>
      <w:r>
        <w:rPr>
          <w:rFonts w:hint="default" w:ascii="微软雅黑" w:hAnsi="微软雅黑" w:eastAsia="微软雅黑" w:cs="微软雅黑"/>
          <w:i w:val="0"/>
          <w:iCs w:val="0"/>
          <w:caps w:val="0"/>
          <w:color w:val="000000"/>
          <w:spacing w:val="0"/>
          <w:kern w:val="0"/>
          <w:sz w:val="0"/>
          <w:szCs w:val="0"/>
          <w:u w:val="none"/>
          <w:bdr w:val="none" w:color="auto" w:sz="0" w:space="0"/>
          <w:lang w:val="en-US" w:eastAsia="zh-CN" w:bidi="ar"/>
        </w:rPr>
        <w:t> </w:t>
      </w:r>
      <w:r>
        <w:rPr>
          <w:rFonts w:hint="default" w:ascii="微软雅黑" w:hAnsi="微软雅黑" w:eastAsia="微软雅黑" w:cs="微软雅黑"/>
          <w:i w:val="0"/>
          <w:iCs w:val="0"/>
          <w:caps w:val="0"/>
          <w:color w:val="0F54A1"/>
          <w:spacing w:val="20"/>
          <w:kern w:val="0"/>
          <w:sz w:val="0"/>
          <w:szCs w:val="0"/>
          <w:u w:val="none"/>
          <w:bdr w:val="none" w:color="auto" w:sz="0" w:space="0"/>
          <w:lang w:val="en-US" w:eastAsia="zh-CN" w:bidi="ar"/>
        </w:rPr>
        <w:t>网站支持IPv6</w:t>
      </w:r>
    </w:p>
    <w:p w14:paraId="4420D8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微软雅黑" w:hAnsi="微软雅黑" w:eastAsia="微软雅黑" w:cs="微软雅黑"/>
          <w:i w:val="0"/>
          <w:iCs w:val="0"/>
          <w:caps w:val="0"/>
          <w:color w:val="000000"/>
          <w:spacing w:val="0"/>
          <w:sz w:val="0"/>
          <w:szCs w:val="0"/>
          <w:u w:val="none"/>
        </w:rPr>
      </w:pPr>
      <w:r>
        <w:rPr>
          <w:rFonts w:hint="default" w:ascii="微软雅黑" w:hAnsi="微软雅黑" w:eastAsia="微软雅黑" w:cs="微软雅黑"/>
          <w:i w:val="0"/>
          <w:iCs w:val="0"/>
          <w:caps w:val="0"/>
          <w:color w:val="333333"/>
          <w:spacing w:val="0"/>
          <w:sz w:val="0"/>
          <w:szCs w:val="0"/>
          <w:u w:val="none"/>
          <w:bdr w:val="none" w:color="auto" w:sz="0" w:space="0"/>
        </w:rPr>
        <w:drawing>
          <wp:inline distT="0" distB="0" distL="114300" distR="114300">
            <wp:extent cx="5272405" cy="1139825"/>
            <wp:effectExtent l="0" t="0" r="10795" b="3175"/>
            <wp:docPr id="1" name="图片 2" descr="IMG_25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6"/>
                    <a:stretch>
                      <a:fillRect/>
                    </a:stretch>
                  </pic:blipFill>
                  <pic:spPr>
                    <a:xfrm>
                      <a:off x="0" y="0"/>
                      <a:ext cx="5272405" cy="1139825"/>
                    </a:xfrm>
                    <a:prstGeom prst="rect">
                      <a:avLst/>
                    </a:prstGeom>
                    <a:noFill/>
                    <a:ln w="9525">
                      <a:noFill/>
                    </a:ln>
                  </pic:spPr>
                </pic:pic>
              </a:graphicData>
            </a:graphic>
          </wp:inline>
        </w:drawing>
      </w:r>
    </w:p>
    <w:p w14:paraId="556B2E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微软雅黑" w:hAnsi="微软雅黑" w:eastAsia="微软雅黑" w:cs="微软雅黑"/>
          <w:i w:val="0"/>
          <w:iCs w:val="0"/>
          <w:caps w:val="0"/>
          <w:color w:val="000000"/>
          <w:spacing w:val="0"/>
          <w:sz w:val="0"/>
          <w:szCs w:val="0"/>
          <w:u w:val="none"/>
        </w:rPr>
      </w:pPr>
      <w:r>
        <w:rPr>
          <w:rFonts w:hint="default" w:ascii="微软雅黑" w:hAnsi="微软雅黑" w:eastAsia="微软雅黑" w:cs="微软雅黑"/>
          <w:i w:val="0"/>
          <w:iCs w:val="0"/>
          <w:caps w:val="0"/>
          <w:color w:val="000000"/>
          <w:spacing w:val="0"/>
          <w:kern w:val="0"/>
          <w:sz w:val="0"/>
          <w:szCs w:val="0"/>
          <w:u w:val="none"/>
          <w:bdr w:val="none" w:color="auto" w:sz="0" w:space="0"/>
          <w:shd w:val="clear" w:fill="FFFFFF"/>
          <w:lang w:val="en-US" w:eastAsia="zh-CN" w:bidi="ar"/>
        </w:rPr>
        <mc:AlternateContent>
          <mc:Choice Requires="wps">
            <w:drawing>
              <wp:inline distT="0" distB="0" distL="114300" distR="114300">
                <wp:extent cx="635" cy="0"/>
                <wp:effectExtent l="0" t="6350" r="0" b="6350"/>
                <wp:docPr id="3" name="自选图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ONInc4AAAD/AAAADwAAAAAAAAABACAAAAAiAAAAZHJzL2Rv&#10;d25yZXYueG1sUEsBAhQAFAAAAAgAh07iQDk+jY8LAgAAHgQAAA4AAAAAAAAAAQAgAAAAHQEAAGRy&#10;cy9lMm9Eb2MueG1sUEsFBgAAAAAGAAYAWQEAAJoFAAAAAA==&#10;">
                <v:fill on="f" focussize="0,0"/>
                <v:stroke color="#000000" joinstyle="miter"/>
                <v:imagedata o:title=""/>
                <o:lock v:ext="edit" aspectratio="t"/>
                <w10:wrap type="none"/>
                <w10:anchorlock/>
              </v:rect>
            </w:pict>
          </mc:Fallback>
        </mc:AlternateContent>
      </w:r>
      <w:r>
        <w:rPr>
          <w:rFonts w:hint="default" w:ascii="微软雅黑" w:hAnsi="微软雅黑" w:eastAsia="微软雅黑" w:cs="微软雅黑"/>
          <w:i w:val="0"/>
          <w:iCs w:val="0"/>
          <w:caps w:val="0"/>
          <w:color w:val="000000"/>
          <w:spacing w:val="0"/>
          <w:kern w:val="0"/>
          <w:sz w:val="0"/>
          <w:szCs w:val="0"/>
          <w:u w:val="none"/>
          <w:bdr w:val="none" w:color="auto" w:sz="0" w:space="0"/>
          <w:shd w:val="clear" w:fill="FFFFFF"/>
          <w:lang w:val="en-US" w:eastAsia="zh-CN" w:bidi="ar"/>
        </w:rPr>
        <w:t> </w:t>
      </w:r>
      <w:r>
        <w:rPr>
          <w:rFonts w:hint="default" w:ascii="微软雅黑" w:hAnsi="微软雅黑" w:eastAsia="微软雅黑" w:cs="微软雅黑"/>
          <w:i w:val="0"/>
          <w:iCs w:val="0"/>
          <w:caps w:val="0"/>
          <w:color w:val="000000"/>
          <w:spacing w:val="0"/>
          <w:kern w:val="0"/>
          <w:sz w:val="0"/>
          <w:szCs w:val="0"/>
          <w:u w:val="none"/>
          <w:bdr w:val="none" w:color="auto" w:sz="0" w:space="0"/>
          <w:shd w:val="clear" w:fill="3168C5"/>
          <w:lang w:val="en-US" w:eastAsia="zh-CN" w:bidi="ar"/>
        </w:rPr>
        <w:drawing>
          <wp:inline distT="0" distB="0" distL="114300" distR="114300">
            <wp:extent cx="219075" cy="228600"/>
            <wp:effectExtent l="0" t="0" r="9525" b="0"/>
            <wp:docPr id="4"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8"/>
                    <pic:cNvPicPr>
                      <a:picLocks noChangeAspect="1"/>
                    </pic:cNvPicPr>
                  </pic:nvPicPr>
                  <pic:blipFill>
                    <a:blip r:embed="rId7"/>
                    <a:stretch>
                      <a:fillRect/>
                    </a:stretch>
                  </pic:blipFill>
                  <pic:spPr>
                    <a:xfrm>
                      <a:off x="0" y="0"/>
                      <a:ext cx="219075" cy="228600"/>
                    </a:xfrm>
                    <a:prstGeom prst="rect">
                      <a:avLst/>
                    </a:prstGeom>
                    <a:noFill/>
                    <a:ln w="9525">
                      <a:noFill/>
                    </a:ln>
                  </pic:spPr>
                </pic:pic>
              </a:graphicData>
            </a:graphic>
          </wp:inline>
        </w:drawing>
      </w:r>
    </w:p>
    <w:p w14:paraId="53C1308A">
      <w:pPr>
        <w:keepNext w:val="0"/>
        <w:keepLines w:val="0"/>
        <w:widowControl/>
        <w:suppressLineNumbers w:val="0"/>
        <w:pBdr>
          <w:top w:val="none" w:color="auto" w:sz="0" w:space="0"/>
          <w:left w:val="none" w:color="auto" w:sz="0" w:space="0"/>
          <w:bottom w:val="none" w:color="auto" w:sz="0" w:space="0"/>
          <w:right w:val="none" w:color="auto" w:sz="0" w:space="0"/>
        </w:pBdr>
        <w:shd w:val="clear" w:fill="115DB2"/>
        <w:spacing w:before="0" w:beforeAutospacing="0" w:after="0" w:afterAutospacing="0"/>
        <w:ind w:left="0" w:right="0" w:firstLine="0"/>
        <w:jc w:val="left"/>
        <w:textAlignment w:val="top"/>
        <w:rPr>
          <w:rFonts w:hint="default" w:ascii="微软雅黑" w:hAnsi="微软雅黑" w:eastAsia="微软雅黑" w:cs="微软雅黑"/>
          <w:i w:val="0"/>
          <w:iCs w:val="0"/>
          <w:caps w:val="0"/>
          <w:color w:val="000000"/>
          <w:spacing w:val="0"/>
          <w:sz w:val="0"/>
          <w:szCs w:val="0"/>
          <w:u w:val="none"/>
        </w:rPr>
      </w:pP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fldChar w:fldCharType="begin"/>
      </w: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instrText xml:space="preserve"> HYPERLINK "https://webvpn.hainanu.edu.cn/https/32393332413339303239333421416369a8df145440b0251e4b3a106783/" </w:instrText>
      </w: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fldChar w:fldCharType="separate"/>
      </w:r>
      <w:r>
        <w:rPr>
          <w:rStyle w:val="9"/>
          <w:rFonts w:hint="default" w:ascii="微软雅黑" w:hAnsi="微软雅黑" w:eastAsia="微软雅黑" w:cs="微软雅黑"/>
          <w:i w:val="0"/>
          <w:iCs w:val="0"/>
          <w:caps w:val="0"/>
          <w:color w:val="FFFFFF"/>
          <w:spacing w:val="0"/>
          <w:sz w:val="0"/>
          <w:szCs w:val="0"/>
          <w:u w:val="none"/>
          <w:bdr w:val="none" w:color="auto" w:sz="0" w:space="0"/>
          <w:shd w:val="clear" w:fill="115DB2"/>
        </w:rPr>
        <w:t>首页</w:t>
      </w: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fldChar w:fldCharType="end"/>
      </w:r>
    </w:p>
    <w:p w14:paraId="2F306C51">
      <w:pPr>
        <w:keepNext w:val="0"/>
        <w:keepLines w:val="0"/>
        <w:widowControl/>
        <w:suppressLineNumbers w:val="0"/>
        <w:pBdr>
          <w:top w:val="none" w:color="auto" w:sz="0" w:space="0"/>
          <w:left w:val="none" w:color="auto" w:sz="0" w:space="0"/>
          <w:bottom w:val="none" w:color="auto" w:sz="0" w:space="0"/>
          <w:right w:val="none" w:color="auto" w:sz="0" w:space="0"/>
        </w:pBdr>
        <w:shd w:val="clear" w:fill="115DB2"/>
        <w:spacing w:before="0" w:beforeAutospacing="0" w:after="0" w:afterAutospacing="0"/>
        <w:ind w:left="0" w:right="0" w:firstLine="0"/>
        <w:jc w:val="left"/>
        <w:rPr>
          <w:rFonts w:hint="default" w:ascii="微软雅黑" w:hAnsi="微软雅黑" w:eastAsia="微软雅黑" w:cs="微软雅黑"/>
          <w:i w:val="0"/>
          <w:iCs w:val="0"/>
          <w:caps w:val="0"/>
          <w:color w:val="000000"/>
          <w:spacing w:val="0"/>
          <w:sz w:val="0"/>
          <w:szCs w:val="0"/>
          <w:u w:val="none"/>
        </w:rPr>
      </w:pPr>
      <w:r>
        <w:rPr>
          <w:rFonts w:hint="default" w:ascii="微软雅黑" w:hAnsi="微软雅黑" w:eastAsia="微软雅黑" w:cs="微软雅黑"/>
          <w:i w:val="0"/>
          <w:iCs w:val="0"/>
          <w:caps w:val="0"/>
          <w:color w:val="000000"/>
          <w:spacing w:val="0"/>
          <w:kern w:val="0"/>
          <w:sz w:val="0"/>
          <w:szCs w:val="0"/>
          <w:u w:val="none"/>
          <w:bdr w:val="none" w:color="auto" w:sz="0" w:space="0"/>
          <w:shd w:val="clear" w:fill="115DB2"/>
          <w:lang w:val="en-US" w:eastAsia="zh-CN" w:bidi="ar"/>
        </w:rPr>
        <w:t> </w:t>
      </w:r>
    </w:p>
    <w:p w14:paraId="0E520646">
      <w:pPr>
        <w:keepNext w:val="0"/>
        <w:keepLines w:val="0"/>
        <w:widowControl/>
        <w:suppressLineNumbers w:val="0"/>
        <w:pBdr>
          <w:top w:val="none" w:color="auto" w:sz="0" w:space="0"/>
          <w:left w:val="none" w:color="auto" w:sz="0" w:space="0"/>
          <w:bottom w:val="none" w:color="auto" w:sz="0" w:space="0"/>
          <w:right w:val="none" w:color="auto" w:sz="0" w:space="0"/>
        </w:pBdr>
        <w:shd w:val="clear" w:fill="115DB2"/>
        <w:spacing w:before="0" w:beforeAutospacing="0" w:after="0" w:afterAutospacing="0"/>
        <w:ind w:left="0" w:right="0" w:firstLine="0"/>
        <w:jc w:val="left"/>
        <w:textAlignment w:val="top"/>
        <w:rPr>
          <w:rFonts w:hint="default" w:ascii="微软雅黑" w:hAnsi="微软雅黑" w:eastAsia="微软雅黑" w:cs="微软雅黑"/>
          <w:i w:val="0"/>
          <w:iCs w:val="0"/>
          <w:caps w:val="0"/>
          <w:color w:val="000000"/>
          <w:spacing w:val="0"/>
          <w:sz w:val="0"/>
          <w:szCs w:val="0"/>
          <w:u w:val="none"/>
        </w:rPr>
      </w:pPr>
      <w:r>
        <w:rPr>
          <w:rFonts w:hint="default" w:ascii="微软雅黑" w:hAnsi="微软雅黑" w:eastAsia="微软雅黑" w:cs="微软雅黑"/>
          <w:b/>
          <w:bCs/>
          <w:i w:val="0"/>
          <w:iCs w:val="0"/>
          <w:caps w:val="0"/>
          <w:color w:val="FFFFFF"/>
          <w:spacing w:val="0"/>
          <w:kern w:val="0"/>
          <w:sz w:val="0"/>
          <w:szCs w:val="0"/>
          <w:u w:val="none"/>
          <w:bdr w:val="none" w:color="auto" w:sz="0" w:space="0"/>
          <w:shd w:val="clear" w:fill="115DB2"/>
          <w:lang w:val="en-US" w:eastAsia="zh-CN" w:bidi="ar"/>
        </w:rPr>
        <w:fldChar w:fldCharType="begin"/>
      </w:r>
      <w:r>
        <w:rPr>
          <w:rFonts w:hint="default" w:ascii="微软雅黑" w:hAnsi="微软雅黑" w:eastAsia="微软雅黑" w:cs="微软雅黑"/>
          <w:b/>
          <w:bCs/>
          <w:i w:val="0"/>
          <w:iCs w:val="0"/>
          <w:caps w:val="0"/>
          <w:color w:val="FFFFFF"/>
          <w:spacing w:val="0"/>
          <w:kern w:val="0"/>
          <w:sz w:val="0"/>
          <w:szCs w:val="0"/>
          <w:u w:val="none"/>
          <w:bdr w:val="none" w:color="auto" w:sz="0" w:space="0"/>
          <w:shd w:val="clear" w:fill="115DB2"/>
          <w:lang w:val="en-US" w:eastAsia="zh-CN" w:bidi="ar"/>
        </w:rPr>
        <w:instrText xml:space="preserve"> HYPERLINK "https://webvpn.hainanu.edu.cn/https/32393332413339303239333421416369a8df145440b0251e4b3a106783/zwgk/" </w:instrText>
      </w:r>
      <w:r>
        <w:rPr>
          <w:rFonts w:hint="default" w:ascii="微软雅黑" w:hAnsi="微软雅黑" w:eastAsia="微软雅黑" w:cs="微软雅黑"/>
          <w:b/>
          <w:bCs/>
          <w:i w:val="0"/>
          <w:iCs w:val="0"/>
          <w:caps w:val="0"/>
          <w:color w:val="FFFFFF"/>
          <w:spacing w:val="0"/>
          <w:kern w:val="0"/>
          <w:sz w:val="0"/>
          <w:szCs w:val="0"/>
          <w:u w:val="none"/>
          <w:bdr w:val="none" w:color="auto" w:sz="0" w:space="0"/>
          <w:shd w:val="clear" w:fill="115DB2"/>
          <w:lang w:val="en-US" w:eastAsia="zh-CN" w:bidi="ar"/>
        </w:rPr>
        <w:fldChar w:fldCharType="separate"/>
      </w:r>
      <w:r>
        <w:rPr>
          <w:rStyle w:val="9"/>
          <w:rFonts w:hint="default" w:ascii="微软雅黑" w:hAnsi="微软雅黑" w:eastAsia="微软雅黑" w:cs="微软雅黑"/>
          <w:b/>
          <w:bCs/>
          <w:i w:val="0"/>
          <w:iCs w:val="0"/>
          <w:caps w:val="0"/>
          <w:color w:val="FFFFFF"/>
          <w:spacing w:val="0"/>
          <w:sz w:val="0"/>
          <w:szCs w:val="0"/>
          <w:u w:val="none"/>
          <w:bdr w:val="none" w:color="auto" w:sz="0" w:space="0"/>
          <w:shd w:val="clear" w:fill="115DB2"/>
        </w:rPr>
        <w:t>政务公开</w:t>
      </w:r>
      <w:r>
        <w:rPr>
          <w:rFonts w:hint="default" w:ascii="微软雅黑" w:hAnsi="微软雅黑" w:eastAsia="微软雅黑" w:cs="微软雅黑"/>
          <w:b/>
          <w:bCs/>
          <w:i w:val="0"/>
          <w:iCs w:val="0"/>
          <w:caps w:val="0"/>
          <w:color w:val="FFFFFF"/>
          <w:spacing w:val="0"/>
          <w:kern w:val="0"/>
          <w:sz w:val="0"/>
          <w:szCs w:val="0"/>
          <w:u w:val="none"/>
          <w:bdr w:val="none" w:color="auto" w:sz="0" w:space="0"/>
          <w:shd w:val="clear" w:fill="115DB2"/>
          <w:lang w:val="en-US" w:eastAsia="zh-CN" w:bidi="ar"/>
        </w:rPr>
        <w:fldChar w:fldCharType="end"/>
      </w:r>
    </w:p>
    <w:p w14:paraId="7B9032D3">
      <w:pPr>
        <w:keepNext w:val="0"/>
        <w:keepLines w:val="0"/>
        <w:widowControl/>
        <w:suppressLineNumbers w:val="0"/>
        <w:spacing w:before="0" w:beforeAutospacing="0" w:after="0" w:afterAutospacing="0"/>
        <w:ind w:left="0" w:right="0"/>
        <w:jc w:val="left"/>
      </w:pPr>
      <w:r>
        <w:rPr>
          <w:rFonts w:hint="default" w:ascii="微软雅黑" w:hAnsi="微软雅黑" w:eastAsia="微软雅黑" w:cs="微软雅黑"/>
          <w:i w:val="0"/>
          <w:iCs w:val="0"/>
          <w:caps w:val="0"/>
          <w:color w:val="000000"/>
          <w:spacing w:val="0"/>
          <w:kern w:val="0"/>
          <w:sz w:val="0"/>
          <w:szCs w:val="0"/>
          <w:u w:val="none"/>
          <w:bdr w:val="none" w:color="auto" w:sz="0" w:space="0"/>
          <w:shd w:val="clear" w:fill="115DB2"/>
          <w:lang w:val="en-US" w:eastAsia="zh-CN" w:bidi="ar"/>
        </w:rPr>
        <w:t> </w:t>
      </w:r>
    </w:p>
    <w:p w14:paraId="727A6A00">
      <w:pPr>
        <w:keepNext w:val="0"/>
        <w:keepLines w:val="0"/>
        <w:widowControl/>
        <w:suppressLineNumbers w:val="0"/>
        <w:pBdr>
          <w:top w:val="none" w:color="auto" w:sz="0" w:space="0"/>
          <w:left w:val="none" w:color="auto" w:sz="0" w:space="0"/>
          <w:bottom w:val="none" w:color="auto" w:sz="0" w:space="0"/>
          <w:right w:val="none" w:color="auto" w:sz="0" w:space="0"/>
        </w:pBdr>
        <w:shd w:val="clear" w:fill="115DB2"/>
        <w:spacing w:before="0" w:beforeAutospacing="0" w:after="0" w:afterAutospacing="0"/>
        <w:ind w:left="0" w:right="0" w:firstLine="0"/>
        <w:jc w:val="left"/>
        <w:textAlignment w:val="top"/>
        <w:rPr>
          <w:rFonts w:hint="default" w:ascii="微软雅黑" w:hAnsi="微软雅黑" w:eastAsia="微软雅黑" w:cs="微软雅黑"/>
          <w:i w:val="0"/>
          <w:iCs w:val="0"/>
          <w:caps w:val="0"/>
          <w:color w:val="000000"/>
          <w:spacing w:val="0"/>
          <w:sz w:val="0"/>
          <w:szCs w:val="0"/>
          <w:u w:val="none"/>
        </w:rPr>
      </w:pP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fldChar w:fldCharType="begin"/>
      </w: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instrText xml:space="preserve"> HYPERLINK "https://webvpn.hainanu.edu.cn/https/32393332413339303239333421416369a5df1a1141ef68080a2b5172c31ad2/" \t "/Users/macbook/Documents\\x/_blank" </w:instrText>
      </w: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fldChar w:fldCharType="separate"/>
      </w:r>
      <w:r>
        <w:rPr>
          <w:rStyle w:val="9"/>
          <w:rFonts w:hint="default" w:ascii="微软雅黑" w:hAnsi="微软雅黑" w:eastAsia="微软雅黑" w:cs="微软雅黑"/>
          <w:i w:val="0"/>
          <w:iCs w:val="0"/>
          <w:caps w:val="0"/>
          <w:color w:val="FFFFFF"/>
          <w:spacing w:val="0"/>
          <w:sz w:val="0"/>
          <w:szCs w:val="0"/>
          <w:u w:val="none"/>
          <w:bdr w:val="none" w:color="auto" w:sz="0" w:space="0"/>
          <w:shd w:val="clear" w:fill="115DB2"/>
        </w:rPr>
        <w:t>政务服务</w:t>
      </w: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fldChar w:fldCharType="end"/>
      </w:r>
    </w:p>
    <w:p w14:paraId="697259AA">
      <w:pPr>
        <w:keepNext w:val="0"/>
        <w:keepLines w:val="0"/>
        <w:widowControl/>
        <w:suppressLineNumbers w:val="0"/>
        <w:spacing w:before="0" w:beforeAutospacing="0" w:after="0" w:afterAutospacing="0"/>
        <w:ind w:left="0" w:right="0"/>
        <w:jc w:val="left"/>
      </w:pPr>
      <w:r>
        <w:rPr>
          <w:rFonts w:hint="default" w:ascii="微软雅黑" w:hAnsi="微软雅黑" w:eastAsia="微软雅黑" w:cs="微软雅黑"/>
          <w:i w:val="0"/>
          <w:iCs w:val="0"/>
          <w:caps w:val="0"/>
          <w:color w:val="000000"/>
          <w:spacing w:val="0"/>
          <w:kern w:val="0"/>
          <w:sz w:val="0"/>
          <w:szCs w:val="0"/>
          <w:u w:val="none"/>
          <w:bdr w:val="none" w:color="auto" w:sz="0" w:space="0"/>
          <w:shd w:val="clear" w:fill="115DB2"/>
          <w:lang w:val="en-US" w:eastAsia="zh-CN" w:bidi="ar"/>
        </w:rPr>
        <w:t> </w:t>
      </w:r>
    </w:p>
    <w:p w14:paraId="6A130650">
      <w:pPr>
        <w:keepNext w:val="0"/>
        <w:keepLines w:val="0"/>
        <w:widowControl/>
        <w:suppressLineNumbers w:val="0"/>
        <w:pBdr>
          <w:top w:val="none" w:color="auto" w:sz="0" w:space="0"/>
          <w:left w:val="none" w:color="auto" w:sz="0" w:space="0"/>
          <w:bottom w:val="none" w:color="auto" w:sz="0" w:space="0"/>
          <w:right w:val="none" w:color="auto" w:sz="0" w:space="0"/>
        </w:pBdr>
        <w:shd w:val="clear" w:fill="115DB2"/>
        <w:spacing w:before="0" w:beforeAutospacing="0" w:after="0" w:afterAutospacing="0"/>
        <w:ind w:left="0" w:right="0" w:firstLine="0"/>
        <w:jc w:val="left"/>
        <w:textAlignment w:val="top"/>
        <w:rPr>
          <w:rFonts w:hint="default" w:ascii="微软雅黑" w:hAnsi="微软雅黑" w:eastAsia="微软雅黑" w:cs="微软雅黑"/>
          <w:i w:val="0"/>
          <w:iCs w:val="0"/>
          <w:caps w:val="0"/>
          <w:color w:val="000000"/>
          <w:spacing w:val="0"/>
          <w:sz w:val="0"/>
          <w:szCs w:val="0"/>
          <w:u w:val="none"/>
        </w:rPr>
      </w:pP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fldChar w:fldCharType="begin"/>
      </w: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instrText xml:space="preserve"> HYPERLINK "https://webvpn.hainanu.edu.cn/https/32393332413339303239333421416369a8df145440b0251e4b3a106783/hdjl/" </w:instrText>
      </w: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fldChar w:fldCharType="separate"/>
      </w:r>
      <w:r>
        <w:rPr>
          <w:rStyle w:val="9"/>
          <w:rFonts w:hint="default" w:ascii="微软雅黑" w:hAnsi="微软雅黑" w:eastAsia="微软雅黑" w:cs="微软雅黑"/>
          <w:i w:val="0"/>
          <w:iCs w:val="0"/>
          <w:caps w:val="0"/>
          <w:color w:val="FFFFFF"/>
          <w:spacing w:val="0"/>
          <w:sz w:val="0"/>
          <w:szCs w:val="0"/>
          <w:u w:val="none"/>
          <w:bdr w:val="none" w:color="auto" w:sz="0" w:space="0"/>
          <w:shd w:val="clear" w:fill="115DB2"/>
        </w:rPr>
        <w:t>互动交流</w:t>
      </w: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fldChar w:fldCharType="end"/>
      </w:r>
    </w:p>
    <w:p w14:paraId="636E0BD8">
      <w:pPr>
        <w:keepNext w:val="0"/>
        <w:keepLines w:val="0"/>
        <w:widowControl/>
        <w:suppressLineNumbers w:val="0"/>
        <w:spacing w:before="0" w:beforeAutospacing="0" w:after="0" w:afterAutospacing="0"/>
        <w:ind w:left="0" w:right="0"/>
        <w:jc w:val="left"/>
      </w:pPr>
      <w:r>
        <w:rPr>
          <w:rFonts w:hint="default" w:ascii="微软雅黑" w:hAnsi="微软雅黑" w:eastAsia="微软雅黑" w:cs="微软雅黑"/>
          <w:i w:val="0"/>
          <w:iCs w:val="0"/>
          <w:caps w:val="0"/>
          <w:color w:val="000000"/>
          <w:spacing w:val="0"/>
          <w:kern w:val="0"/>
          <w:sz w:val="0"/>
          <w:szCs w:val="0"/>
          <w:u w:val="none"/>
          <w:bdr w:val="none" w:color="auto" w:sz="0" w:space="0"/>
          <w:shd w:val="clear" w:fill="115DB2"/>
          <w:lang w:val="en-US" w:eastAsia="zh-CN" w:bidi="ar"/>
        </w:rPr>
        <w:t> </w:t>
      </w:r>
    </w:p>
    <w:p w14:paraId="45FAE86F">
      <w:pPr>
        <w:keepNext w:val="0"/>
        <w:keepLines w:val="0"/>
        <w:widowControl/>
        <w:suppressLineNumbers w:val="0"/>
        <w:pBdr>
          <w:top w:val="none" w:color="auto" w:sz="0" w:space="0"/>
          <w:left w:val="none" w:color="auto" w:sz="0" w:space="0"/>
          <w:bottom w:val="none" w:color="auto" w:sz="0" w:space="0"/>
          <w:right w:val="none" w:color="auto" w:sz="0" w:space="0"/>
        </w:pBdr>
        <w:shd w:val="clear" w:fill="115DB2"/>
        <w:spacing w:before="0" w:beforeAutospacing="0" w:after="0" w:afterAutospacing="0"/>
        <w:ind w:left="0" w:right="0" w:firstLine="0"/>
        <w:jc w:val="left"/>
        <w:textAlignment w:val="top"/>
        <w:rPr>
          <w:rFonts w:hint="default" w:ascii="微软雅黑" w:hAnsi="微软雅黑" w:eastAsia="微软雅黑" w:cs="微软雅黑"/>
          <w:i w:val="0"/>
          <w:iCs w:val="0"/>
          <w:caps w:val="0"/>
          <w:color w:val="000000"/>
          <w:spacing w:val="0"/>
          <w:sz w:val="0"/>
          <w:szCs w:val="0"/>
          <w:u w:val="none"/>
        </w:rPr>
      </w:pP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fldChar w:fldCharType="begin"/>
      </w: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instrText xml:space="preserve"> HYPERLINK "https://webvpn.hainanu.edu.cn/https/32393332413339303239333421416369a8df145440b0251e4b3a106783/zjcq/" </w:instrText>
      </w: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fldChar w:fldCharType="separate"/>
      </w:r>
      <w:r>
        <w:rPr>
          <w:rStyle w:val="9"/>
          <w:rFonts w:hint="default" w:ascii="微软雅黑" w:hAnsi="微软雅黑" w:eastAsia="微软雅黑" w:cs="微软雅黑"/>
          <w:i w:val="0"/>
          <w:iCs w:val="0"/>
          <w:caps w:val="0"/>
          <w:color w:val="FFFFFF"/>
          <w:spacing w:val="0"/>
          <w:sz w:val="0"/>
          <w:szCs w:val="0"/>
          <w:u w:val="none"/>
          <w:bdr w:val="none" w:color="auto" w:sz="0" w:space="0"/>
          <w:shd w:val="clear" w:fill="115DB2"/>
        </w:rPr>
        <w:t>走进重庆</w:t>
      </w:r>
      <w:r>
        <w:rPr>
          <w:rFonts w:hint="default" w:ascii="微软雅黑" w:hAnsi="微软雅黑" w:eastAsia="微软雅黑" w:cs="微软雅黑"/>
          <w:i w:val="0"/>
          <w:iCs w:val="0"/>
          <w:caps w:val="0"/>
          <w:color w:val="FFFFFF"/>
          <w:spacing w:val="0"/>
          <w:kern w:val="0"/>
          <w:sz w:val="0"/>
          <w:szCs w:val="0"/>
          <w:u w:val="none"/>
          <w:bdr w:val="none" w:color="auto" w:sz="0" w:space="0"/>
          <w:shd w:val="clear" w:fill="115DB2"/>
          <w:lang w:val="en-US" w:eastAsia="zh-CN" w:bidi="ar"/>
        </w:rPr>
        <w:fldChar w:fldCharType="end"/>
      </w:r>
    </w:p>
    <w:p w14:paraId="146D54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0"/>
          <w:szCs w:val="0"/>
        </w:rPr>
      </w:pPr>
      <w:r>
        <w:rPr>
          <w:rFonts w:ascii="宋体" w:hAnsi="宋体" w:eastAsia="宋体" w:cs="宋体"/>
          <w:kern w:val="0"/>
          <w:sz w:val="0"/>
          <w:szCs w:val="0"/>
          <w:bdr w:val="none" w:color="auto" w:sz="0" w:space="0"/>
          <w:lang w:val="en-US" w:eastAsia="zh-CN" w:bidi="ar"/>
        </w:rPr>
        <w:drawing>
          <wp:inline distT="0" distB="0" distL="114300" distR="114300">
            <wp:extent cx="247650" cy="247650"/>
            <wp:effectExtent l="0" t="0" r="5715" b="6350"/>
            <wp:docPr id="10"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59"/>
                    <pic:cNvPicPr>
                      <a:picLocks noChangeAspect="1"/>
                    </pic:cNvPicPr>
                  </pic:nvPicPr>
                  <pic:blipFill>
                    <a:blip r:embed="rId8"/>
                    <a:stretch>
                      <a:fillRect/>
                    </a:stretch>
                  </pic:blipFill>
                  <pic:spPr>
                    <a:xfrm>
                      <a:off x="0" y="0"/>
                      <a:ext cx="247650" cy="247650"/>
                    </a:xfrm>
                    <a:prstGeom prst="rect">
                      <a:avLst/>
                    </a:prstGeom>
                    <a:noFill/>
                    <a:ln w="9525">
                      <a:noFill/>
                    </a:ln>
                  </pic:spPr>
                </pic:pic>
              </a:graphicData>
            </a:graphic>
          </wp:inline>
        </w:drawing>
      </w:r>
      <w:r>
        <w:rPr>
          <w:rFonts w:ascii="宋体" w:hAnsi="宋体" w:eastAsia="宋体" w:cs="宋体"/>
          <w:kern w:val="0"/>
          <w:sz w:val="0"/>
          <w:szCs w:val="0"/>
          <w:lang w:val="en-US" w:eastAsia="zh-CN" w:bidi="ar"/>
        </w:rPr>
        <w:t> </w:t>
      </w:r>
      <w:r>
        <w:rPr>
          <w:rFonts w:ascii="宋体" w:hAnsi="宋体" w:eastAsia="宋体" w:cs="宋体"/>
          <w:color w:val="333333"/>
          <w:spacing w:val="20"/>
          <w:kern w:val="0"/>
          <w:sz w:val="0"/>
          <w:szCs w:val="0"/>
          <w:lang w:val="en-US" w:eastAsia="zh-CN" w:bidi="ar"/>
        </w:rPr>
        <w:t>当前位置：</w:t>
      </w:r>
      <w:r>
        <w:rPr>
          <w:rFonts w:ascii="宋体" w:hAnsi="宋体" w:eastAsia="宋体" w:cs="宋体"/>
          <w:kern w:val="0"/>
          <w:sz w:val="0"/>
          <w:szCs w:val="0"/>
          <w:lang w:val="en-US" w:eastAsia="zh-CN" w:bidi="ar"/>
        </w:rPr>
        <w:t> </w:t>
      </w:r>
      <w:r>
        <w:rPr>
          <w:rFonts w:ascii="宋体" w:hAnsi="宋体" w:eastAsia="宋体" w:cs="宋体"/>
          <w:color w:val="333333"/>
          <w:spacing w:val="20"/>
          <w:kern w:val="0"/>
          <w:sz w:val="0"/>
          <w:szCs w:val="0"/>
          <w:u w:val="none"/>
          <w:lang w:val="en-US" w:eastAsia="zh-CN" w:bidi="ar"/>
        </w:rPr>
        <w:fldChar w:fldCharType="begin"/>
      </w:r>
      <w:r>
        <w:rPr>
          <w:rFonts w:ascii="宋体" w:hAnsi="宋体" w:eastAsia="宋体" w:cs="宋体"/>
          <w:color w:val="333333"/>
          <w:spacing w:val="20"/>
          <w:kern w:val="0"/>
          <w:sz w:val="0"/>
          <w:szCs w:val="0"/>
          <w:u w:val="none"/>
          <w:lang w:val="en-US" w:eastAsia="zh-CN" w:bidi="ar"/>
        </w:rPr>
        <w:instrText xml:space="preserve"> HYPERLINK "https://webvpn.hainanu.edu.cn/https/32393332413339303239333421416369a8df145440b0251e4b3a106783/" \o "首页" </w:instrText>
      </w:r>
      <w:r>
        <w:rPr>
          <w:rFonts w:ascii="宋体" w:hAnsi="宋体" w:eastAsia="宋体" w:cs="宋体"/>
          <w:color w:val="333333"/>
          <w:spacing w:val="20"/>
          <w:kern w:val="0"/>
          <w:sz w:val="0"/>
          <w:szCs w:val="0"/>
          <w:u w:val="none"/>
          <w:lang w:val="en-US" w:eastAsia="zh-CN" w:bidi="ar"/>
        </w:rPr>
        <w:fldChar w:fldCharType="separate"/>
      </w:r>
      <w:r>
        <w:rPr>
          <w:rStyle w:val="9"/>
          <w:rFonts w:ascii="宋体" w:hAnsi="宋体" w:eastAsia="宋体" w:cs="宋体"/>
          <w:color w:val="333333"/>
          <w:spacing w:val="20"/>
          <w:sz w:val="0"/>
          <w:szCs w:val="0"/>
          <w:u w:val="none"/>
        </w:rPr>
        <w:t>首页</w:t>
      </w:r>
      <w:r>
        <w:rPr>
          <w:rFonts w:ascii="宋体" w:hAnsi="宋体" w:eastAsia="宋体" w:cs="宋体"/>
          <w:color w:val="333333"/>
          <w:spacing w:val="20"/>
          <w:kern w:val="0"/>
          <w:sz w:val="0"/>
          <w:szCs w:val="0"/>
          <w:u w:val="none"/>
          <w:lang w:val="en-US" w:eastAsia="zh-CN" w:bidi="ar"/>
        </w:rPr>
        <w:fldChar w:fldCharType="end"/>
      </w:r>
      <w:r>
        <w:rPr>
          <w:rFonts w:ascii="宋体" w:hAnsi="宋体" w:eastAsia="宋体" w:cs="宋体"/>
          <w:color w:val="333333"/>
          <w:spacing w:val="20"/>
          <w:kern w:val="0"/>
          <w:sz w:val="0"/>
          <w:szCs w:val="0"/>
          <w:lang w:val="en-US" w:eastAsia="zh-CN" w:bidi="ar"/>
        </w:rPr>
        <w:t>&gt;</w:t>
      </w:r>
      <w:r>
        <w:rPr>
          <w:rFonts w:ascii="宋体" w:hAnsi="宋体" w:eastAsia="宋体" w:cs="宋体"/>
          <w:color w:val="333333"/>
          <w:spacing w:val="20"/>
          <w:kern w:val="0"/>
          <w:sz w:val="0"/>
          <w:szCs w:val="0"/>
          <w:u w:val="none"/>
          <w:lang w:val="en-US" w:eastAsia="zh-CN" w:bidi="ar"/>
        </w:rPr>
        <w:fldChar w:fldCharType="begin"/>
      </w:r>
      <w:r>
        <w:rPr>
          <w:rFonts w:ascii="宋体" w:hAnsi="宋体" w:eastAsia="宋体" w:cs="宋体"/>
          <w:color w:val="333333"/>
          <w:spacing w:val="20"/>
          <w:kern w:val="0"/>
          <w:sz w:val="0"/>
          <w:szCs w:val="0"/>
          <w:u w:val="none"/>
          <w:lang w:val="en-US" w:eastAsia="zh-CN" w:bidi="ar"/>
        </w:rPr>
        <w:instrText xml:space="preserve"> HYPERLINK "https://webvpn.hainanu.edu.cn/https/32393332413339303239333421416369a8df145440b0251e4b3a106783/zwgk/" \o "政务公开" </w:instrText>
      </w:r>
      <w:r>
        <w:rPr>
          <w:rFonts w:ascii="宋体" w:hAnsi="宋体" w:eastAsia="宋体" w:cs="宋体"/>
          <w:color w:val="333333"/>
          <w:spacing w:val="20"/>
          <w:kern w:val="0"/>
          <w:sz w:val="0"/>
          <w:szCs w:val="0"/>
          <w:u w:val="none"/>
          <w:lang w:val="en-US" w:eastAsia="zh-CN" w:bidi="ar"/>
        </w:rPr>
        <w:fldChar w:fldCharType="separate"/>
      </w:r>
      <w:r>
        <w:rPr>
          <w:rStyle w:val="9"/>
          <w:rFonts w:ascii="宋体" w:hAnsi="宋体" w:eastAsia="宋体" w:cs="宋体"/>
          <w:color w:val="333333"/>
          <w:spacing w:val="20"/>
          <w:sz w:val="0"/>
          <w:szCs w:val="0"/>
          <w:u w:val="none"/>
        </w:rPr>
        <w:t>政务公开</w:t>
      </w:r>
      <w:r>
        <w:rPr>
          <w:rFonts w:ascii="宋体" w:hAnsi="宋体" w:eastAsia="宋体" w:cs="宋体"/>
          <w:color w:val="333333"/>
          <w:spacing w:val="20"/>
          <w:kern w:val="0"/>
          <w:sz w:val="0"/>
          <w:szCs w:val="0"/>
          <w:u w:val="none"/>
          <w:lang w:val="en-US" w:eastAsia="zh-CN" w:bidi="ar"/>
        </w:rPr>
        <w:fldChar w:fldCharType="end"/>
      </w:r>
      <w:r>
        <w:rPr>
          <w:rFonts w:ascii="宋体" w:hAnsi="宋体" w:eastAsia="宋体" w:cs="宋体"/>
          <w:color w:val="333333"/>
          <w:spacing w:val="20"/>
          <w:kern w:val="0"/>
          <w:sz w:val="0"/>
          <w:szCs w:val="0"/>
          <w:lang w:val="en-US" w:eastAsia="zh-CN" w:bidi="ar"/>
        </w:rPr>
        <w:t>&gt;</w:t>
      </w:r>
      <w:r>
        <w:rPr>
          <w:rFonts w:ascii="宋体" w:hAnsi="宋体" w:eastAsia="宋体" w:cs="宋体"/>
          <w:color w:val="333333"/>
          <w:spacing w:val="20"/>
          <w:kern w:val="0"/>
          <w:sz w:val="0"/>
          <w:szCs w:val="0"/>
          <w:u w:val="none"/>
          <w:lang w:val="en-US" w:eastAsia="zh-CN" w:bidi="ar"/>
        </w:rPr>
        <w:fldChar w:fldCharType="begin"/>
      </w:r>
      <w:r>
        <w:rPr>
          <w:rFonts w:ascii="宋体" w:hAnsi="宋体" w:eastAsia="宋体" w:cs="宋体"/>
          <w:color w:val="333333"/>
          <w:spacing w:val="20"/>
          <w:kern w:val="0"/>
          <w:sz w:val="0"/>
          <w:szCs w:val="0"/>
          <w:u w:val="none"/>
          <w:lang w:val="en-US" w:eastAsia="zh-CN" w:bidi="ar"/>
        </w:rPr>
        <w:instrText xml:space="preserve"> HYPERLINK "https://webvpn.hainanu.edu.cn/https/32393332413339303239333421416369a8df145440b0251e4b3a106783/zwgk/zfxxgkml/szfwj/" \o "政策文件库" </w:instrText>
      </w:r>
      <w:r>
        <w:rPr>
          <w:rFonts w:ascii="宋体" w:hAnsi="宋体" w:eastAsia="宋体" w:cs="宋体"/>
          <w:color w:val="333333"/>
          <w:spacing w:val="20"/>
          <w:kern w:val="0"/>
          <w:sz w:val="0"/>
          <w:szCs w:val="0"/>
          <w:u w:val="none"/>
          <w:lang w:val="en-US" w:eastAsia="zh-CN" w:bidi="ar"/>
        </w:rPr>
        <w:fldChar w:fldCharType="separate"/>
      </w:r>
      <w:r>
        <w:rPr>
          <w:rStyle w:val="9"/>
          <w:rFonts w:ascii="宋体" w:hAnsi="宋体" w:eastAsia="宋体" w:cs="宋体"/>
          <w:color w:val="333333"/>
          <w:spacing w:val="20"/>
          <w:sz w:val="0"/>
          <w:szCs w:val="0"/>
          <w:u w:val="none"/>
        </w:rPr>
        <w:t>政策文件库</w:t>
      </w:r>
      <w:r>
        <w:rPr>
          <w:rFonts w:ascii="宋体" w:hAnsi="宋体" w:eastAsia="宋体" w:cs="宋体"/>
          <w:color w:val="333333"/>
          <w:spacing w:val="20"/>
          <w:kern w:val="0"/>
          <w:sz w:val="0"/>
          <w:szCs w:val="0"/>
          <w:u w:val="none"/>
          <w:lang w:val="en-US" w:eastAsia="zh-CN" w:bidi="ar"/>
        </w:rPr>
        <w:fldChar w:fldCharType="end"/>
      </w:r>
      <w:r>
        <w:rPr>
          <w:rFonts w:ascii="宋体" w:hAnsi="宋体" w:eastAsia="宋体" w:cs="宋体"/>
          <w:color w:val="333333"/>
          <w:spacing w:val="20"/>
          <w:kern w:val="0"/>
          <w:sz w:val="0"/>
          <w:szCs w:val="0"/>
          <w:lang w:val="en-US" w:eastAsia="zh-CN" w:bidi="ar"/>
        </w:rPr>
        <w:t>&gt;</w:t>
      </w:r>
      <w:r>
        <w:rPr>
          <w:rFonts w:ascii="宋体" w:hAnsi="宋体" w:eastAsia="宋体" w:cs="宋体"/>
          <w:color w:val="333333"/>
          <w:spacing w:val="20"/>
          <w:kern w:val="0"/>
          <w:sz w:val="0"/>
          <w:szCs w:val="0"/>
          <w:u w:val="none"/>
          <w:lang w:val="en-US" w:eastAsia="zh-CN" w:bidi="ar"/>
        </w:rPr>
        <w:fldChar w:fldCharType="begin"/>
      </w:r>
      <w:r>
        <w:rPr>
          <w:rFonts w:ascii="宋体" w:hAnsi="宋体" w:eastAsia="宋体" w:cs="宋体"/>
          <w:color w:val="333333"/>
          <w:spacing w:val="20"/>
          <w:kern w:val="0"/>
          <w:sz w:val="0"/>
          <w:szCs w:val="0"/>
          <w:u w:val="none"/>
          <w:lang w:val="en-US" w:eastAsia="zh-CN" w:bidi="ar"/>
        </w:rPr>
        <w:instrText xml:space="preserve"> HYPERLINK "https://webvpn.hainanu.edu.cn/https/32393332413339303239333421416369a8df145440b0251e4b3a106783/zwgk/zfxxgkml/szfwj/zfgz/" \o "渝府令" </w:instrText>
      </w:r>
      <w:r>
        <w:rPr>
          <w:rFonts w:ascii="宋体" w:hAnsi="宋体" w:eastAsia="宋体" w:cs="宋体"/>
          <w:color w:val="333333"/>
          <w:spacing w:val="20"/>
          <w:kern w:val="0"/>
          <w:sz w:val="0"/>
          <w:szCs w:val="0"/>
          <w:u w:val="none"/>
          <w:lang w:val="en-US" w:eastAsia="zh-CN" w:bidi="ar"/>
        </w:rPr>
        <w:fldChar w:fldCharType="separate"/>
      </w:r>
      <w:r>
        <w:rPr>
          <w:rStyle w:val="9"/>
          <w:rFonts w:ascii="宋体" w:hAnsi="宋体" w:eastAsia="宋体" w:cs="宋体"/>
          <w:color w:val="333333"/>
          <w:spacing w:val="20"/>
          <w:sz w:val="0"/>
          <w:szCs w:val="0"/>
          <w:u w:val="none"/>
        </w:rPr>
        <w:t>渝府令</w:t>
      </w:r>
      <w:r>
        <w:rPr>
          <w:rFonts w:ascii="宋体" w:hAnsi="宋体" w:eastAsia="宋体" w:cs="宋体"/>
          <w:color w:val="333333"/>
          <w:spacing w:val="20"/>
          <w:kern w:val="0"/>
          <w:sz w:val="0"/>
          <w:szCs w:val="0"/>
          <w:u w:val="none"/>
          <w:lang w:val="en-US" w:eastAsia="zh-CN" w:bidi="ar"/>
        </w:rPr>
        <w:fldChar w:fldCharType="end"/>
      </w:r>
    </w:p>
    <w:p w14:paraId="1392F3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【字体：</w:t>
      </w:r>
      <w:r>
        <w:rPr>
          <w:rFonts w:ascii="宋体" w:hAnsi="宋体" w:eastAsia="宋体" w:cs="宋体"/>
          <w:color w:val="333333"/>
          <w:kern w:val="0"/>
          <w:sz w:val="24"/>
          <w:szCs w:val="24"/>
          <w:u w:val="none"/>
          <w:bdr w:val="none" w:color="auto" w:sz="0" w:space="0"/>
          <w:lang w:val="en-US" w:eastAsia="zh-CN" w:bidi="ar"/>
        </w:rPr>
        <w:t>小 大</w:t>
      </w:r>
      <w:r>
        <w:rPr>
          <w:rFonts w:ascii="宋体" w:hAnsi="宋体" w:eastAsia="宋体" w:cs="宋体"/>
          <w:kern w:val="0"/>
          <w:sz w:val="24"/>
          <w:szCs w:val="24"/>
          <w:bdr w:val="none" w:color="auto" w:sz="0" w:space="0"/>
          <w:lang w:val="en-US" w:eastAsia="zh-CN" w:bidi="ar"/>
        </w:rPr>
        <w:t>】</w:t>
      </w:r>
    </w:p>
    <w:p w14:paraId="60F68D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宋体" w:hAnsi="宋体" w:eastAsia="宋体" w:cs="宋体"/>
          <w:kern w:val="0"/>
          <w:sz w:val="24"/>
          <w:szCs w:val="24"/>
          <w:bdr w:val="none" w:color="auto" w:sz="0" w:space="0"/>
          <w:lang w:val="en-US" w:eastAsia="zh-CN" w:bidi="ar"/>
        </w:rPr>
        <w:t>分享到：</w:t>
      </w:r>
    </w:p>
    <w:tbl>
      <w:tblPr>
        <w:tblW w:w="19938" w:type="dxa"/>
        <w:tblInd w:w="0" w:type="dxa"/>
        <w:tblBorders>
          <w:top w:val="single" w:color="DDDDDD" w:sz="8" w:space="0"/>
          <w:left w:val="single" w:color="DDDDDD" w:sz="8" w:space="0"/>
          <w:bottom w:val="single" w:color="DDDDDD" w:sz="8" w:space="0"/>
          <w:right w:val="single" w:color="DDDDDD"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1"/>
        <w:gridCol w:w="8550"/>
        <w:gridCol w:w="1411"/>
        <w:gridCol w:w="3577"/>
        <w:gridCol w:w="1411"/>
        <w:gridCol w:w="3578"/>
      </w:tblGrid>
      <w:tr w14:paraId="5D380F21">
        <w:tc>
          <w:tcPr>
            <w:tcW w:w="1410" w:type="dxa"/>
            <w:tcBorders>
              <w:top w:val="single" w:color="DEDEDE" w:sz="8" w:space="0"/>
              <w:left w:val="single" w:color="DEDEDE" w:sz="8" w:space="0"/>
              <w:bottom w:val="single" w:color="DEDEDE" w:sz="8" w:space="0"/>
              <w:right w:val="single" w:color="DEDEDE" w:sz="8" w:space="0"/>
            </w:tcBorders>
            <w:shd w:val="clear" w:color="auto" w:fill="F2F2F2"/>
            <w:noWrap/>
            <w:vAlign w:val="center"/>
          </w:tcPr>
          <w:p w14:paraId="357F35C4">
            <w:pPr>
              <w:keepNext w:val="0"/>
              <w:keepLines w:val="0"/>
              <w:widowControl/>
              <w:suppressLineNumbers w:val="0"/>
              <w:spacing w:before="0" w:beforeAutospacing="0" w:after="0" w:afterAutospacing="0"/>
              <w:ind w:left="0" w:right="0"/>
              <w:jc w:val="right"/>
              <w:rPr>
                <w:rFonts w:hint="eastAsia" w:ascii="宋体" w:hAnsi="宋体" w:eastAsia="宋体" w:cs="宋体"/>
                <w:sz w:val="24"/>
                <w:szCs w:val="24"/>
              </w:rPr>
            </w:pPr>
            <w:r>
              <w:rPr>
                <w:rFonts w:hint="eastAsia" w:ascii="宋体" w:hAnsi="宋体" w:eastAsia="宋体" w:cs="宋体"/>
                <w:kern w:val="0"/>
                <w:sz w:val="24"/>
                <w:szCs w:val="24"/>
                <w:lang w:val="en-US" w:eastAsia="zh-CN" w:bidi="ar"/>
              </w:rPr>
              <w:t>索引号 ：</w:t>
            </w:r>
          </w:p>
        </w:tc>
        <w:tc>
          <w:tcPr>
            <w:tcW w:w="8541" w:type="dxa"/>
            <w:tcBorders>
              <w:top w:val="single" w:color="DEDEDE" w:sz="8" w:space="0"/>
              <w:left w:val="single" w:color="DEDEDE" w:sz="8" w:space="0"/>
              <w:bottom w:val="single" w:color="DEDEDE" w:sz="8" w:space="0"/>
              <w:right w:val="single" w:color="DEDEDE" w:sz="8" w:space="0"/>
            </w:tcBorders>
            <w:shd w:val="clear"/>
            <w:vAlign w:val="center"/>
          </w:tcPr>
          <w:p w14:paraId="2AF2D3A7">
            <w:pPr>
              <w:keepNext w:val="0"/>
              <w:keepLines w:val="0"/>
              <w:widowControl/>
              <w:suppressLineNumbers w:val="0"/>
              <w:spacing w:before="0" w:beforeAutospacing="0" w:after="0" w:afterAutospacing="0"/>
              <w:ind w:left="0" w:right="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11500000009275780L/2021-00473</w:t>
            </w:r>
          </w:p>
        </w:tc>
        <w:tc>
          <w:tcPr>
            <w:tcW w:w="1410" w:type="dxa"/>
            <w:tcBorders>
              <w:top w:val="single" w:color="DEDEDE" w:sz="8" w:space="0"/>
              <w:left w:val="single" w:color="DEDEDE" w:sz="8" w:space="0"/>
              <w:bottom w:val="single" w:color="DEDEDE" w:sz="8" w:space="0"/>
              <w:right w:val="single" w:color="DEDEDE" w:sz="8" w:space="0"/>
            </w:tcBorders>
            <w:shd w:val="clear" w:color="auto" w:fill="F2F2F2"/>
            <w:noWrap/>
            <w:vAlign w:val="center"/>
          </w:tcPr>
          <w:p w14:paraId="6CAEE2F3">
            <w:pPr>
              <w:keepNext w:val="0"/>
              <w:keepLines w:val="0"/>
              <w:widowControl/>
              <w:suppressLineNumbers w:val="0"/>
              <w:spacing w:before="0" w:beforeAutospacing="0" w:after="0" w:afterAutospacing="0"/>
              <w:ind w:left="0" w:right="0"/>
              <w:jc w:val="righ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主题分类 ：</w:t>
            </w:r>
          </w:p>
        </w:tc>
        <w:tc>
          <w:tcPr>
            <w:tcW w:w="8557" w:type="dxa"/>
            <w:gridSpan w:val="3"/>
            <w:tcBorders>
              <w:top w:val="single" w:color="DEDEDE" w:sz="8" w:space="0"/>
              <w:left w:val="single" w:color="DEDEDE" w:sz="8" w:space="0"/>
              <w:bottom w:val="single" w:color="DEDEDE" w:sz="8" w:space="0"/>
              <w:right w:val="single" w:color="DEDEDE" w:sz="8" w:space="0"/>
            </w:tcBorders>
            <w:shd w:val="clear"/>
            <w:vAlign w:val="center"/>
          </w:tcPr>
          <w:p w14:paraId="2A42BC4B">
            <w:pPr>
              <w:keepNext w:val="0"/>
              <w:keepLines w:val="0"/>
              <w:widowControl/>
              <w:suppressLineNumbers w:val="0"/>
              <w:spacing w:before="0" w:beforeAutospacing="0" w:after="0" w:afterAutospacing="0"/>
              <w:ind w:left="0" w:right="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土地</w:t>
            </w:r>
          </w:p>
        </w:tc>
      </w:tr>
      <w:tr w14:paraId="50E40168">
        <w:tc>
          <w:tcPr>
            <w:tcW w:w="1410" w:type="dxa"/>
            <w:tcBorders>
              <w:top w:val="single" w:color="DEDEDE" w:sz="8" w:space="0"/>
              <w:left w:val="single" w:color="DEDEDE" w:sz="8" w:space="0"/>
              <w:bottom w:val="single" w:color="DEDEDE" w:sz="8" w:space="0"/>
              <w:right w:val="single" w:color="DEDEDE" w:sz="8" w:space="0"/>
            </w:tcBorders>
            <w:shd w:val="clear" w:color="auto" w:fill="F2F2F2"/>
            <w:noWrap/>
            <w:vAlign w:val="center"/>
          </w:tcPr>
          <w:p w14:paraId="525196E2">
            <w:pPr>
              <w:keepNext w:val="0"/>
              <w:keepLines w:val="0"/>
              <w:widowControl/>
              <w:suppressLineNumbers w:val="0"/>
              <w:spacing w:before="0" w:beforeAutospacing="0" w:after="0" w:afterAutospacing="0"/>
              <w:ind w:left="0" w:right="0"/>
              <w:jc w:val="right"/>
              <w:rPr>
                <w:rFonts w:hint="eastAsia" w:ascii="宋体" w:hAnsi="宋体" w:eastAsia="宋体" w:cs="宋体"/>
                <w:sz w:val="24"/>
                <w:szCs w:val="24"/>
              </w:rPr>
            </w:pPr>
            <w:r>
              <w:rPr>
                <w:rFonts w:hint="eastAsia" w:ascii="宋体" w:hAnsi="宋体" w:eastAsia="宋体" w:cs="宋体"/>
                <w:kern w:val="0"/>
                <w:sz w:val="24"/>
                <w:szCs w:val="24"/>
                <w:lang w:val="en-US" w:eastAsia="zh-CN" w:bidi="ar"/>
              </w:rPr>
              <w:t>发布机构 ：</w:t>
            </w:r>
          </w:p>
        </w:tc>
        <w:tc>
          <w:tcPr>
            <w:tcW w:w="8541" w:type="dxa"/>
            <w:tcBorders>
              <w:top w:val="single" w:color="DEDEDE" w:sz="8" w:space="0"/>
              <w:left w:val="single" w:color="DEDEDE" w:sz="8" w:space="0"/>
              <w:bottom w:val="single" w:color="DEDEDE" w:sz="8" w:space="0"/>
              <w:right w:val="single" w:color="DEDEDE" w:sz="8" w:space="0"/>
            </w:tcBorders>
            <w:shd w:val="clear"/>
            <w:vAlign w:val="center"/>
          </w:tcPr>
          <w:p w14:paraId="2818B8BF">
            <w:pPr>
              <w:keepNext w:val="0"/>
              <w:keepLines w:val="0"/>
              <w:widowControl/>
              <w:suppressLineNumbers w:val="0"/>
              <w:spacing w:before="0" w:beforeAutospacing="0" w:after="0" w:afterAutospacing="0"/>
              <w:ind w:left="0" w:right="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市政府</w:t>
            </w:r>
          </w:p>
        </w:tc>
        <w:tc>
          <w:tcPr>
            <w:tcW w:w="1410" w:type="dxa"/>
            <w:tcBorders>
              <w:top w:val="single" w:color="DEDEDE" w:sz="8" w:space="0"/>
              <w:left w:val="single" w:color="DEDEDE" w:sz="8" w:space="0"/>
              <w:bottom w:val="single" w:color="DEDEDE" w:sz="8" w:space="0"/>
              <w:right w:val="single" w:color="DEDEDE" w:sz="8" w:space="0"/>
            </w:tcBorders>
            <w:shd w:val="clear" w:color="auto" w:fill="F2F2F2"/>
            <w:noWrap/>
            <w:vAlign w:val="center"/>
          </w:tcPr>
          <w:p w14:paraId="30C081C3">
            <w:pPr>
              <w:keepNext w:val="0"/>
              <w:keepLines w:val="0"/>
              <w:widowControl/>
              <w:suppressLineNumbers w:val="0"/>
              <w:spacing w:before="0" w:beforeAutospacing="0" w:after="0" w:afterAutospacing="0"/>
              <w:ind w:left="0" w:right="0"/>
              <w:jc w:val="right"/>
              <w:rPr>
                <w:rFonts w:hint="eastAsia" w:ascii="宋体" w:hAnsi="宋体" w:eastAsia="宋体" w:cs="宋体"/>
                <w:sz w:val="24"/>
                <w:szCs w:val="24"/>
              </w:rPr>
            </w:pPr>
            <w:r>
              <w:rPr>
                <w:rFonts w:hint="eastAsia" w:ascii="宋体" w:hAnsi="宋体" w:eastAsia="宋体" w:cs="宋体"/>
                <w:kern w:val="0"/>
                <w:sz w:val="24"/>
                <w:szCs w:val="24"/>
                <w:lang w:val="en-US" w:eastAsia="zh-CN" w:bidi="ar"/>
              </w:rPr>
              <w:t>成文日期 ：</w:t>
            </w:r>
          </w:p>
        </w:tc>
        <w:tc>
          <w:tcPr>
            <w:tcW w:w="3573" w:type="dxa"/>
            <w:tcBorders>
              <w:top w:val="single" w:color="DEDEDE" w:sz="8" w:space="0"/>
              <w:left w:val="single" w:color="DEDEDE" w:sz="8" w:space="0"/>
              <w:bottom w:val="single" w:color="DEDEDE" w:sz="8" w:space="0"/>
              <w:right w:val="single" w:color="DEDEDE" w:sz="8" w:space="0"/>
            </w:tcBorders>
            <w:shd w:val="clear"/>
            <w:vAlign w:val="center"/>
          </w:tcPr>
          <w:p w14:paraId="36EAA4E5">
            <w:pPr>
              <w:keepNext w:val="0"/>
              <w:keepLines w:val="0"/>
              <w:widowControl/>
              <w:suppressLineNumbers w:val="0"/>
              <w:spacing w:before="0" w:beforeAutospacing="0" w:after="0" w:afterAutospacing="0"/>
              <w:ind w:left="0" w:right="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2015-12-25</w:t>
            </w:r>
          </w:p>
        </w:tc>
        <w:tc>
          <w:tcPr>
            <w:tcW w:w="1410" w:type="dxa"/>
            <w:tcBorders>
              <w:top w:val="single" w:color="DEDEDE" w:sz="8" w:space="0"/>
              <w:left w:val="single" w:color="DEDEDE" w:sz="8" w:space="0"/>
              <w:bottom w:val="single" w:color="DEDEDE" w:sz="8" w:space="0"/>
              <w:right w:val="single" w:color="DEDEDE" w:sz="8" w:space="0"/>
            </w:tcBorders>
            <w:shd w:val="clear" w:color="auto" w:fill="F2F2F2"/>
            <w:noWrap/>
            <w:vAlign w:val="center"/>
          </w:tcPr>
          <w:p w14:paraId="07D3D200">
            <w:pPr>
              <w:keepNext w:val="0"/>
              <w:keepLines w:val="0"/>
              <w:widowControl/>
              <w:suppressLineNumbers w:val="0"/>
              <w:spacing w:before="0" w:beforeAutospacing="0" w:after="0" w:afterAutospacing="0"/>
              <w:ind w:left="0" w:right="0"/>
              <w:jc w:val="right"/>
              <w:rPr>
                <w:rFonts w:hint="eastAsia" w:ascii="宋体" w:hAnsi="宋体" w:eastAsia="宋体" w:cs="宋体"/>
                <w:sz w:val="24"/>
                <w:szCs w:val="24"/>
              </w:rPr>
            </w:pPr>
            <w:r>
              <w:rPr>
                <w:rFonts w:hint="eastAsia" w:ascii="宋体" w:hAnsi="宋体" w:eastAsia="宋体" w:cs="宋体"/>
                <w:kern w:val="0"/>
                <w:sz w:val="24"/>
                <w:szCs w:val="24"/>
                <w:lang w:val="en-US" w:eastAsia="zh-CN" w:bidi="ar"/>
              </w:rPr>
              <w:t>发布日期 ：</w:t>
            </w:r>
          </w:p>
        </w:tc>
        <w:tc>
          <w:tcPr>
            <w:tcW w:w="3573" w:type="dxa"/>
            <w:tcBorders>
              <w:top w:val="single" w:color="DEDEDE" w:sz="8" w:space="0"/>
              <w:left w:val="single" w:color="DEDEDE" w:sz="8" w:space="0"/>
              <w:bottom w:val="single" w:color="DEDEDE" w:sz="8" w:space="0"/>
              <w:right w:val="single" w:color="DEDEDE" w:sz="8" w:space="0"/>
            </w:tcBorders>
            <w:shd w:val="clear"/>
            <w:vAlign w:val="center"/>
          </w:tcPr>
          <w:p w14:paraId="5403C7F5">
            <w:pPr>
              <w:keepNext w:val="0"/>
              <w:keepLines w:val="0"/>
              <w:widowControl/>
              <w:suppressLineNumbers w:val="0"/>
              <w:spacing w:before="0" w:beforeAutospacing="0" w:after="0" w:afterAutospacing="0"/>
              <w:ind w:left="0" w:right="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2015-12-25</w:t>
            </w:r>
          </w:p>
        </w:tc>
      </w:tr>
      <w:tr w14:paraId="7F8E737A">
        <w:tc>
          <w:tcPr>
            <w:tcW w:w="0" w:type="auto"/>
            <w:tcBorders>
              <w:top w:val="single" w:color="DEDEDE" w:sz="8" w:space="0"/>
              <w:left w:val="single" w:color="DEDEDE" w:sz="8" w:space="0"/>
              <w:bottom w:val="single" w:color="DEDEDE" w:sz="8" w:space="0"/>
              <w:right w:val="single" w:color="DEDEDE" w:sz="8" w:space="0"/>
            </w:tcBorders>
            <w:shd w:val="clear" w:color="auto" w:fill="F2F2F2"/>
            <w:noWrap/>
            <w:vAlign w:val="center"/>
          </w:tcPr>
          <w:p w14:paraId="35AC8D38">
            <w:pPr>
              <w:keepNext w:val="0"/>
              <w:keepLines w:val="0"/>
              <w:widowControl/>
              <w:suppressLineNumbers w:val="0"/>
              <w:spacing w:before="0" w:beforeAutospacing="0" w:after="0" w:afterAutospacing="0"/>
              <w:ind w:left="0" w:right="0"/>
              <w:jc w:val="right"/>
              <w:rPr>
                <w:rFonts w:hint="eastAsia" w:ascii="宋体" w:hAnsi="宋体" w:eastAsia="宋体" w:cs="宋体"/>
                <w:sz w:val="24"/>
                <w:szCs w:val="24"/>
              </w:rPr>
            </w:pPr>
            <w:r>
              <w:rPr>
                <w:rFonts w:hint="eastAsia" w:ascii="宋体" w:hAnsi="宋体" w:eastAsia="宋体" w:cs="宋体"/>
                <w:kern w:val="0"/>
                <w:sz w:val="24"/>
                <w:szCs w:val="24"/>
                <w:lang w:val="en-US" w:eastAsia="zh-CN" w:bidi="ar"/>
              </w:rPr>
              <w:t>标题 ：</w:t>
            </w:r>
          </w:p>
        </w:tc>
        <w:tc>
          <w:tcPr>
            <w:tcW w:w="0" w:type="auto"/>
            <w:gridSpan w:val="5"/>
            <w:tcBorders>
              <w:top w:val="single" w:color="DEDEDE" w:sz="8" w:space="0"/>
              <w:left w:val="single" w:color="DEDEDE" w:sz="8" w:space="0"/>
              <w:bottom w:val="single" w:color="DEDEDE" w:sz="8" w:space="0"/>
              <w:right w:val="single" w:color="DEDEDE" w:sz="8" w:space="0"/>
            </w:tcBorders>
            <w:shd w:val="clear"/>
            <w:vAlign w:val="center"/>
          </w:tcPr>
          <w:p w14:paraId="23C38D39">
            <w:pPr>
              <w:keepNext w:val="0"/>
              <w:keepLines w:val="0"/>
              <w:widowControl/>
              <w:suppressLineNumbers w:val="0"/>
              <w:spacing w:before="0" w:beforeAutospacing="0" w:after="0" w:afterAutospacing="0"/>
              <w:ind w:left="0" w:right="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重庆市地票管理办法</w:t>
            </w:r>
          </w:p>
        </w:tc>
      </w:tr>
      <w:tr w14:paraId="253D0277">
        <w:tc>
          <w:tcPr>
            <w:tcW w:w="1410" w:type="dxa"/>
            <w:tcBorders>
              <w:top w:val="single" w:color="DEDEDE" w:sz="8" w:space="0"/>
              <w:left w:val="single" w:color="DEDEDE" w:sz="8" w:space="0"/>
              <w:bottom w:val="single" w:color="DEDEDE" w:sz="8" w:space="0"/>
              <w:right w:val="single" w:color="DEDEDE" w:sz="8" w:space="0"/>
            </w:tcBorders>
            <w:shd w:val="clear" w:color="auto" w:fill="F2F2F2"/>
            <w:noWrap/>
            <w:vAlign w:val="center"/>
          </w:tcPr>
          <w:p w14:paraId="432B6F77">
            <w:pPr>
              <w:keepNext w:val="0"/>
              <w:keepLines w:val="0"/>
              <w:widowControl/>
              <w:suppressLineNumbers w:val="0"/>
              <w:spacing w:before="0" w:beforeAutospacing="0" w:after="0" w:afterAutospacing="0"/>
              <w:ind w:left="0" w:right="0"/>
              <w:jc w:val="right"/>
              <w:rPr>
                <w:rFonts w:hint="eastAsia" w:ascii="宋体" w:hAnsi="宋体" w:eastAsia="宋体" w:cs="宋体"/>
                <w:sz w:val="24"/>
                <w:szCs w:val="24"/>
              </w:rPr>
            </w:pPr>
            <w:r>
              <w:rPr>
                <w:rFonts w:hint="eastAsia" w:ascii="宋体" w:hAnsi="宋体" w:eastAsia="宋体" w:cs="宋体"/>
                <w:kern w:val="0"/>
                <w:sz w:val="24"/>
                <w:szCs w:val="24"/>
                <w:lang w:val="en-US" w:eastAsia="zh-CN" w:bidi="ar"/>
              </w:rPr>
              <w:t>发文字号 ：</w:t>
            </w:r>
          </w:p>
        </w:tc>
        <w:tc>
          <w:tcPr>
            <w:tcW w:w="8541" w:type="dxa"/>
            <w:tcBorders>
              <w:top w:val="single" w:color="DEDEDE" w:sz="8" w:space="0"/>
              <w:left w:val="single" w:color="DEDEDE" w:sz="8" w:space="0"/>
              <w:bottom w:val="single" w:color="DEDEDE" w:sz="8" w:space="0"/>
              <w:right w:val="single" w:color="DEDEDE" w:sz="8" w:space="0"/>
            </w:tcBorders>
            <w:shd w:val="clear"/>
            <w:vAlign w:val="center"/>
          </w:tcPr>
          <w:p w14:paraId="4C62D371">
            <w:pPr>
              <w:keepNext w:val="0"/>
              <w:keepLines w:val="0"/>
              <w:widowControl/>
              <w:suppressLineNumbers w:val="0"/>
              <w:spacing w:before="0" w:beforeAutospacing="0" w:after="0" w:afterAutospacing="0"/>
              <w:ind w:left="0" w:right="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渝府令〔2015〕295号</w:t>
            </w:r>
          </w:p>
        </w:tc>
        <w:tc>
          <w:tcPr>
            <w:tcW w:w="1410" w:type="dxa"/>
            <w:tcBorders>
              <w:top w:val="single" w:color="DEDEDE" w:sz="8" w:space="0"/>
              <w:left w:val="single" w:color="DEDEDE" w:sz="8" w:space="0"/>
              <w:bottom w:val="single" w:color="DEDEDE" w:sz="8" w:space="0"/>
              <w:right w:val="single" w:color="DEDEDE" w:sz="8" w:space="0"/>
            </w:tcBorders>
            <w:shd w:val="clear" w:color="auto" w:fill="F2F2F2"/>
            <w:noWrap/>
            <w:vAlign w:val="center"/>
          </w:tcPr>
          <w:p w14:paraId="50A12783">
            <w:pPr>
              <w:keepNext w:val="0"/>
              <w:keepLines w:val="0"/>
              <w:widowControl/>
              <w:suppressLineNumbers w:val="0"/>
              <w:spacing w:before="0" w:beforeAutospacing="0" w:after="0" w:afterAutospacing="0"/>
              <w:ind w:left="0" w:right="0"/>
              <w:jc w:val="right"/>
              <w:rPr>
                <w:rFonts w:hint="eastAsia" w:ascii="宋体" w:hAnsi="宋体" w:eastAsia="宋体" w:cs="宋体"/>
                <w:sz w:val="24"/>
                <w:szCs w:val="24"/>
              </w:rPr>
            </w:pPr>
            <w:r>
              <w:rPr>
                <w:rFonts w:hint="eastAsia" w:ascii="宋体" w:hAnsi="宋体" w:eastAsia="宋体" w:cs="宋体"/>
                <w:kern w:val="0"/>
                <w:sz w:val="24"/>
                <w:szCs w:val="24"/>
                <w:lang w:val="en-US" w:eastAsia="zh-CN" w:bidi="ar"/>
              </w:rPr>
              <w:t>有 效 性 ：</w:t>
            </w:r>
          </w:p>
        </w:tc>
        <w:tc>
          <w:tcPr>
            <w:tcW w:w="8557" w:type="dxa"/>
            <w:gridSpan w:val="3"/>
            <w:tcBorders>
              <w:top w:val="single" w:color="DEDEDE" w:sz="8" w:space="0"/>
              <w:left w:val="single" w:color="DEDEDE" w:sz="8" w:space="0"/>
              <w:bottom w:val="single" w:color="DEDEDE" w:sz="8" w:space="0"/>
              <w:right w:val="single" w:color="DEDEDE" w:sz="8" w:space="0"/>
            </w:tcBorders>
            <w:shd w:val="clear"/>
            <w:vAlign w:val="center"/>
          </w:tcPr>
          <w:p w14:paraId="47635B1E">
            <w:pPr>
              <w:keepNext w:val="0"/>
              <w:keepLines w:val="0"/>
              <w:widowControl/>
              <w:suppressLineNumbers w:val="0"/>
              <w:spacing w:before="0" w:beforeAutospacing="0" w:after="0" w:afterAutospacing="0"/>
              <w:ind w:left="0" w:right="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有效</w:t>
            </w:r>
          </w:p>
        </w:tc>
      </w:tr>
    </w:tbl>
    <w:p w14:paraId="7DA937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ascii="����" w:hAnsi="����" w:eastAsia="����" w:cs="����"/>
          <w:sz w:val="32"/>
          <w:szCs w:val="32"/>
        </w:rPr>
      </w:pPr>
      <w:r>
        <w:rPr>
          <w:rFonts w:hint="eastAsia" w:ascii="宋体" w:hAnsi="宋体" w:eastAsia="宋体" w:cs="宋体"/>
          <w:sz w:val="48"/>
          <w:szCs w:val="48"/>
          <w:bdr w:val="none" w:color="auto" w:sz="0" w:space="0"/>
        </w:rPr>
        <w:t>重庆市人民政府令第 295 号</w:t>
      </w:r>
    </w:p>
    <w:p w14:paraId="6BBA97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Fonts w:hint="eastAsia" w:ascii="宋体" w:hAnsi="宋体" w:eastAsia="宋体" w:cs="宋体"/>
          <w:sz w:val="32"/>
          <w:szCs w:val="32"/>
          <w:bdr w:val="none" w:color="auto" w:sz="0" w:space="0"/>
        </w:rPr>
        <w:br w:type="textWrapping"/>
      </w:r>
      <w:r>
        <w:rPr>
          <w:rFonts w:hint="eastAsia" w:ascii="宋体" w:hAnsi="宋体" w:eastAsia="宋体" w:cs="宋体"/>
          <w:sz w:val="32"/>
          <w:szCs w:val="32"/>
          <w:bdr w:val="none" w:color="auto" w:sz="0" w:space="0"/>
        </w:rPr>
        <w:t>    《重庆市地票管理办法》已经2015年12月3日市人民政府第111次常务会议通过，现予公布，自2016年1月1日起施行。</w:t>
      </w:r>
      <w:r>
        <w:rPr>
          <w:rFonts w:hint="eastAsia" w:ascii="宋体" w:hAnsi="宋体" w:eastAsia="宋体" w:cs="宋体"/>
          <w:sz w:val="32"/>
          <w:szCs w:val="32"/>
          <w:bdr w:val="none" w:color="auto" w:sz="0" w:space="0"/>
        </w:rPr>
        <w:br w:type="textWrapping"/>
      </w:r>
      <w:r>
        <w:rPr>
          <w:rFonts w:hint="eastAsia" w:ascii="宋体" w:hAnsi="宋体" w:eastAsia="宋体" w:cs="宋体"/>
          <w:sz w:val="32"/>
          <w:szCs w:val="32"/>
          <w:bdr w:val="none" w:color="auto" w:sz="0" w:space="0"/>
        </w:rPr>
        <w:t> </w:t>
      </w:r>
    </w:p>
    <w:p w14:paraId="544ED6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right"/>
        <w:rPr>
          <w:rFonts w:hint="default" w:ascii="����" w:hAnsi="����" w:eastAsia="����" w:cs="����"/>
          <w:sz w:val="32"/>
          <w:szCs w:val="32"/>
        </w:rPr>
      </w:pPr>
      <w:r>
        <w:rPr>
          <w:rFonts w:hint="eastAsia" w:ascii="宋体" w:hAnsi="宋体" w:eastAsia="宋体" w:cs="宋体"/>
          <w:sz w:val="32"/>
          <w:szCs w:val="32"/>
          <w:bdr w:val="none" w:color="auto" w:sz="0" w:space="0"/>
        </w:rPr>
        <w:t>市  长  黄奇帆        </w:t>
      </w:r>
    </w:p>
    <w:p w14:paraId="367486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right"/>
        <w:rPr>
          <w:rFonts w:hint="default" w:ascii="����" w:hAnsi="����" w:eastAsia="����" w:cs="����"/>
          <w:sz w:val="32"/>
          <w:szCs w:val="32"/>
        </w:rPr>
      </w:pPr>
      <w:r>
        <w:rPr>
          <w:rFonts w:hint="eastAsia" w:ascii="宋体" w:hAnsi="宋体" w:eastAsia="宋体" w:cs="宋体"/>
          <w:sz w:val="32"/>
          <w:szCs w:val="32"/>
          <w:bdr w:val="none" w:color="auto" w:sz="0" w:space="0"/>
        </w:rPr>
        <w:t>2015年12月25日        </w:t>
      </w:r>
      <w:r>
        <w:rPr>
          <w:rFonts w:hint="eastAsia" w:ascii="宋体" w:hAnsi="宋体" w:eastAsia="宋体" w:cs="宋体"/>
          <w:sz w:val="32"/>
          <w:szCs w:val="32"/>
          <w:bdr w:val="none" w:color="auto" w:sz="0" w:space="0"/>
        </w:rPr>
        <w:br w:type="textWrapping"/>
      </w:r>
      <w:r>
        <w:rPr>
          <w:rFonts w:hint="eastAsia" w:ascii="宋体" w:hAnsi="宋体" w:eastAsia="宋体" w:cs="宋体"/>
          <w:sz w:val="32"/>
          <w:szCs w:val="32"/>
          <w:bdr w:val="none" w:color="auto" w:sz="0" w:space="0"/>
        </w:rPr>
        <w:t> </w:t>
      </w:r>
    </w:p>
    <w:p w14:paraId="5539F6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firstLine="420"/>
        <w:rPr>
          <w:rFonts w:hint="default" w:ascii="����" w:hAnsi="����" w:eastAsia="����" w:cs="����"/>
          <w:sz w:val="32"/>
          <w:szCs w:val="32"/>
        </w:rPr>
      </w:pPr>
      <w:r>
        <w:rPr>
          <w:rFonts w:hint="eastAsia" w:ascii="宋体" w:hAnsi="宋体" w:eastAsia="宋体" w:cs="宋体"/>
          <w:sz w:val="32"/>
          <w:szCs w:val="32"/>
          <w:bdr w:val="none" w:color="auto" w:sz="0" w:space="0"/>
        </w:rPr>
        <w:t>（此件公开发布）   </w:t>
      </w:r>
    </w:p>
    <w:p w14:paraId="0BF3E7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default" w:ascii="����" w:hAnsi="����" w:eastAsia="����" w:cs="����"/>
          <w:sz w:val="32"/>
          <w:szCs w:val="32"/>
          <w:bdr w:val="none" w:color="auto" w:sz="0" w:space="0"/>
        </w:rPr>
        <w:br w:type="textWrapping"/>
      </w:r>
      <w:r>
        <w:rPr>
          <w:rFonts w:hint="default" w:ascii="����" w:hAnsi="����" w:eastAsia="����" w:cs="����"/>
          <w:sz w:val="32"/>
          <w:szCs w:val="32"/>
          <w:bdr w:val="none" w:color="auto" w:sz="0" w:space="0"/>
        </w:rPr>
        <w:br w:type="textWrapping"/>
      </w:r>
      <w:r>
        <w:rPr>
          <w:rFonts w:hint="eastAsia" w:ascii="宋体" w:hAnsi="宋体" w:eastAsia="宋体" w:cs="宋体"/>
          <w:sz w:val="32"/>
          <w:szCs w:val="32"/>
          <w:bdr w:val="none" w:color="auto" w:sz="0" w:space="0"/>
        </w:rPr>
        <w:t>  </w:t>
      </w:r>
    </w:p>
    <w:p w14:paraId="0CDE9F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bookmarkStart w:id="0" w:name="_GoBack"/>
      <w:r>
        <w:rPr>
          <w:rFonts w:hint="eastAsia" w:ascii="宋体" w:hAnsi="宋体" w:eastAsia="宋体" w:cs="宋体"/>
          <w:sz w:val="48"/>
          <w:szCs w:val="48"/>
          <w:bdr w:val="none" w:color="auto" w:sz="0" w:space="0"/>
        </w:rPr>
        <w:t>重庆市地票管理办法</w:t>
      </w:r>
      <w:bookmarkEnd w:id="0"/>
      <w:r>
        <w:rPr>
          <w:rFonts w:hint="eastAsia" w:ascii="宋体" w:hAnsi="宋体" w:eastAsia="宋体" w:cs="宋体"/>
          <w:sz w:val="32"/>
          <w:szCs w:val="32"/>
          <w:bdr w:val="none" w:color="auto" w:sz="0" w:space="0"/>
        </w:rPr>
        <w:br w:type="textWrapping"/>
      </w:r>
      <w:r>
        <w:rPr>
          <w:rFonts w:hint="eastAsia" w:ascii="宋体" w:hAnsi="宋体" w:eastAsia="宋体" w:cs="宋体"/>
          <w:sz w:val="32"/>
          <w:szCs w:val="32"/>
          <w:bdr w:val="none" w:color="auto" w:sz="0" w:space="0"/>
        </w:rPr>
        <w:t> </w:t>
      </w:r>
    </w:p>
    <w:p w14:paraId="6CEB4E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r>
        <w:rPr>
          <w:rFonts w:hint="eastAsia" w:ascii="宋体" w:hAnsi="宋体" w:eastAsia="宋体" w:cs="宋体"/>
          <w:sz w:val="32"/>
          <w:szCs w:val="32"/>
          <w:bdr w:val="none" w:color="auto" w:sz="0" w:space="0"/>
        </w:rPr>
        <w:t>第一章  总    则</w:t>
      </w:r>
    </w:p>
    <w:p w14:paraId="42AFEE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p>
    <w:p w14:paraId="0559B1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第一条</w:t>
      </w:r>
      <w:r>
        <w:rPr>
          <w:rFonts w:hint="eastAsia" w:ascii="宋体" w:hAnsi="宋体" w:eastAsia="宋体" w:cs="宋体"/>
          <w:sz w:val="32"/>
          <w:szCs w:val="32"/>
          <w:bdr w:val="none" w:color="auto" w:sz="0" w:space="0"/>
        </w:rPr>
        <w:t>  为统筹利用城乡土地资源，严格保护耕地，推动土地节约集约利用，维护农民和农村集体经济组织合法权益，促进城乡协调发展，根据《中华人民共和国物权法》《中华人民共和国土地管理法》和有关法律法规，结合我市实际，制定本办法。</w:t>
      </w:r>
    </w:p>
    <w:p w14:paraId="558F8B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第二条</w:t>
      </w:r>
      <w:r>
        <w:rPr>
          <w:rFonts w:hint="eastAsia" w:ascii="宋体" w:hAnsi="宋体" w:eastAsia="宋体" w:cs="宋体"/>
          <w:sz w:val="32"/>
          <w:szCs w:val="32"/>
          <w:bdr w:val="none" w:color="auto" w:sz="0" w:space="0"/>
        </w:rPr>
        <w:t>  本市行政区域内用于地票的建设用地复垦和地票交易、使用适用本办法。</w:t>
      </w:r>
    </w:p>
    <w:p w14:paraId="2B5127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本办法所称地票，是指土地权利人自愿将其建设用地按规定复垦为合格的耕地等农用地后，减少建设用地形成的在重庆农村土地交易所交易的建设用地指标。</w:t>
      </w:r>
    </w:p>
    <w:p w14:paraId="1D2A32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第三条</w:t>
      </w:r>
      <w:r>
        <w:rPr>
          <w:rFonts w:hint="eastAsia" w:ascii="宋体" w:hAnsi="宋体" w:eastAsia="宋体" w:cs="宋体"/>
          <w:sz w:val="32"/>
          <w:szCs w:val="32"/>
          <w:bdr w:val="none" w:color="auto" w:sz="0" w:space="0"/>
        </w:rPr>
        <w:t>  地票管理应当遵循自愿复垦、公开交易、依规使用、收益归农的原则。</w:t>
      </w:r>
    </w:p>
    <w:p w14:paraId="342E7C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第四条</w:t>
      </w:r>
      <w:r>
        <w:rPr>
          <w:rFonts w:hint="eastAsia" w:ascii="宋体" w:hAnsi="宋体" w:eastAsia="宋体" w:cs="宋体"/>
          <w:sz w:val="32"/>
          <w:szCs w:val="32"/>
          <w:bdr w:val="none" w:color="auto" w:sz="0" w:space="0"/>
        </w:rPr>
        <w:t>  国土资源主管部门负责建设用地复垦、地票交易和使用的监督管理工作。</w:t>
      </w:r>
    </w:p>
    <w:p w14:paraId="141912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农业、财政、监察、水利、审计、林业等部门按照职责分工做好相关工作。</w:t>
      </w:r>
    </w:p>
    <w:p w14:paraId="76CFEB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区县（自治县）人民政府负责本行政区域内建设用地复垦及地票使用的组织协调工作。</w:t>
      </w:r>
    </w:p>
    <w:p w14:paraId="7CEF8F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乡镇人民政府、街道办事处负责建设用地复垦相关工作，并对复垦形成的耕地等农用地的管理利用实施监督。</w:t>
      </w:r>
    </w:p>
    <w:p w14:paraId="2FA9CE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p>
    <w:p w14:paraId="1DC1B2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r>
        <w:rPr>
          <w:rFonts w:hint="eastAsia" w:ascii="宋体" w:hAnsi="宋体" w:eastAsia="宋体" w:cs="宋体"/>
          <w:sz w:val="32"/>
          <w:szCs w:val="32"/>
          <w:bdr w:val="none" w:color="auto" w:sz="0" w:space="0"/>
        </w:rPr>
        <w:t>　　第二章  建设用地复垦</w:t>
      </w:r>
    </w:p>
    <w:p w14:paraId="53F147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p>
    <w:p w14:paraId="2F652B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第五条</w:t>
      </w:r>
      <w:r>
        <w:rPr>
          <w:rFonts w:hint="eastAsia" w:ascii="宋体" w:hAnsi="宋体" w:eastAsia="宋体" w:cs="宋体"/>
          <w:sz w:val="32"/>
          <w:szCs w:val="32"/>
          <w:bdr w:val="none" w:color="auto" w:sz="0" w:space="0"/>
        </w:rPr>
        <w:t>  市国土资源主管部门应当根据城镇化发展需要、经济社会发展水平、建设用地复垦周期等因素，科学编制土地整治规划，测算建设用地复垦规模，引导建设用地有序复垦。</w:t>
      </w:r>
    </w:p>
    <w:p w14:paraId="6F20BB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区县（自治县）国土资源主管部门应当根据本行政区域土地权利人复垦意愿，有序组织建设用地复垦，优先支持扶贫搬迁、地质灾害避让搬迁等复垦项目实施。</w:t>
      </w:r>
    </w:p>
    <w:p w14:paraId="7F94E5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第六条</w:t>
      </w:r>
      <w:r>
        <w:rPr>
          <w:rFonts w:hint="eastAsia" w:ascii="宋体" w:hAnsi="宋体" w:eastAsia="宋体" w:cs="宋体"/>
          <w:sz w:val="32"/>
          <w:szCs w:val="32"/>
          <w:bdr w:val="none" w:color="auto" w:sz="0" w:space="0"/>
        </w:rPr>
        <w:t>  建设用地复垦应当以土地利用、产业发展、乡村规划和环境保护等规划为基础，考虑人口流动指数等因素，合理预留农村发展建设用地。</w:t>
      </w:r>
    </w:p>
    <w:p w14:paraId="6E7EFF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第七条</w:t>
      </w:r>
      <w:r>
        <w:rPr>
          <w:rFonts w:hint="eastAsia" w:ascii="宋体" w:hAnsi="宋体" w:eastAsia="宋体" w:cs="宋体"/>
          <w:sz w:val="32"/>
          <w:szCs w:val="32"/>
          <w:bdr w:val="none" w:color="auto" w:sz="0" w:space="0"/>
        </w:rPr>
        <w:t>  申请复垦的土地应当具备以下条件：</w:t>
      </w:r>
    </w:p>
    <w:p w14:paraId="3C9C2D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（一）现状为建设用地，且符合土地利用现状分类；</w:t>
      </w:r>
    </w:p>
    <w:p w14:paraId="777E09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（二）在土地利用总体规划确定的城镇建设用地扩展边界及能源、交通、水利等工程设施用地范围外，符合土地利用规划，具备主要复垦为耕地的条件；</w:t>
      </w:r>
    </w:p>
    <w:p w14:paraId="08D344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（三）权属清晰，具有合法权属证明。</w:t>
      </w:r>
    </w:p>
    <w:p w14:paraId="138161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除前款规定外，申请国有建设用地复垦的，还应当符合国有建设用地复垦的有关规定。</w:t>
      </w:r>
    </w:p>
    <w:p w14:paraId="34C216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第八条</w:t>
      </w:r>
      <w:r>
        <w:rPr>
          <w:rFonts w:hint="eastAsia" w:ascii="宋体" w:hAnsi="宋体" w:eastAsia="宋体" w:cs="宋体"/>
          <w:sz w:val="32"/>
          <w:szCs w:val="32"/>
          <w:bdr w:val="none" w:color="auto" w:sz="0" w:space="0"/>
        </w:rPr>
        <w:t>  有下列情形之一的建设用地，不得复垦用于地票交易：</w:t>
      </w:r>
    </w:p>
    <w:p w14:paraId="3A6476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（一）违法建设用地；</w:t>
      </w:r>
    </w:p>
    <w:p w14:paraId="5149DF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（二）单独的附属设施用地；</w:t>
      </w:r>
    </w:p>
    <w:p w14:paraId="4369AB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（三）2009年1月1日后新批准的建设用地，且房屋权属初始（首次）登记时间未满5年的；</w:t>
      </w:r>
    </w:p>
    <w:p w14:paraId="2C82CD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（四）中国传统村落、历史文化名镇名村或者地名文化遗产保护范围内的建设用地；</w:t>
      </w:r>
    </w:p>
    <w:p w14:paraId="64115E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（五）权利依法受到限制的建设用地；</w:t>
      </w:r>
    </w:p>
    <w:p w14:paraId="06F821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（六）自然灾害发生后，地质状况尚未稳定的建设用地；</w:t>
      </w:r>
    </w:p>
    <w:p w14:paraId="3C5E0F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（七）其他不宜复垦的情形。</w:t>
      </w:r>
    </w:p>
    <w:p w14:paraId="3B13B3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第九条</w:t>
      </w:r>
      <w:r>
        <w:rPr>
          <w:rFonts w:hint="eastAsia" w:ascii="宋体" w:hAnsi="宋体" w:eastAsia="宋体" w:cs="宋体"/>
          <w:sz w:val="32"/>
          <w:szCs w:val="32"/>
          <w:bdr w:val="none" w:color="auto" w:sz="0" w:space="0"/>
        </w:rPr>
        <w:t>  土地权利人是建设用地复垦的主体，包括农户、农村集体经济组织及拥有土地权属的其他主体。宅基地及其附属设施用地复垦，由农户自愿提出申请。申请宅基地复垦的农户应当有其他合法稳定住所。农户的宅基地复垦后，不得新申请宅基地。确因法定情形需新申请宅基地的，应当以有偿方式取得。</w:t>
      </w:r>
    </w:p>
    <w:p w14:paraId="4F83B7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第十条</w:t>
      </w:r>
      <w:r>
        <w:rPr>
          <w:rFonts w:hint="eastAsia" w:ascii="宋体" w:hAnsi="宋体" w:eastAsia="宋体" w:cs="宋体"/>
          <w:sz w:val="32"/>
          <w:szCs w:val="32"/>
          <w:bdr w:val="none" w:color="auto" w:sz="0" w:space="0"/>
        </w:rPr>
        <w:t>  申请复垦农民集体所有的建设用地，土地权利人应当向乡镇人民政府、街道办事处提出；申请复垦国有建设用地，土地权利人应当向土地所在区县（自治县）国土资源主管部门提出。申请时应当提供以下资料：</w:t>
      </w:r>
    </w:p>
    <w:p w14:paraId="36E83E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（一）复垦申请表；</w:t>
      </w:r>
    </w:p>
    <w:p w14:paraId="7ECD35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（二）土地权利人的有效身份证明文件，委托申请的，还需提交委托书和被委托人的身份证明文件；</w:t>
      </w:r>
    </w:p>
    <w:p w14:paraId="006ED3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（三）土地房屋权属证明材料。</w:t>
      </w:r>
    </w:p>
    <w:p w14:paraId="6BA420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除前款规定的资料外，由农户申请复垦的，还应当提供有合法稳定住所的证明材料；由农村集体经济组织申请复垦的，还应当提供经村民会议依法决定同意的书面材料；国有企业或者单位申请复垦的，还应当出具上级主管部门同意复垦的书面材料。</w:t>
      </w:r>
    </w:p>
    <w:p w14:paraId="1AFD46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第十一条</w:t>
      </w:r>
      <w:r>
        <w:rPr>
          <w:rFonts w:hint="eastAsia" w:ascii="宋体" w:hAnsi="宋体" w:eastAsia="宋体" w:cs="宋体"/>
          <w:sz w:val="32"/>
          <w:szCs w:val="32"/>
          <w:bdr w:val="none" w:color="auto" w:sz="0" w:space="0"/>
        </w:rPr>
        <w:t>  乡镇人民政府、街道办事处或者区县（自治县）国土资源主管部门收到申请时，应当告知申请人的权利义务、复垦程序、交易风险、价款分配政策等相关内容。</w:t>
      </w:r>
    </w:p>
    <w:p w14:paraId="4C4865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第十二条</w:t>
      </w:r>
      <w:r>
        <w:rPr>
          <w:rFonts w:hint="eastAsia" w:ascii="宋体" w:hAnsi="宋体" w:eastAsia="宋体" w:cs="宋体"/>
          <w:sz w:val="32"/>
          <w:szCs w:val="32"/>
          <w:bdr w:val="none" w:color="auto" w:sz="0" w:space="0"/>
        </w:rPr>
        <w:t>  乡镇人民政府、街道办事处或者区县（自治县）国土资源主管部门应当自收到全部申请材料之日起15个工作日内完成审查，对符合复垦条件的，应当出具审查通过的书面意见；对不符合条件的，应当书面说明理由，并退还全部申请材料。</w:t>
      </w:r>
    </w:p>
    <w:p w14:paraId="2E8569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乡镇人民政府、街道办事处审查通过复垦申请后，可以向区县（自治县）国土资源主管部门申报复垦项目。同一乡镇（街道）范围内符合复垦条件的户数达到50户及以上的，乡镇人民政府、街道办事处应当向区县（自治县）国土资源主管部门申报复垦项目。</w:t>
      </w:r>
    </w:p>
    <w:p w14:paraId="73BE29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第十三条</w:t>
      </w:r>
      <w:r>
        <w:rPr>
          <w:rFonts w:hint="eastAsia" w:ascii="宋体" w:hAnsi="宋体" w:eastAsia="宋体" w:cs="宋体"/>
          <w:sz w:val="32"/>
          <w:szCs w:val="32"/>
          <w:bdr w:val="none" w:color="auto" w:sz="0" w:space="0"/>
        </w:rPr>
        <w:t>  土地权利人可以自行或者委托他人按照复垦规定组织实施复垦。</w:t>
      </w:r>
    </w:p>
    <w:p w14:paraId="162879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复垦项目地票收益权可以依法向金融机构申请融资。</w:t>
      </w:r>
    </w:p>
    <w:p w14:paraId="5899F0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第十四条</w:t>
      </w:r>
      <w:r>
        <w:rPr>
          <w:rFonts w:hint="eastAsia" w:ascii="宋体" w:hAnsi="宋体" w:eastAsia="宋体" w:cs="宋体"/>
          <w:sz w:val="32"/>
          <w:szCs w:val="32"/>
          <w:bdr w:val="none" w:color="auto" w:sz="0" w:space="0"/>
        </w:rPr>
        <w:t>  建设用地复垦后，形成的农用地应当满足农业生产的条件，土地质量应当达到以下标准：</w:t>
      </w:r>
    </w:p>
    <w:p w14:paraId="05A210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（一）有效土层厚度不低于40厘米，砾石及瓦砾含量不超过15%；</w:t>
      </w:r>
    </w:p>
    <w:p w14:paraId="25A12E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（二）耕地平均台面坡度不超过15度，园地不超过25度；</w:t>
      </w:r>
    </w:p>
    <w:p w14:paraId="717198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（三）生产道路通达，排灌沟渠畅通，与周边农用地集中连片；</w:t>
      </w:r>
    </w:p>
    <w:p w14:paraId="54BABA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（四）田埂、土石坎结构坚实平整。</w:t>
      </w:r>
    </w:p>
    <w:p w14:paraId="65459A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第十五条</w:t>
      </w:r>
      <w:r>
        <w:rPr>
          <w:rFonts w:hint="eastAsia" w:ascii="宋体" w:hAnsi="宋体" w:eastAsia="宋体" w:cs="宋体"/>
          <w:sz w:val="32"/>
          <w:szCs w:val="32"/>
          <w:bdr w:val="none" w:color="auto" w:sz="0" w:space="0"/>
        </w:rPr>
        <w:t>  复垦项目竣工后，区县（自治县）国土资源主管部门应当根据项目规划设计方案和复垦验收标准，组织本级农业、水利等部门和乡镇人民政府、街道办事处进行验收。</w:t>
      </w:r>
    </w:p>
    <w:p w14:paraId="704EEF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验收合格的，区县（自治县）国土资源主管部门应当组织乡镇人民政府、街道办事处将复垦项目实施前后相关信息进行公示，公示时间不少于7日。公示期内利害关系人有异议的，区县（自治县）国土资源主管部门应当会同乡镇人民政府、街道办事处在7日内组织复核；公示期内无异议或者经复核异议消除的，由区县（自治县）国土资源主管部门核发建设用地整理合格证。</w:t>
      </w:r>
    </w:p>
    <w:p w14:paraId="79E0C1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验收不合格的，由区县（自治县）国土资源主管部门责成建设用地复垦的土地权利人限期整改。</w:t>
      </w:r>
    </w:p>
    <w:p w14:paraId="544CD7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第十六条</w:t>
      </w:r>
      <w:r>
        <w:rPr>
          <w:rFonts w:hint="eastAsia" w:ascii="宋体" w:hAnsi="宋体" w:eastAsia="宋体" w:cs="宋体"/>
          <w:sz w:val="32"/>
          <w:szCs w:val="32"/>
          <w:bdr w:val="none" w:color="auto" w:sz="0" w:space="0"/>
        </w:rPr>
        <w:t>  建设用地整理合格证应当记载土地权利人信息，复垦项目新增农用地面积、新增耕地面积及等别、减少的建设用地面积、农村发展留用面积、剩余可使用面积等信息。</w:t>
      </w:r>
    </w:p>
    <w:p w14:paraId="5AE75E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剩余可使用面积是复垦减少的建设用地面积扣除农村发展留用面积之后的面积，是土地权利人用于申请地票交易的面积。</w:t>
      </w:r>
    </w:p>
    <w:p w14:paraId="0B8C9E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第十七条</w:t>
      </w:r>
      <w:r>
        <w:rPr>
          <w:rFonts w:hint="eastAsia" w:ascii="宋体" w:hAnsi="宋体" w:eastAsia="宋体" w:cs="宋体"/>
          <w:sz w:val="32"/>
          <w:szCs w:val="32"/>
          <w:bdr w:val="none" w:color="auto" w:sz="0" w:space="0"/>
        </w:rPr>
        <w:t>  复垦项目建设用地整理合格证核发后，区县（自治县）国土资源主管部门应当向市国土资源主管部门申请复核。</w:t>
      </w:r>
    </w:p>
    <w:p w14:paraId="74AF06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市国土资源主管部门应当及时组织抽查复核。复核合格的，配发建设用地整理合格证备案号；复核不合格的，出具书面整改意见。</w:t>
      </w:r>
    </w:p>
    <w:p w14:paraId="79A05A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第十八条</w:t>
      </w:r>
      <w:r>
        <w:rPr>
          <w:rFonts w:hint="eastAsia" w:ascii="宋体" w:hAnsi="宋体" w:eastAsia="宋体" w:cs="宋体"/>
          <w:sz w:val="32"/>
          <w:szCs w:val="32"/>
          <w:bdr w:val="none" w:color="auto" w:sz="0" w:space="0"/>
        </w:rPr>
        <w:t>  取得建设用地整理合格证备案号后，区县（自治县）国土资源主管部门应当注销复垦地块相关权属证书，并对土地利用现状进行变更登记。</w:t>
      </w:r>
    </w:p>
    <w:p w14:paraId="7F3054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第十九条</w:t>
      </w:r>
      <w:r>
        <w:rPr>
          <w:rFonts w:hint="eastAsia" w:ascii="宋体" w:hAnsi="宋体" w:eastAsia="宋体" w:cs="宋体"/>
          <w:sz w:val="32"/>
          <w:szCs w:val="32"/>
          <w:bdr w:val="none" w:color="auto" w:sz="0" w:space="0"/>
        </w:rPr>
        <w:t>  建设用地复垦为耕地等农用地后，其土地权利人不变。</w:t>
      </w:r>
    </w:p>
    <w:p w14:paraId="056E8E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p>
    <w:p w14:paraId="2AD196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r>
        <w:rPr>
          <w:rFonts w:hint="eastAsia" w:ascii="宋体" w:hAnsi="宋体" w:eastAsia="宋体" w:cs="宋体"/>
          <w:sz w:val="32"/>
          <w:szCs w:val="32"/>
          <w:bdr w:val="none" w:color="auto" w:sz="0" w:space="0"/>
        </w:rPr>
        <w:t>　　第三章  地票交易</w:t>
      </w:r>
    </w:p>
    <w:p w14:paraId="597FC5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p>
    <w:p w14:paraId="555922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第二十条</w:t>
      </w:r>
      <w:r>
        <w:rPr>
          <w:rFonts w:hint="eastAsia" w:ascii="宋体" w:hAnsi="宋体" w:eastAsia="宋体" w:cs="宋体"/>
          <w:sz w:val="32"/>
          <w:szCs w:val="32"/>
          <w:bdr w:val="none" w:color="auto" w:sz="0" w:space="0"/>
        </w:rPr>
        <w:t>  地票交易包括初次交易和转让。</w:t>
      </w:r>
    </w:p>
    <w:p w14:paraId="31891C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取得建设用地整理合格证备案号后，权利人可以申请初次交易；购得地票超过2年，或者因地票质权人行使质权的，权利人可以申请地票转让。</w:t>
      </w:r>
    </w:p>
    <w:p w14:paraId="7A839B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初次交易或者转让完成后，市国土资源主管部门向购得人核发地票证书，记载权利内容。</w:t>
      </w:r>
    </w:p>
    <w:p w14:paraId="6FC645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第二十一条</w:t>
      </w:r>
      <w:r>
        <w:rPr>
          <w:rFonts w:hint="eastAsia" w:ascii="宋体" w:hAnsi="宋体" w:eastAsia="宋体" w:cs="宋体"/>
          <w:sz w:val="32"/>
          <w:szCs w:val="32"/>
          <w:bdr w:val="none" w:color="auto" w:sz="0" w:space="0"/>
        </w:rPr>
        <w:t>  市国土资源主管部门应当制定并公布地票交易最低保护价格。地票交易起始价格不得低于最低保护价格。</w:t>
      </w:r>
    </w:p>
    <w:p w14:paraId="2B9BA5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第二十二条</w:t>
      </w:r>
      <w:r>
        <w:rPr>
          <w:rFonts w:hint="eastAsia" w:ascii="宋体" w:hAnsi="宋体" w:eastAsia="宋体" w:cs="宋体"/>
          <w:sz w:val="32"/>
          <w:szCs w:val="32"/>
          <w:bdr w:val="none" w:color="auto" w:sz="0" w:space="0"/>
        </w:rPr>
        <w:t>  申请出让人申请地票交易应当提交以下资料：</w:t>
      </w:r>
    </w:p>
    <w:p w14:paraId="2EC906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（一）地票交易申请书；</w:t>
      </w:r>
    </w:p>
    <w:p w14:paraId="5F8B9B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（二）已备案配号的建设用地整理合格证或者地票证书；</w:t>
      </w:r>
    </w:p>
    <w:p w14:paraId="2A43F1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（三）需要提交的其他文件。</w:t>
      </w:r>
    </w:p>
    <w:p w14:paraId="511147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重庆农村土地交易所受理申请后，应当即时向申请出让人出具受理回执。</w:t>
      </w:r>
    </w:p>
    <w:p w14:paraId="2D1E4A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第二十三条</w:t>
      </w:r>
      <w:r>
        <w:rPr>
          <w:rFonts w:hint="eastAsia" w:ascii="宋体" w:hAnsi="宋体" w:eastAsia="宋体" w:cs="宋体"/>
          <w:sz w:val="32"/>
          <w:szCs w:val="32"/>
          <w:bdr w:val="none" w:color="auto" w:sz="0" w:space="0"/>
        </w:rPr>
        <w:t>  受理申请出让面积累计达到100公顷及以上，或者受理申请出让最长时间满30日时，重庆农村土地交易所应当在5个工作日内发布交易公告。</w:t>
      </w:r>
    </w:p>
    <w:p w14:paraId="75B23A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重庆农村土地交易所根据市场供需情况，可以在受理申请出让申请后及时发布交易公告。</w:t>
      </w:r>
    </w:p>
    <w:p w14:paraId="629754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第二十四条</w:t>
      </w:r>
      <w:r>
        <w:rPr>
          <w:rFonts w:hint="eastAsia" w:ascii="宋体" w:hAnsi="宋体" w:eastAsia="宋体" w:cs="宋体"/>
          <w:sz w:val="32"/>
          <w:szCs w:val="32"/>
          <w:bdr w:val="none" w:color="auto" w:sz="0" w:space="0"/>
        </w:rPr>
        <w:t>  重庆农村土地交易所应当通过报刊、网站等媒介向社会公开发布地票交易公告，公告交易面积、交易时间、交易起始价、竞买保证金及交易规则等信息。地票交易公告时间不得少于7日。公告期满即可组织地票交易。</w:t>
      </w:r>
    </w:p>
    <w:p w14:paraId="281B08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第二十五条</w:t>
      </w:r>
      <w:r>
        <w:rPr>
          <w:rFonts w:hint="eastAsia" w:ascii="宋体" w:hAnsi="宋体" w:eastAsia="宋体" w:cs="宋体"/>
          <w:sz w:val="32"/>
          <w:szCs w:val="32"/>
          <w:bdr w:val="none" w:color="auto" w:sz="0" w:space="0"/>
        </w:rPr>
        <w:t>  申请购买人可以单独申请购买地票，也可以联合申请购买地票。申请购买时应当向重庆农村土地交易所缴清保证金，并提交以下资料：</w:t>
      </w:r>
    </w:p>
    <w:p w14:paraId="1B966B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（一）申请购买文件；</w:t>
      </w:r>
    </w:p>
    <w:p w14:paraId="26B1F3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（二）申请购买人有效身份证明文件；</w:t>
      </w:r>
    </w:p>
    <w:p w14:paraId="3E850D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（三）需要提交的其他材料。</w:t>
      </w:r>
    </w:p>
    <w:p w14:paraId="31E427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重庆农村土地交易所应当向申请购买人提供规范格式的申请购买文件。</w:t>
      </w:r>
    </w:p>
    <w:p w14:paraId="15A8D0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第二十六条</w:t>
      </w:r>
      <w:r>
        <w:rPr>
          <w:rFonts w:hint="eastAsia" w:ascii="宋体" w:hAnsi="宋体" w:eastAsia="宋体" w:cs="宋体"/>
          <w:sz w:val="32"/>
          <w:szCs w:val="32"/>
          <w:bdr w:val="none" w:color="auto" w:sz="0" w:space="0"/>
        </w:rPr>
        <w:t>  地票交易采取挂牌或者拍卖方式进行。地票交易公告时间截止时，申购总面积大于可交易地票总面积的，采取拍卖方式交易；申购总面积小于或者等于可交易地票总面积的，采取挂牌方式交易。</w:t>
      </w:r>
    </w:p>
    <w:p w14:paraId="3169B6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采取拍卖方式交易的，由重庆农村土地交易所及时将拍卖时间、地点、方式等通知申请购买人，并依法组织拍卖。</w:t>
      </w:r>
    </w:p>
    <w:p w14:paraId="736B37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采取挂牌方式交易的，按照交易起始价成交；以公告先后为序，依序确认成交的地票。未成交部分继续公开交易。</w:t>
      </w:r>
    </w:p>
    <w:p w14:paraId="1C637E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第二十七条</w:t>
      </w:r>
      <w:r>
        <w:rPr>
          <w:rFonts w:hint="eastAsia" w:ascii="宋体" w:hAnsi="宋体" w:eastAsia="宋体" w:cs="宋体"/>
          <w:sz w:val="32"/>
          <w:szCs w:val="32"/>
          <w:bdr w:val="none" w:color="auto" w:sz="0" w:space="0"/>
        </w:rPr>
        <w:t>  地票成交后，购得人应当签订成交确认书，并在30日内缴清地票价款和交易服务费。</w:t>
      </w:r>
    </w:p>
    <w:p w14:paraId="37CCDC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购得人未在前款规定时间内缴清地票价款的，按放弃购得地票处理，已缴纳的保证金不予退还，相应数量的地票纳入下一次交易。</w:t>
      </w:r>
    </w:p>
    <w:p w14:paraId="580534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未购得地票的申请购买人已缴纳的保证金，应当在交易活动结束后5个工作日内予以退还。</w:t>
      </w:r>
    </w:p>
    <w:p w14:paraId="4A5CB1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第二十八条</w:t>
      </w:r>
      <w:r>
        <w:rPr>
          <w:rFonts w:hint="eastAsia" w:ascii="宋体" w:hAnsi="宋体" w:eastAsia="宋体" w:cs="宋体"/>
          <w:sz w:val="32"/>
          <w:szCs w:val="32"/>
          <w:bdr w:val="none" w:color="auto" w:sz="0" w:space="0"/>
        </w:rPr>
        <w:t>  地票成交总价为同一批次公告的地票在各交易日成交的地票价款之和。</w:t>
      </w:r>
    </w:p>
    <w:p w14:paraId="64535A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同一批次公告的地票，其成交均价是向该批次地票的相关申请出让人结算、拨付价款的依据。</w:t>
      </w:r>
    </w:p>
    <w:p w14:paraId="671567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第二十九条</w:t>
      </w:r>
      <w:r>
        <w:rPr>
          <w:rFonts w:hint="eastAsia" w:ascii="宋体" w:hAnsi="宋体" w:eastAsia="宋体" w:cs="宋体"/>
          <w:sz w:val="32"/>
          <w:szCs w:val="32"/>
          <w:bdr w:val="none" w:color="auto" w:sz="0" w:space="0"/>
        </w:rPr>
        <w:t>  地票初次交易的，重庆农村土地交易所在地票价款中按规定扣除建设用地复垦成本后的地票净收益，按照下列原则支付给权利人：</w:t>
      </w:r>
    </w:p>
    <w:p w14:paraId="45D05E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一）农村宅基地及其附属设施用地复垦的，单户交易总面积未超过667平方米的部分，地票净收益的85%归宅基地使用权人，15%归农村集体经济组织；超过667平方米部分对应的地票净收益全部归农村集体经济组织。但是，单户复垦交易的宅基地证载面积已超过667平方米的，宅基地证载面积部分对应收益的85%归宅基地使用权人，15%归农村集体经济组织，其附属设施用地对应的地票净收益全部归农村集体经济组织。</w:t>
      </w:r>
    </w:p>
    <w:p w14:paraId="6C145F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（二）农村集体经济组织公共设施、公益事业等建设用地复垦的，地票净收益全部归农村集体经济组织。</w:t>
      </w:r>
    </w:p>
    <w:p w14:paraId="31E8FF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（三）其他集体建设用地复垦的，根据土地使用权人和所有权人的约定支付，其中农村集体经济组织作为所有权人分得地票净收益不低于15%。</w:t>
      </w:r>
    </w:p>
    <w:p w14:paraId="6B11AF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（四）国有建设用地复垦的，地票净收益归土地使用权人。市人民政府另有规定的，从其规定。</w:t>
      </w:r>
    </w:p>
    <w:p w14:paraId="17AAC7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本办法实施前已签订复垦协议、但尚未交易的复垦项目，复垦协议确定的农户收益大于前款规定的，按原复垦协议执行。</w:t>
      </w:r>
    </w:p>
    <w:p w14:paraId="6A70CF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第三十条</w:t>
      </w:r>
      <w:r>
        <w:rPr>
          <w:rFonts w:hint="eastAsia" w:ascii="宋体" w:hAnsi="宋体" w:eastAsia="宋体" w:cs="宋体"/>
          <w:sz w:val="32"/>
          <w:szCs w:val="32"/>
          <w:bdr w:val="none" w:color="auto" w:sz="0" w:space="0"/>
        </w:rPr>
        <w:t>  地票转让交易的，所得地票价款全部归转让人。</w:t>
      </w:r>
    </w:p>
    <w:p w14:paraId="3310E5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第三十一条</w:t>
      </w:r>
      <w:r>
        <w:rPr>
          <w:rFonts w:hint="eastAsia" w:ascii="宋体" w:hAnsi="宋体" w:eastAsia="宋体" w:cs="宋体"/>
          <w:sz w:val="32"/>
          <w:szCs w:val="32"/>
          <w:bdr w:val="none" w:color="auto" w:sz="0" w:space="0"/>
        </w:rPr>
        <w:t>  重庆农村土地交易所应当于同一批次公告地票全部成交并收齐价款后5个工作日内，在门户网站公布成交结果，并将成交时间、成交面积、成交总价、成交均价等信息通知地票申请出让人。地票初次交易的，还应当公示地票净收益的支付明细、复垦成本等信息，并委托区县（自治县）国土资源主管部门同步在复垦项目所在地村务信息公开栏等人口集中处组织公示，公示期不得少于7日。</w:t>
      </w:r>
    </w:p>
    <w:p w14:paraId="7400C1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公示期内有异议的，重庆农村土地交易所应当在7个工作日内进行复核。公示期内无异议或者复核后异议消除的，应当在公示期满或者异议消除后5个工作日内拨付地票价款。</w:t>
      </w:r>
    </w:p>
    <w:p w14:paraId="5B916F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地票转让交易的，重庆农村土地交易所应当在地票购得人缴清地票价款5个工作日内，向转让人结清地票价款。</w:t>
      </w:r>
    </w:p>
    <w:p w14:paraId="3BE9FA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第三十二条</w:t>
      </w:r>
      <w:r>
        <w:rPr>
          <w:rFonts w:hint="eastAsia" w:ascii="宋体" w:hAnsi="宋体" w:eastAsia="宋体" w:cs="宋体"/>
          <w:sz w:val="32"/>
          <w:szCs w:val="32"/>
          <w:bdr w:val="none" w:color="auto" w:sz="0" w:space="0"/>
        </w:rPr>
        <w:t>  农村集体经济组织取得的地票价款，依照农村集体资产管理的有关规定使用和管理。</w:t>
      </w:r>
    </w:p>
    <w:p w14:paraId="24DD2D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r>
        <w:rPr>
          <w:rFonts w:hint="eastAsia" w:ascii="宋体" w:hAnsi="宋体" w:eastAsia="宋体" w:cs="宋体"/>
          <w:sz w:val="32"/>
          <w:szCs w:val="32"/>
          <w:bdr w:val="none" w:color="auto" w:sz="0" w:space="0"/>
        </w:rPr>
        <w:t>　</w:t>
      </w:r>
    </w:p>
    <w:p w14:paraId="547703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r>
        <w:rPr>
          <w:rFonts w:hint="eastAsia" w:ascii="宋体" w:hAnsi="宋体" w:eastAsia="宋体" w:cs="宋体"/>
          <w:sz w:val="32"/>
          <w:szCs w:val="32"/>
          <w:bdr w:val="none" w:color="auto" w:sz="0" w:space="0"/>
        </w:rPr>
        <w:t>　第四章  地票使用</w:t>
      </w:r>
    </w:p>
    <w:p w14:paraId="65BD3F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p>
    <w:p w14:paraId="3FAE36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第三十三条</w:t>
      </w:r>
      <w:r>
        <w:rPr>
          <w:rFonts w:hint="eastAsia" w:ascii="宋体" w:hAnsi="宋体" w:eastAsia="宋体" w:cs="宋体"/>
          <w:sz w:val="32"/>
          <w:szCs w:val="32"/>
          <w:bdr w:val="none" w:color="auto" w:sz="0" w:space="0"/>
        </w:rPr>
        <w:t>  新增经营性建设用地（含商业、旅游、娱乐、商品住宅等用地）办理农用地转用手续的，应当使用地票。其他新增建设用地可以使用地票办理农用地转用手续。</w:t>
      </w:r>
    </w:p>
    <w:p w14:paraId="5E7B3D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市人民政府可以根据社会经济发展需要，对应当使用地票的用地类型进行调整。</w:t>
      </w:r>
    </w:p>
    <w:p w14:paraId="41BD5B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第三十四条</w:t>
      </w:r>
      <w:r>
        <w:rPr>
          <w:rFonts w:hint="eastAsia" w:ascii="宋体" w:hAnsi="宋体" w:eastAsia="宋体" w:cs="宋体"/>
          <w:sz w:val="32"/>
          <w:szCs w:val="32"/>
          <w:bdr w:val="none" w:color="auto" w:sz="0" w:space="0"/>
        </w:rPr>
        <w:t>  在全市城乡建设用地规划规模不增加、耕地保有量目标不减少的前提下，地票可以在土地利用总体规划确定的有条件建设区内使用。具体使用规则由市国土资源主管部门制定。</w:t>
      </w:r>
    </w:p>
    <w:p w14:paraId="1ED2D1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第三十五条</w:t>
      </w:r>
      <w:r>
        <w:rPr>
          <w:rFonts w:hint="eastAsia" w:ascii="宋体" w:hAnsi="宋体" w:eastAsia="宋体" w:cs="宋体"/>
          <w:sz w:val="32"/>
          <w:szCs w:val="32"/>
          <w:bdr w:val="none" w:color="auto" w:sz="0" w:space="0"/>
        </w:rPr>
        <w:t>  自本办法实施后尚未供应的经营性建设用地，属于2009年1月1日后使用新增建设用地计划指标办理用地手续的，应当在土地出让时补充使用地票。未补充使用地票的，市、区县（自治县）国土资源主管部门不得出让土地。</w:t>
      </w:r>
    </w:p>
    <w:p w14:paraId="47255A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第三十六条</w:t>
      </w:r>
      <w:r>
        <w:rPr>
          <w:rFonts w:hint="eastAsia" w:ascii="宋体" w:hAnsi="宋体" w:eastAsia="宋体" w:cs="宋体"/>
          <w:sz w:val="32"/>
          <w:szCs w:val="32"/>
          <w:bdr w:val="none" w:color="auto" w:sz="0" w:space="0"/>
        </w:rPr>
        <w:t>  使用地票办理农用地转用手续的，不缴纳耕地开垦费和新增建设用地土地有偿使用费。</w:t>
      </w:r>
    </w:p>
    <w:p w14:paraId="149003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地票取得成本可以计入土地出让成本。地票取得成本包括地票成交价款、缴纳的税费、财务成本等。</w:t>
      </w:r>
    </w:p>
    <w:p w14:paraId="37ACD3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第三十七条</w:t>
      </w:r>
      <w:r>
        <w:rPr>
          <w:rFonts w:hint="eastAsia" w:ascii="宋体" w:hAnsi="宋体" w:eastAsia="宋体" w:cs="宋体"/>
          <w:sz w:val="32"/>
          <w:szCs w:val="32"/>
          <w:bdr w:val="none" w:color="auto" w:sz="0" w:space="0"/>
        </w:rPr>
        <w:t>  本办法第三十三条、第三十五条规定的建设用地位于主城九区以外区域的，实行差异化使用地票政策。市人民政府可以根据社会经济发展需要，对差异化使用地票政策进行调整。</w:t>
      </w:r>
    </w:p>
    <w:p w14:paraId="1DC117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第三十八条</w:t>
      </w:r>
      <w:r>
        <w:rPr>
          <w:rFonts w:hint="eastAsia" w:ascii="宋体" w:hAnsi="宋体" w:eastAsia="宋体" w:cs="宋体"/>
          <w:sz w:val="32"/>
          <w:szCs w:val="32"/>
          <w:bdr w:val="none" w:color="auto" w:sz="0" w:space="0"/>
        </w:rPr>
        <w:t>  地票证书权利人可以一次性使用或者分割使用地票。</w:t>
      </w:r>
    </w:p>
    <w:p w14:paraId="27DAEC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地票可以质押。</w:t>
      </w:r>
    </w:p>
    <w:p w14:paraId="2C8C84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使用地票时，应当提供地票证书原件，市国土资源主管部门在地票证书上记载地票使用信息。</w:t>
      </w:r>
    </w:p>
    <w:p w14:paraId="12B12E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第三十九条</w:t>
      </w:r>
      <w:r>
        <w:rPr>
          <w:rFonts w:hint="eastAsia" w:ascii="宋体" w:hAnsi="宋体" w:eastAsia="宋体" w:cs="宋体"/>
          <w:sz w:val="32"/>
          <w:szCs w:val="32"/>
          <w:bdr w:val="none" w:color="auto" w:sz="0" w:space="0"/>
        </w:rPr>
        <w:t>  地票证书记载的地票面积全部使用完后，国土资源主管部门予以注销。</w:t>
      </w:r>
    </w:p>
    <w:p w14:paraId="086AFA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地票证书灭失、遗失的，地票权利人应当在指定媒体上刊登灭失、遗失声明，声明期满30日后可以向原发证机关申请补发。补发的地票证书应当注明“补发”字样。</w:t>
      </w:r>
    </w:p>
    <w:p w14:paraId="5121F3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r>
        <w:rPr>
          <w:rFonts w:hint="eastAsia" w:ascii="宋体" w:hAnsi="宋体" w:eastAsia="宋体" w:cs="宋体"/>
          <w:sz w:val="32"/>
          <w:szCs w:val="32"/>
          <w:bdr w:val="none" w:color="auto" w:sz="0" w:space="0"/>
        </w:rPr>
        <w:t>　</w:t>
      </w:r>
    </w:p>
    <w:p w14:paraId="749BD7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r>
        <w:rPr>
          <w:rFonts w:hint="eastAsia" w:ascii="宋体" w:hAnsi="宋体" w:eastAsia="宋体" w:cs="宋体"/>
          <w:sz w:val="32"/>
          <w:szCs w:val="32"/>
          <w:bdr w:val="none" w:color="auto" w:sz="0" w:space="0"/>
        </w:rPr>
        <w:t>　第五章  法律责任</w:t>
      </w:r>
    </w:p>
    <w:p w14:paraId="50AC42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p>
    <w:p w14:paraId="337859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第四十条</w:t>
      </w:r>
      <w:r>
        <w:rPr>
          <w:rFonts w:hint="eastAsia" w:ascii="宋体" w:hAnsi="宋体" w:eastAsia="宋体" w:cs="宋体"/>
          <w:sz w:val="32"/>
          <w:szCs w:val="32"/>
          <w:bdr w:val="none" w:color="auto" w:sz="0" w:space="0"/>
        </w:rPr>
        <w:t>  区县（自治县）人民政府、乡镇人民政府、街道办事处和国土资源、农业等部门以及重庆农村土地交易所违反本办法规定，无正当理由不履行本办法规定职责的，由有权机关依法责令其改正；逾期未改或者造成严重后果的，由有权机关对其主要负责人或者直接责任人依法给予处分。</w:t>
      </w:r>
    </w:p>
    <w:p w14:paraId="341BCF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第四十一条</w:t>
      </w:r>
      <w:r>
        <w:rPr>
          <w:rFonts w:hint="eastAsia" w:ascii="宋体" w:hAnsi="宋体" w:eastAsia="宋体" w:cs="宋体"/>
          <w:sz w:val="32"/>
          <w:szCs w:val="32"/>
          <w:bdr w:val="none" w:color="auto" w:sz="0" w:space="0"/>
        </w:rPr>
        <w:t>  违反本办法规定，相关工作人员在建设用地复垦、地票交易和使用中有下列行为之一的，由有权机关依法给予处分：</w:t>
      </w:r>
    </w:p>
    <w:p w14:paraId="3151FA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（一）违背土地权利人意愿强制复垦的；</w:t>
      </w:r>
    </w:p>
    <w:p w14:paraId="7B5AF7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（二）侵占土地权利人应得地票收益的；</w:t>
      </w:r>
    </w:p>
    <w:p w14:paraId="3635A1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（三）复垦中弄虚作假，骗取地票价款的；</w:t>
      </w:r>
    </w:p>
    <w:p w14:paraId="40DB2F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（四）对应当使用地票的用地未要求提供地票的；</w:t>
      </w:r>
    </w:p>
    <w:p w14:paraId="7965D1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（五）有其他滥用职权、玩忽职守、营私舞弊行为的。</w:t>
      </w:r>
    </w:p>
    <w:p w14:paraId="77CE24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第四十二条</w:t>
      </w:r>
      <w:r>
        <w:rPr>
          <w:rFonts w:hint="eastAsia" w:ascii="宋体" w:hAnsi="宋体" w:eastAsia="宋体" w:cs="宋体"/>
          <w:sz w:val="32"/>
          <w:szCs w:val="32"/>
          <w:bdr w:val="none" w:color="auto" w:sz="0" w:space="0"/>
        </w:rPr>
        <w:t>  地票交易主体有下列行为的，除依法承担相应的法律责任外，一年内不得参加地票交易活动：</w:t>
      </w:r>
    </w:p>
    <w:p w14:paraId="6186D0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（一）弄虚作假或者提供虚假文件进行交易的；</w:t>
      </w:r>
    </w:p>
    <w:p w14:paraId="6A1DE9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（二）无正当理由不按照要求签订地票交易成交确认书的；</w:t>
      </w:r>
    </w:p>
    <w:p w14:paraId="529294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（三）无正当理由拒绝履行确认书规定义务的；</w:t>
      </w:r>
    </w:p>
    <w:p w14:paraId="41F8CE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（四）影响公平交易和市场管理的其他行为。</w:t>
      </w:r>
    </w:p>
    <w:p w14:paraId="71444C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p>
    <w:p w14:paraId="5BF952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r>
        <w:rPr>
          <w:rFonts w:hint="eastAsia" w:ascii="宋体" w:hAnsi="宋体" w:eastAsia="宋体" w:cs="宋体"/>
          <w:sz w:val="32"/>
          <w:szCs w:val="32"/>
          <w:bdr w:val="none" w:color="auto" w:sz="0" w:space="0"/>
        </w:rPr>
        <w:t>　　第六章  附    则</w:t>
      </w:r>
    </w:p>
    <w:p w14:paraId="5A2599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jc w:val="center"/>
        <w:rPr>
          <w:rFonts w:hint="default" w:ascii="����" w:hAnsi="����" w:eastAsia="����" w:cs="����"/>
          <w:sz w:val="32"/>
          <w:szCs w:val="32"/>
        </w:rPr>
      </w:pPr>
    </w:p>
    <w:p w14:paraId="4EBADA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r>
        <w:rPr>
          <w:rFonts w:hint="eastAsia" w:ascii="宋体" w:hAnsi="宋体" w:eastAsia="宋体" w:cs="宋体"/>
          <w:sz w:val="32"/>
          <w:szCs w:val="32"/>
          <w:bdr w:val="none" w:color="auto" w:sz="0" w:space="0"/>
        </w:rPr>
        <w:t>　　</w:t>
      </w:r>
      <w:r>
        <w:rPr>
          <w:rStyle w:val="7"/>
          <w:rFonts w:hint="eastAsia" w:ascii="宋体" w:hAnsi="宋体" w:eastAsia="宋体" w:cs="宋体"/>
          <w:sz w:val="32"/>
          <w:szCs w:val="32"/>
          <w:bdr w:val="none" w:color="auto" w:sz="0" w:space="0"/>
        </w:rPr>
        <w:t>第四十三条</w:t>
      </w:r>
      <w:r>
        <w:rPr>
          <w:rFonts w:hint="eastAsia" w:ascii="宋体" w:hAnsi="宋体" w:eastAsia="宋体" w:cs="宋体"/>
          <w:sz w:val="32"/>
          <w:szCs w:val="32"/>
          <w:bdr w:val="none" w:color="auto" w:sz="0" w:space="0"/>
        </w:rPr>
        <w:t>  本办法自2016年1月1日起施行。</w:t>
      </w:r>
    </w:p>
    <w:p w14:paraId="6FCCB1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68" w:lineRule="atLeast"/>
        <w:ind w:left="0" w:right="0"/>
        <w:rPr>
          <w:rFonts w:hint="default" w:ascii="����" w:hAnsi="����" w:eastAsia="����" w:cs="����"/>
          <w:sz w:val="32"/>
          <w:szCs w:val="32"/>
        </w:rPr>
      </w:pPr>
    </w:p>
    <w:p w14:paraId="5410F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00" w:beforeAutospacing="0" w:after="300" w:afterAutospacing="0" w:line="920" w:lineRule="atLeast"/>
        <w:ind w:left="0" w:right="0"/>
        <w:jc w:val="center"/>
        <w:rPr>
          <w:i w:val="0"/>
          <w:iCs w:val="0"/>
          <w:caps w:val="0"/>
          <w:color w:val="000000"/>
          <w:spacing w:val="0"/>
          <w:sz w:val="76"/>
          <w:szCs w:val="76"/>
          <w:u w:val="none"/>
          <w:bdr w:val="none" w:color="auto" w:sz="0" w:space="0"/>
        </w:rPr>
      </w:pPr>
    </w:p>
    <w:p w14:paraId="74C1B8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00" w:beforeAutospacing="0" w:after="300" w:afterAutospacing="0" w:line="920" w:lineRule="atLeast"/>
        <w:ind w:left="0" w:right="0"/>
        <w:jc w:val="center"/>
        <w:rPr>
          <w:i w:val="0"/>
          <w:iCs w:val="0"/>
          <w:caps w:val="0"/>
          <w:color w:val="000000"/>
          <w:spacing w:val="0"/>
          <w:sz w:val="76"/>
          <w:szCs w:val="76"/>
          <w:u w:val="none"/>
          <w:bdr w:val="none" w:color="auto" w:sz="0" w:space="0"/>
        </w:rPr>
      </w:pPr>
    </w:p>
    <w:p w14:paraId="5D5B69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700" w:beforeAutospacing="0" w:after="300" w:afterAutospacing="0" w:line="920" w:lineRule="atLeast"/>
        <w:ind w:left="0" w:right="0"/>
        <w:jc w:val="center"/>
        <w:rPr>
          <w:sz w:val="76"/>
          <w:szCs w:val="76"/>
        </w:rPr>
      </w:pPr>
      <w:r>
        <w:rPr>
          <w:i w:val="0"/>
          <w:iCs w:val="0"/>
          <w:caps w:val="0"/>
          <w:color w:val="000000"/>
          <w:spacing w:val="0"/>
          <w:sz w:val="76"/>
          <w:szCs w:val="76"/>
          <w:u w:val="none"/>
          <w:bdr w:val="none" w:color="auto" w:sz="0" w:space="0"/>
        </w:rPr>
        <w:t>36.9万亩、724.42亿元 重庆土交所推动地票交易量质齐升</w:t>
      </w:r>
    </w:p>
    <w:p w14:paraId="12E8508D">
      <w:pPr>
        <w:keepNext w:val="0"/>
        <w:keepLines w:val="0"/>
        <w:widowControl/>
        <w:suppressLineNumbers w:val="0"/>
        <w:spacing w:before="1220" w:beforeAutospacing="0" w:after="0" w:afterAutospacing="0"/>
        <w:ind w:left="0" w:right="0" w:firstLine="0"/>
        <w:jc w:val="center"/>
        <w:rPr>
          <w:rFonts w:hint="default" w:ascii="微软雅黑" w:hAnsi="微软雅黑" w:eastAsia="微软雅黑" w:cs="微软雅黑"/>
          <w:i w:val="0"/>
          <w:iCs w:val="0"/>
          <w:caps w:val="0"/>
          <w:color w:val="666666"/>
          <w:spacing w:val="0"/>
          <w:sz w:val="32"/>
          <w:szCs w:val="32"/>
          <w:u w:val="none"/>
        </w:rPr>
      </w:pPr>
      <w:r>
        <w:rPr>
          <w:rFonts w:hint="default" w:ascii="微软雅黑" w:hAnsi="微软雅黑" w:eastAsia="微软雅黑" w:cs="微软雅黑"/>
          <w:i w:val="0"/>
          <w:iCs w:val="0"/>
          <w:caps w:val="0"/>
          <w:color w:val="666666"/>
          <w:spacing w:val="0"/>
          <w:kern w:val="0"/>
          <w:sz w:val="32"/>
          <w:szCs w:val="32"/>
          <w:u w:val="none"/>
          <w:lang w:val="en-US" w:eastAsia="zh-CN" w:bidi="ar"/>
        </w:rPr>
        <w:t>2023年02月21日15:58 | </w:t>
      </w:r>
    </w:p>
    <w:p w14:paraId="42D412EE">
      <w:pPr>
        <w:keepNext w:val="0"/>
        <w:keepLines w:val="0"/>
        <w:widowControl/>
        <w:suppressLineNumbers w:val="0"/>
        <w:spacing w:before="1220" w:beforeAutospacing="0" w:after="0" w:afterAutospacing="0"/>
        <w:ind w:left="0" w:right="0" w:firstLine="0"/>
        <w:jc w:val="left"/>
        <w:rPr>
          <w:rFonts w:hint="default" w:ascii="微软雅黑" w:hAnsi="微软雅黑" w:eastAsia="微软雅黑" w:cs="微软雅黑"/>
          <w:i w:val="0"/>
          <w:iCs w:val="0"/>
          <w:caps w:val="0"/>
          <w:color w:val="000000"/>
          <w:spacing w:val="0"/>
          <w:sz w:val="32"/>
          <w:szCs w:val="32"/>
          <w:u w:val="none"/>
        </w:rPr>
      </w:pPr>
      <w:r>
        <w:rPr>
          <w:rFonts w:hint="default" w:ascii="微软雅黑" w:hAnsi="微软雅黑" w:eastAsia="微软雅黑" w:cs="微软雅黑"/>
          <w:i w:val="0"/>
          <w:iCs w:val="0"/>
          <w:caps w:val="0"/>
          <w:color w:val="000000"/>
          <w:spacing w:val="0"/>
          <w:kern w:val="0"/>
          <w:sz w:val="32"/>
          <w:szCs w:val="32"/>
          <w:u w:val="none"/>
          <w:bdr w:val="none" w:color="auto" w:sz="0" w:space="0"/>
          <w:shd w:val="clear" w:fill="F5F5F7"/>
          <w:lang w:val="en-US" w:eastAsia="zh-CN" w:bidi="ar"/>
        </w:rPr>
        <w:drawing>
          <wp:inline distT="0" distB="0" distL="114300" distR="114300">
            <wp:extent cx="161925" cy="133350"/>
            <wp:effectExtent l="0" t="0" r="15875" b="19050"/>
            <wp:docPr id="33" name="图片 3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descr="IMG_269"/>
                    <pic:cNvPicPr>
                      <a:picLocks noChangeAspect="1"/>
                    </pic:cNvPicPr>
                  </pic:nvPicPr>
                  <pic:blipFill>
                    <a:blip r:embed="rId9"/>
                    <a:stretch>
                      <a:fillRect/>
                    </a:stretch>
                  </pic:blipFill>
                  <pic:spPr>
                    <a:xfrm>
                      <a:off x="0" y="0"/>
                      <a:ext cx="161925" cy="133350"/>
                    </a:xfrm>
                    <a:prstGeom prst="rect">
                      <a:avLst/>
                    </a:prstGeom>
                    <a:noFill/>
                    <a:ln w="9525">
                      <a:noFill/>
                    </a:ln>
                  </pic:spPr>
                </pic:pic>
              </a:graphicData>
            </a:graphic>
          </wp:inline>
        </w:drawing>
      </w:r>
      <w:r>
        <w:rPr>
          <w:rFonts w:hint="default" w:ascii="微软雅黑" w:hAnsi="微软雅黑" w:eastAsia="微软雅黑" w:cs="微软雅黑"/>
          <w:i w:val="0"/>
          <w:iCs w:val="0"/>
          <w:caps w:val="0"/>
          <w:color w:val="000000"/>
          <w:spacing w:val="0"/>
          <w:kern w:val="0"/>
          <w:sz w:val="32"/>
          <w:szCs w:val="32"/>
          <w:u w:val="none"/>
          <w:bdr w:val="none" w:color="auto" w:sz="0" w:space="0"/>
          <w:shd w:val="clear" w:fill="F5F5F7"/>
          <w:lang w:val="en-US" w:eastAsia="zh-CN" w:bidi="ar"/>
        </w:rPr>
        <w:t>小字号</w:t>
      </w:r>
    </w:p>
    <w:p w14:paraId="5B2D16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近日，中国经济社会理事会调研组来渝专题调研推进土地要素市场化配置改革情况。2月15日上午，调研组前往重庆农村土地交易所（以下简称“重庆土交所”），详细了解重庆市地票改革情况，并就地票具有的重大战略意义、扩大试点范围等内容进行交流探讨。</w:t>
      </w:r>
    </w:p>
    <w:p w14:paraId="32412B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据重庆土交所有关负责人介绍，经过多年探索，重庆逐步建立了以“自愿复垦、公开交易、收益归农、价款直拨、依规使用”为核心内容的地票制度体系。截至2022年底，重庆市累计交易地票36.9万亩、724.42亿元；依托地票对农村资产的价格发现功能，带动成交农村实物产权交易112.77万亩、40.85亿元，在促进耕地保护、城乡统筹、区域协调和助农增收等方面发挥了积极作用。</w:t>
      </w:r>
    </w:p>
    <w:p w14:paraId="2409CF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Style w:val="7"/>
          <w:rFonts w:hint="default" w:ascii="微软雅黑" w:hAnsi="微软雅黑" w:eastAsia="微软雅黑" w:cs="微软雅黑"/>
          <w:i w:val="0"/>
          <w:iCs w:val="0"/>
          <w:caps w:val="0"/>
          <w:color w:val="000000"/>
          <w:spacing w:val="0"/>
          <w:sz w:val="40"/>
          <w:szCs w:val="40"/>
          <w:u w:val="none"/>
          <w:bdr w:val="none" w:color="auto" w:sz="0" w:space="0"/>
        </w:rPr>
        <w:t>强化政策保障  完善机制为地票改革打造坚实基础</w:t>
      </w:r>
    </w:p>
    <w:p w14:paraId="103C0D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多年来，重庆不断完善地票运行机制，形成以地票管理办法为总领，涵盖复垦、交易、使用各环节的“1+10”地票制度框架，确立了新增经营性建设用地“持票准用”制度，保障每年相对稳定的地票市场空间。</w:t>
      </w:r>
    </w:p>
    <w:p w14:paraId="67B97A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明确复垦形成的耕地等农用地所有权人和使用权人不变，明确地票“收益归农”的权利归属，形成宅基地复垦农户和集体经济组织85：15的价款分配比例，实行直接拨付到权利主体模式。</w:t>
      </w:r>
    </w:p>
    <w:p w14:paraId="5A1FD3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组建市、区县土地复垦整治机构，建立分工明确、严格监管复垦的工作格局；制定出台复垦标准体系，保障了地票来源真实、数量充足、质量可靠。</w:t>
      </w:r>
    </w:p>
    <w:p w14:paraId="0F1320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积极拓展地票生态功能，引导重点生态功能区的建设用地退建还林复绿，累计复垦形成生态类地票6589亩、12.72亿元，地票内涵在实践中不断丰富发展。</w:t>
      </w:r>
    </w:p>
    <w:p w14:paraId="7319E5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在交易实践中，不断探索地票市场运行规律和调节机制，制定地票最低保护价，保护农户、集体权益不受损，逐步建立市场价格引导的供需协同机制，市场运行总体平稳有序。</w:t>
      </w:r>
    </w:p>
    <w:p w14:paraId="55DBD5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近年来，重庆土交所还积极推动电子化交易，开发地票交易管理系统，逐步实现申请交易、竞价报名、成交确认、价款结算等功能，让“数据多跑路、群众少跑腿”。同时推进地票生产、交易、使用各环节数据关联，实现地票来源可溯、去向可查，促进交易阳光公开运行，保障农户的政策知情权。</w:t>
      </w:r>
    </w:p>
    <w:p w14:paraId="55017C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Style w:val="7"/>
          <w:rFonts w:hint="default" w:ascii="微软雅黑" w:hAnsi="微软雅黑" w:eastAsia="微软雅黑" w:cs="微软雅黑"/>
          <w:i w:val="0"/>
          <w:iCs w:val="0"/>
          <w:caps w:val="0"/>
          <w:color w:val="000000"/>
          <w:spacing w:val="0"/>
          <w:sz w:val="40"/>
          <w:szCs w:val="40"/>
          <w:u w:val="none"/>
          <w:bdr w:val="none" w:color="auto" w:sz="0" w:space="0"/>
        </w:rPr>
        <w:t>多方协同发力  推动地票改革试验成效显著</w:t>
      </w:r>
    </w:p>
    <w:p w14:paraId="0BF9B2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多年来，地票制度及其市场化交易机制的建立，在促进耕地保护、优化城乡用地布局、盘活农村闲置资源、拓宽农民增收渠道、推动城乡融合发展等方面发挥了积极作用，也取得了良好的经济和社会效益。</w:t>
      </w:r>
    </w:p>
    <w:p w14:paraId="6ADEF5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Style w:val="7"/>
          <w:rFonts w:hint="default" w:ascii="微软雅黑" w:hAnsi="微软雅黑" w:eastAsia="微软雅黑" w:cs="微软雅黑"/>
          <w:i w:val="0"/>
          <w:iCs w:val="0"/>
          <w:caps w:val="0"/>
          <w:color w:val="000000"/>
          <w:spacing w:val="0"/>
          <w:sz w:val="40"/>
          <w:szCs w:val="40"/>
          <w:u w:val="none"/>
          <w:bdr w:val="none" w:color="auto" w:sz="0" w:space="0"/>
        </w:rPr>
        <w:t>积极反哺“三农”  缩小城乡收入差距</w:t>
      </w:r>
    </w:p>
    <w:p w14:paraId="338E6C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重庆市涪陵区马武镇农民石本均一家，过去居住在石朝门村的破旧木屋里。“一到雨季总是‘屋外下大雨，屋内滴小雨’。”石本均说，自己将宅基地复垦获得13万元地票收益，加上易地扶贫搬迁的3.8万元购房补助，只添了2万元，便在集中居民点购置了新房。“老房子拆掉复垦后，我们也住上了楼房。二层用来居住，一层用来经营做点小生意，让家里多了笔收入。”</w:t>
      </w:r>
    </w:p>
    <w:p w14:paraId="6DDC53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据重庆土交所有关负责人介绍，地票制度施行以来，重庆市地票交易始终坚持“收益归农”原则，交易价款扣除成本后的净收益，由农户与农村集体经济组织按照85∶15的比例进行分配。“重庆市参加复垦宅基地的农户，在地票交易中能一次性获得7万元左右的净收益；宅基地复垦后形成的耕地，使用权不变，仍由原农户继续耕种，每年还有几百元到上千元的经营收入。”</w:t>
      </w:r>
    </w:p>
    <w:p w14:paraId="781166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据统计，地票制度实施以来，已为农村输送反哺资金700余亿元。</w:t>
      </w:r>
    </w:p>
    <w:p w14:paraId="622E71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Style w:val="7"/>
          <w:rFonts w:hint="default" w:ascii="微软雅黑" w:hAnsi="微软雅黑" w:eastAsia="微软雅黑" w:cs="微软雅黑"/>
          <w:i w:val="0"/>
          <w:iCs w:val="0"/>
          <w:caps w:val="0"/>
          <w:color w:val="000000"/>
          <w:spacing w:val="0"/>
          <w:sz w:val="40"/>
          <w:szCs w:val="40"/>
          <w:u w:val="none"/>
          <w:bdr w:val="none" w:color="auto" w:sz="0" w:space="0"/>
        </w:rPr>
        <w:t>坚持科学复垦  促进耕地保护</w:t>
      </w:r>
    </w:p>
    <w:p w14:paraId="7D7F0E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地票运行程序是“先造地、后用地”，在地票改革中，为保障耕地的合理利用，重庆土交所采取了多项措施来确保复垦数量、质量，确保守住耕地保护红线。</w:t>
      </w:r>
    </w:p>
    <w:p w14:paraId="6FF986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加强复垦质量验收。严格农村建设用地复垦条件，明确坡度大于25度的不得纳入复垦，复垦地块必须与周边耕地相连，防止“占优补劣”。2021年以来，通过地票叠加水田指标，落实“占优补优、占水田补水田”要求。</w:t>
      </w:r>
    </w:p>
    <w:p w14:paraId="77FC88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严格审核流程。建立了一整套完善的包括复垦资格认定、复垦面积确定、项目立项和项目验收在内的制度流程，确保复垦合法合规进行，同时对新增耕地利用情况进行不定期核查。</w:t>
      </w:r>
    </w:p>
    <w:p w14:paraId="4068A0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Style w:val="7"/>
          <w:rFonts w:hint="default" w:ascii="微软雅黑" w:hAnsi="微软雅黑" w:eastAsia="微软雅黑" w:cs="微软雅黑"/>
          <w:i w:val="0"/>
          <w:iCs w:val="0"/>
          <w:caps w:val="0"/>
          <w:color w:val="000000"/>
          <w:spacing w:val="0"/>
          <w:sz w:val="40"/>
          <w:szCs w:val="40"/>
          <w:u w:val="none"/>
          <w:bdr w:val="none" w:color="auto" w:sz="0" w:space="0"/>
        </w:rPr>
        <w:t>盘活低效资源  助力区域协调发展</w:t>
      </w:r>
    </w:p>
    <w:p w14:paraId="022338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地票70%以上来源于渝东北、渝东南“两群”地区，90%以上使用落在了主城都市区。”据重庆土交所有关负责人介绍，地票通过市场化方式，盘活了农村闲置、低效利用的空间资源，实现了“远距离、大范围”的城乡建设用地空间统筹，促进了大城市带动大农村发展。</w:t>
      </w:r>
    </w:p>
    <w:p w14:paraId="3E317C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与此同时，地票改变了改革前农房仅能在本集体经济组织内部低价格流转的状态，为农房贷款抵押评估提供现实参照，让农房估值由改革前的千元级提升到万元级、十万元级，带动了农房抵押融资。截至2022年末，农房抵押融资规模超过300亿元。</w:t>
      </w:r>
    </w:p>
    <w:p w14:paraId="6CBBDE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值得一提的是，地票改革让农民逐渐成为农村土地市场的主体，引导农民逐步树立起了土地财产价值观念。“现在，农民对于农村宅基地及附属设施用地的利用和管理观念发生了很大变化，大家更加重视权证办理以及对集体内其他成员使用宅基地的监督，更加积极主动地参与到其他农村资源资产的市场化交易中来。”重庆土交所有关负责人表示。</w:t>
      </w:r>
    </w:p>
    <w:p w14:paraId="210E8D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Style w:val="7"/>
          <w:rFonts w:hint="default" w:ascii="微软雅黑" w:hAnsi="微软雅黑" w:eastAsia="微软雅黑" w:cs="微软雅黑"/>
          <w:i w:val="0"/>
          <w:iCs w:val="0"/>
          <w:caps w:val="0"/>
          <w:color w:val="000000"/>
          <w:spacing w:val="0"/>
          <w:sz w:val="40"/>
          <w:szCs w:val="40"/>
          <w:u w:val="none"/>
          <w:bdr w:val="none" w:color="auto" w:sz="0" w:space="0"/>
        </w:rPr>
        <w:t>持续深化地票改革  更好服务城乡融合发展</w:t>
      </w:r>
    </w:p>
    <w:p w14:paraId="7D2D56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顺应城镇化逐渐由外延式转为内涵式趋势，重庆农村土地交易所有关负责人提出，应保持“自愿复垦、公开交易、收益归农、价款直拔、依规使用”的地票基础制度不变，衔接增减挂钩、占补平衡、生态文明建设等新要求，进一步完善制度，不断强化地票在助推城乡融合、农民增收、农村增绿方面的作用。</w:t>
      </w:r>
    </w:p>
    <w:p w14:paraId="3D4537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060" w:beforeAutospacing="0" w:after="0" w:afterAutospacing="0" w:line="760" w:lineRule="atLeast"/>
        <w:ind w:left="0" w:right="0" w:firstLine="420"/>
        <w:jc w:val="both"/>
        <w:rPr>
          <w:sz w:val="40"/>
          <w:szCs w:val="40"/>
        </w:rPr>
      </w:pPr>
      <w:r>
        <w:rPr>
          <w:rFonts w:hint="default" w:ascii="微软雅黑" w:hAnsi="微软雅黑" w:eastAsia="微软雅黑" w:cs="微软雅黑"/>
          <w:i w:val="0"/>
          <w:iCs w:val="0"/>
          <w:caps w:val="0"/>
          <w:color w:val="000000"/>
          <w:spacing w:val="0"/>
          <w:sz w:val="40"/>
          <w:szCs w:val="40"/>
          <w:u w:val="none"/>
          <w:bdr w:val="none" w:color="auto" w:sz="0" w:space="0"/>
        </w:rPr>
        <w:t>同时，重庆土交所也将持续深耕土地要素市场化改革，为健全城乡一体的土地要素市场、提升要素配置效率探索路子、积累经验，立足“农村产权要素交易平台、农村土地市场化改革实践平台、自然生态价值探索平台、农业农村发展决策咨询平台”，实现更大范围的农村土地价值显化，更好地促进乡村振兴。（重庆土交所）</w:t>
      </w:r>
    </w:p>
    <w:tbl>
      <w:tblPr>
        <w:tblW w:w="2000"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58"/>
      </w:tblGrid>
      <w:tr w14:paraId="380EA893">
        <w:trPr>
          <w:tblCellSpacing w:w="15" w:type="dxa"/>
          <w:jc w:val="center"/>
        </w:trPr>
        <w:tc>
          <w:tcPr>
            <w:tcW w:w="0" w:type="auto"/>
            <w:shd w:val="clear"/>
            <w:vAlign w:val="center"/>
          </w:tcPr>
          <w:p w14:paraId="380B746B">
            <w:pPr>
              <w:rPr>
                <w:rFonts w:hint="eastAsia" w:ascii="宋体"/>
                <w:sz w:val="24"/>
                <w:szCs w:val="24"/>
              </w:rPr>
            </w:pPr>
          </w:p>
        </w:tc>
      </w:tr>
    </w:tbl>
    <w:p w14:paraId="4CDF4497">
      <w:pPr>
        <w:keepNext w:val="0"/>
        <w:keepLines w:val="0"/>
        <w:widowControl/>
        <w:suppressLineNumbers w:val="0"/>
        <w:spacing w:before="600" w:beforeAutospacing="0" w:after="0" w:afterAutospacing="0"/>
        <w:ind w:left="0" w:right="0" w:firstLine="0"/>
        <w:jc w:val="right"/>
        <w:rPr>
          <w:rFonts w:hint="default" w:ascii="微软雅黑" w:hAnsi="微软雅黑" w:eastAsia="微软雅黑" w:cs="微软雅黑"/>
          <w:i w:val="0"/>
          <w:iCs w:val="0"/>
          <w:caps w:val="0"/>
          <w:color w:val="000000"/>
          <w:spacing w:val="0"/>
          <w:sz w:val="32"/>
          <w:szCs w:val="32"/>
          <w:u w:val="none"/>
        </w:rPr>
      </w:pPr>
      <w:r>
        <w:rPr>
          <w:rFonts w:hint="default" w:ascii="微软雅黑" w:hAnsi="微软雅黑" w:eastAsia="微软雅黑" w:cs="微软雅黑"/>
          <w:i w:val="0"/>
          <w:iCs w:val="0"/>
          <w:caps w:val="0"/>
          <w:color w:val="000000"/>
          <w:spacing w:val="0"/>
          <w:kern w:val="0"/>
          <w:sz w:val="32"/>
          <w:szCs w:val="32"/>
          <w:u w:val="none"/>
          <w:lang w:val="en-US" w:eastAsia="zh-CN" w:bidi="ar"/>
        </w:rPr>
        <w:t>(责编：盖纯、刘政宁)</w:t>
      </w:r>
    </w:p>
    <w:p w14:paraId="7675ACA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
    <w:altName w:val="方正仿宋_GBK"/>
    <w:panose1 w:val="02010609060101010101"/>
    <w:charset w:val="00"/>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楷体">
    <w:altName w:val="汉仪楷体KW"/>
    <w:panose1 w:val="02010609060101010101"/>
    <w:charset w:val="00"/>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6E2240"/>
    <w:rsid w:val="536798C7"/>
    <w:rsid w:val="7FBECEF8"/>
    <w:rsid w:val="9EE3A372"/>
    <w:rsid w:val="9F6E2240"/>
    <w:rsid w:val="9FF4A594"/>
    <w:rsid w:val="DF7DE90B"/>
    <w:rsid w:val="FFF39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 w:type="paragraph" w:customStyle="1" w:styleId="10">
    <w:name w:val="样式1"/>
    <w:basedOn w:val="1"/>
    <w:next w:val="1"/>
    <w:uiPriority w:val="0"/>
    <w:pPr>
      <w:keepNext/>
      <w:keepLines/>
      <w:spacing w:before="340" w:beforeLines="0" w:after="330" w:afterLines="0" w:line="576" w:lineRule="auto"/>
      <w:jc w:val="center"/>
      <w:outlineLvl w:val="0"/>
    </w:pPr>
    <w:rPr>
      <w:rFonts w:hint="default" w:asciiTheme="minorAscii" w:hAnsiTheme="minorAscii"/>
      <w:b/>
      <w:kern w:val="44"/>
      <w:sz w:val="44"/>
    </w:rPr>
  </w:style>
  <w:style w:type="paragraph" w:customStyle="1" w:styleId="11">
    <w:name w:val="样式2"/>
    <w:basedOn w:val="1"/>
    <w:uiPriority w:val="0"/>
    <w:pPr>
      <w:jc w:val="center"/>
    </w:pPr>
    <w:rPr>
      <w:rFonts w:hint="default" w:ascii="Times New Roman" w:hAnsi="Times New Roman" w:eastAsia="黑体" w:cs="黑体"/>
      <w:b/>
      <w:bCs/>
      <w:sz w:val="36"/>
      <w:szCs w:val="36"/>
    </w:rPr>
  </w:style>
  <w:style w:type="paragraph" w:customStyle="1" w:styleId="12">
    <w:name w:val="样式3"/>
    <w:basedOn w:val="1"/>
    <w:next w:val="1"/>
    <w:uiPriority w:val="0"/>
    <w:pPr>
      <w:keepNext/>
      <w:keepLines/>
      <w:spacing w:before="340" w:beforeLines="0" w:after="330" w:afterLines="0" w:line="576" w:lineRule="auto"/>
      <w:jc w:val="center"/>
      <w:outlineLvl w:val="0"/>
    </w:pPr>
    <w:rPr>
      <w:rFonts w:hint="eastAsia" w:ascii="Times New Roman" w:hAnsi="Times New Roman" w:eastAsia="仿宋"/>
      <w:b/>
      <w:kern w:val="44"/>
      <w:sz w:val="30"/>
    </w:rPr>
  </w:style>
  <w:style w:type="paragraph" w:customStyle="1" w:styleId="13">
    <w:name w:val="样式4"/>
    <w:basedOn w:val="1"/>
    <w:next w:val="1"/>
    <w:uiPriority w:val="0"/>
    <w:pPr>
      <w:keepNext/>
      <w:keepLines/>
      <w:spacing w:before="260" w:beforeLines="0" w:after="260" w:afterLines="0" w:line="413" w:lineRule="auto"/>
      <w:ind w:firstLine="641" w:firstLineChars="200"/>
      <w:jc w:val="center"/>
      <w:outlineLvl w:val="1"/>
    </w:pPr>
    <w:rPr>
      <w:rFonts w:hint="eastAsia" w:ascii="Arial" w:hAnsi="Arial" w:eastAsia="黑体"/>
      <w:b/>
      <w:sz w:val="24"/>
    </w:rPr>
  </w:style>
  <w:style w:type="paragraph" w:customStyle="1" w:styleId="14">
    <w:name w:val="样式5"/>
    <w:basedOn w:val="1"/>
    <w:next w:val="1"/>
    <w:uiPriority w:val="0"/>
    <w:pPr>
      <w:spacing w:beforeAutospacing="1" w:afterAutospacing="1"/>
      <w:ind w:firstLine="541" w:firstLineChars="200"/>
      <w:jc w:val="left"/>
      <w:outlineLvl w:val="2"/>
    </w:pPr>
    <w:rPr>
      <w:rFonts w:hint="eastAsia" w:ascii="宋体" w:hAnsi="宋体" w:eastAsia="楷体" w:cs="宋体"/>
      <w:b/>
      <w:bCs/>
      <w:kern w:val="0"/>
      <w:sz w:val="24"/>
      <w:szCs w:val="27"/>
      <w:lang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hyperlink" Target="https://webvpn.hainanu.edu.cn/https/32393332413339303239333421416369a8df145440b0251e4b3a106783/" TargetMode="Externa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19</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2025-12-03T19:20:00Z</dcterms:created>
  <dc:creator>岳青旺</dc:creator>
  <cp:lastModifiedBy>岳青旺</cp:lastModifiedBy>
  <dcterms:modified xsi:type="dcterms:W3CDTF">2025-12-08T09:55:47Z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AC1768B3955FF41F041D30693794FDBC_41</vt:lpwstr>
  </property>
</Properties>
</file>