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C3C5D" w14:textId="34D3DC30" w:rsidR="00150745" w:rsidRDefault="00150745">
      <w:pPr>
        <w:rPr>
          <w:rFonts w:ascii="Arial" w:hAnsi="Arial" w:cs="Arial"/>
          <w:sz w:val="20"/>
        </w:rPr>
      </w:pPr>
      <w:r>
        <w:rPr>
          <w:rFonts w:ascii="Arial" w:hAnsi="Arial" w:cs="Arial"/>
          <w:sz w:val="20"/>
        </w:rPr>
        <w:t>Austin has a thriving economy based on technology, services, education, and hospitality. Our analysis shows:</w:t>
      </w:r>
    </w:p>
    <w:p w14:paraId="09F00F9F" w14:textId="77777777" w:rsidR="00150745" w:rsidRPr="00150745" w:rsidRDefault="00150745">
      <w:pPr>
        <w:rPr>
          <w:rFonts w:ascii="Arial" w:hAnsi="Arial" w:cs="Arial"/>
          <w:sz w:val="20"/>
        </w:rPr>
      </w:pPr>
    </w:p>
    <w:p w14:paraId="6FBC43A0" w14:textId="7AB3537D" w:rsidR="00150745" w:rsidRPr="00150745" w:rsidRDefault="00150745">
      <w:pPr>
        <w:rPr>
          <w:rFonts w:ascii="Arial" w:hAnsi="Arial" w:cs="Arial"/>
          <w:sz w:val="20"/>
        </w:rPr>
      </w:pPr>
      <w:r w:rsidRPr="00150745">
        <w:rPr>
          <w:rFonts w:ascii="Arial" w:hAnsi="Arial" w:cs="Arial"/>
          <w:sz w:val="20"/>
        </w:rPr>
        <w:t>- Strengths in services related to software and data</w:t>
      </w:r>
      <w:r>
        <w:rPr>
          <w:rFonts w:ascii="Arial" w:hAnsi="Arial" w:cs="Arial"/>
          <w:sz w:val="20"/>
        </w:rPr>
        <w:t>.</w:t>
      </w:r>
    </w:p>
    <w:p w14:paraId="53B289E2" w14:textId="20ABD266" w:rsidR="00150745" w:rsidRPr="00150745" w:rsidRDefault="00150745">
      <w:pPr>
        <w:rPr>
          <w:rFonts w:ascii="Arial" w:hAnsi="Arial" w:cs="Arial"/>
          <w:sz w:val="20"/>
        </w:rPr>
      </w:pPr>
      <w:r w:rsidRPr="00150745">
        <w:rPr>
          <w:rFonts w:ascii="Arial" w:hAnsi="Arial" w:cs="Arial"/>
          <w:sz w:val="20"/>
        </w:rPr>
        <w:t>- Few Weaknesses</w:t>
      </w:r>
      <w:r>
        <w:rPr>
          <w:rFonts w:ascii="Arial" w:hAnsi="Arial" w:cs="Arial"/>
          <w:sz w:val="20"/>
        </w:rPr>
        <w:t>.</w:t>
      </w:r>
      <w:r w:rsidRPr="00150745">
        <w:rPr>
          <w:rFonts w:ascii="Arial" w:hAnsi="Arial" w:cs="Arial"/>
          <w:sz w:val="20"/>
        </w:rPr>
        <w:t xml:space="preserve"> </w:t>
      </w:r>
      <w:r>
        <w:rPr>
          <w:rFonts w:ascii="Arial" w:hAnsi="Arial" w:cs="Arial"/>
          <w:sz w:val="20"/>
        </w:rPr>
        <w:t>P</w:t>
      </w:r>
      <w:r w:rsidRPr="00150745">
        <w:rPr>
          <w:rFonts w:ascii="Arial" w:hAnsi="Arial" w:cs="Arial"/>
          <w:sz w:val="20"/>
        </w:rPr>
        <w:t>ossibly in Management Consulting</w:t>
      </w:r>
      <w:r>
        <w:rPr>
          <w:rFonts w:ascii="Arial" w:hAnsi="Arial" w:cs="Arial"/>
          <w:sz w:val="20"/>
        </w:rPr>
        <w:t>.</w:t>
      </w:r>
    </w:p>
    <w:p w14:paraId="21CA7279" w14:textId="4C96EAB4" w:rsidR="00150745" w:rsidRPr="00150745" w:rsidRDefault="00150745">
      <w:pPr>
        <w:rPr>
          <w:rFonts w:ascii="Arial" w:hAnsi="Arial" w:cs="Arial"/>
          <w:sz w:val="20"/>
        </w:rPr>
      </w:pPr>
      <w:r w:rsidRPr="00150745">
        <w:rPr>
          <w:rFonts w:ascii="Arial" w:hAnsi="Arial" w:cs="Arial"/>
          <w:sz w:val="20"/>
        </w:rPr>
        <w:t>- Opportunities in Portfolio Management, Biotech, and new industries such as Artificial Intelligence</w:t>
      </w:r>
      <w:r>
        <w:rPr>
          <w:rFonts w:ascii="Arial" w:hAnsi="Arial" w:cs="Arial"/>
          <w:sz w:val="20"/>
        </w:rPr>
        <w:t>.</w:t>
      </w:r>
    </w:p>
    <w:p w14:paraId="736C484E" w14:textId="0C101859" w:rsidR="00150745" w:rsidRPr="00150745" w:rsidRDefault="00150745">
      <w:pPr>
        <w:rPr>
          <w:rFonts w:ascii="Arial" w:hAnsi="Arial" w:cs="Arial"/>
          <w:sz w:val="20"/>
        </w:rPr>
      </w:pPr>
      <w:r w:rsidRPr="00150745">
        <w:rPr>
          <w:rFonts w:ascii="Arial" w:hAnsi="Arial" w:cs="Arial"/>
          <w:sz w:val="20"/>
        </w:rPr>
        <w:t xml:space="preserve">- Threats </w:t>
      </w:r>
      <w:r>
        <w:rPr>
          <w:rFonts w:ascii="Arial" w:hAnsi="Arial" w:cs="Arial"/>
          <w:sz w:val="20"/>
        </w:rPr>
        <w:t>from over-concentration</w:t>
      </w:r>
      <w:r w:rsidRPr="00150745">
        <w:rPr>
          <w:rFonts w:ascii="Arial" w:hAnsi="Arial" w:cs="Arial"/>
          <w:sz w:val="20"/>
        </w:rPr>
        <w:t xml:space="preserve"> in tech industr</w:t>
      </w:r>
      <w:r>
        <w:rPr>
          <w:rFonts w:ascii="Arial" w:hAnsi="Arial" w:cs="Arial"/>
          <w:sz w:val="20"/>
        </w:rPr>
        <w:t>ies.</w:t>
      </w:r>
    </w:p>
    <w:p w14:paraId="16938E5F" w14:textId="6C1201A5" w:rsidR="00150745" w:rsidRDefault="00150745">
      <w:pPr>
        <w:rPr>
          <w:rFonts w:ascii="Arial" w:hAnsi="Arial" w:cs="Arial"/>
          <w:sz w:val="20"/>
        </w:rPr>
      </w:pPr>
      <w:commentRangeStart w:id="0"/>
      <w:r w:rsidRPr="00150745">
        <w:rPr>
          <w:rFonts w:ascii="Arial" w:hAnsi="Arial" w:cs="Arial"/>
          <w:noProof/>
          <w:sz w:val="20"/>
        </w:rPr>
        <w:drawing>
          <wp:anchor distT="0" distB="0" distL="114300" distR="114300" simplePos="0" relativeHeight="251658240" behindDoc="0" locked="0" layoutInCell="1" allowOverlap="1" wp14:anchorId="5FE42372" wp14:editId="7060505E">
            <wp:simplePos x="0" y="0"/>
            <wp:positionH relativeFrom="column">
              <wp:posOffset>3667760</wp:posOffset>
            </wp:positionH>
            <wp:positionV relativeFrom="paragraph">
              <wp:posOffset>149225</wp:posOffset>
            </wp:positionV>
            <wp:extent cx="2146935" cy="18288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les austin.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6935" cy="1828800"/>
                    </a:xfrm>
                    <a:prstGeom prst="rect">
                      <a:avLst/>
                    </a:prstGeom>
                  </pic:spPr>
                </pic:pic>
              </a:graphicData>
            </a:graphic>
          </wp:anchor>
        </w:drawing>
      </w:r>
      <w:commentRangeEnd w:id="0"/>
      <w:r>
        <w:rPr>
          <w:rStyle w:val="CommentReference"/>
        </w:rPr>
        <w:commentReference w:id="0"/>
      </w:r>
    </w:p>
    <w:p w14:paraId="75FC1045" w14:textId="4FD2FBC8" w:rsidR="0046268F" w:rsidRPr="00150745" w:rsidRDefault="00150745">
      <w:pPr>
        <w:rPr>
          <w:rFonts w:ascii="Arial" w:hAnsi="Arial" w:cs="Arial"/>
          <w:sz w:val="20"/>
        </w:rPr>
      </w:pPr>
      <w:r w:rsidRPr="00150745">
        <w:rPr>
          <w:rFonts w:ascii="Arial" w:hAnsi="Arial" w:cs="Arial"/>
          <w:sz w:val="20"/>
        </w:rPr>
        <w:t>We think about economies as the collection of problems that a region solves. Looking at Austin’s industries, we see a large amount of activity in high-paying services. The largest circle represents corporate management jobs in the region. Several of the smaller circles represent the strong presence of the tech industry. In addition to services, we see hotels – the large red circle – and universities – the large orange one.</w:t>
      </w:r>
    </w:p>
    <w:p w14:paraId="3217CB7B" w14:textId="55E6020D" w:rsidR="00452826" w:rsidRPr="00150745" w:rsidRDefault="00452826">
      <w:pPr>
        <w:rPr>
          <w:rFonts w:ascii="Arial" w:hAnsi="Arial" w:cs="Arial"/>
          <w:sz w:val="20"/>
        </w:rPr>
      </w:pPr>
    </w:p>
    <w:p w14:paraId="09051362" w14:textId="268ED66C" w:rsidR="00150745" w:rsidRDefault="00094EC1">
      <w:pPr>
        <w:rPr>
          <w:rFonts w:ascii="Arial" w:hAnsi="Arial" w:cs="Arial"/>
          <w:sz w:val="20"/>
        </w:rPr>
      </w:pPr>
      <w:r w:rsidRPr="00150745">
        <w:rPr>
          <w:rFonts w:ascii="Arial" w:hAnsi="Arial" w:cs="Arial"/>
          <w:sz w:val="20"/>
        </w:rPr>
        <w:t>When we organize the industries based on their similarity to each other,</w:t>
      </w:r>
      <w:r w:rsidR="003A34B0" w:rsidRPr="00150745">
        <w:rPr>
          <w:rFonts w:ascii="Arial" w:hAnsi="Arial" w:cs="Arial"/>
          <w:sz w:val="20"/>
        </w:rPr>
        <w:t xml:space="preserve"> we get a clearer picture of </w:t>
      </w:r>
      <w:r w:rsidR="00150745">
        <w:rPr>
          <w:rFonts w:ascii="Arial" w:hAnsi="Arial" w:cs="Arial"/>
          <w:sz w:val="20"/>
        </w:rPr>
        <w:t>how the industries relate to each other</w:t>
      </w:r>
      <w:r w:rsidR="003A34B0" w:rsidRPr="00150745">
        <w:rPr>
          <w:rFonts w:ascii="Arial" w:hAnsi="Arial" w:cs="Arial"/>
          <w:sz w:val="20"/>
        </w:rPr>
        <w:t>.</w:t>
      </w:r>
      <w:r w:rsidRPr="00150745">
        <w:rPr>
          <w:rFonts w:ascii="Arial" w:hAnsi="Arial" w:cs="Arial"/>
          <w:sz w:val="20"/>
        </w:rPr>
        <w:t xml:space="preserve"> </w:t>
      </w:r>
      <w:r w:rsidR="00150745">
        <w:rPr>
          <w:rFonts w:ascii="Arial" w:hAnsi="Arial" w:cs="Arial"/>
          <w:sz w:val="20"/>
        </w:rPr>
        <w:t xml:space="preserve">The hospitality industries cluster together on the left. Education above that. Tech and services in the middle. </w:t>
      </w:r>
      <w:r w:rsidR="005277E2">
        <w:rPr>
          <w:rFonts w:ascii="Arial" w:hAnsi="Arial" w:cs="Arial"/>
          <w:sz w:val="20"/>
        </w:rPr>
        <w:t>Austin’s economy benefits from this diversified activity, while its strengths in education and hospitality also support its pipeline of high-skilled talent.</w:t>
      </w:r>
    </w:p>
    <w:p w14:paraId="6B79C0CB" w14:textId="1025BE69" w:rsidR="00094EC1" w:rsidRPr="00150745" w:rsidRDefault="00094EC1">
      <w:pPr>
        <w:rPr>
          <w:rFonts w:ascii="Arial" w:hAnsi="Arial" w:cs="Arial"/>
          <w:sz w:val="20"/>
        </w:rPr>
      </w:pPr>
    </w:p>
    <w:p w14:paraId="13067D6A" w14:textId="0BA8B209" w:rsidR="00150745" w:rsidRDefault="00150745">
      <w:pPr>
        <w:rPr>
          <w:rFonts w:ascii="Arial" w:hAnsi="Arial" w:cs="Arial"/>
          <w:sz w:val="20"/>
        </w:rPr>
      </w:pPr>
      <w:commentRangeStart w:id="1"/>
      <w:r w:rsidRPr="00150745">
        <w:rPr>
          <w:rFonts w:ascii="Arial" w:hAnsi="Arial" w:cs="Arial"/>
          <w:noProof/>
          <w:sz w:val="20"/>
        </w:rPr>
        <w:drawing>
          <wp:inline distT="0" distB="0" distL="0" distR="0" wp14:anchorId="43849795" wp14:editId="3E8726BF">
            <wp:extent cx="5770375" cy="23450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3953" r="2869" b="5872"/>
                    <a:stretch/>
                  </pic:blipFill>
                  <pic:spPr bwMode="auto">
                    <a:xfrm>
                      <a:off x="0" y="0"/>
                      <a:ext cx="5773074" cy="2346152"/>
                    </a:xfrm>
                    <a:prstGeom prst="rect">
                      <a:avLst/>
                    </a:prstGeom>
                    <a:ln>
                      <a:noFill/>
                    </a:ln>
                    <a:extLst>
                      <a:ext uri="{53640926-AAD7-44D8-BBD7-CCE9431645EC}">
                        <a14:shadowObscured xmlns:a14="http://schemas.microsoft.com/office/drawing/2010/main"/>
                      </a:ext>
                    </a:extLst>
                  </pic:spPr>
                </pic:pic>
              </a:graphicData>
            </a:graphic>
          </wp:inline>
        </w:drawing>
      </w:r>
      <w:commentRangeEnd w:id="1"/>
      <w:r>
        <w:rPr>
          <w:rStyle w:val="CommentReference"/>
        </w:rPr>
        <w:commentReference w:id="1"/>
      </w:r>
    </w:p>
    <w:p w14:paraId="61C2C38E" w14:textId="13A412F0" w:rsidR="00150745" w:rsidRPr="00150745" w:rsidRDefault="00150745">
      <w:pPr>
        <w:rPr>
          <w:rFonts w:ascii="Arial" w:hAnsi="Arial" w:cs="Arial"/>
          <w:sz w:val="20"/>
        </w:rPr>
      </w:pPr>
      <w:r>
        <w:rPr>
          <w:rFonts w:ascii="Arial" w:hAnsi="Arial" w:cs="Arial"/>
          <w:sz w:val="20"/>
        </w:rPr>
        <w:t>(Note: Gray circles mean that the region has little</w:t>
      </w:r>
      <w:r w:rsidR="002323C5">
        <w:rPr>
          <w:rFonts w:ascii="Arial" w:hAnsi="Arial" w:cs="Arial"/>
          <w:sz w:val="20"/>
        </w:rPr>
        <w:t>/no</w:t>
      </w:r>
      <w:r>
        <w:rPr>
          <w:rFonts w:ascii="Arial" w:hAnsi="Arial" w:cs="Arial"/>
          <w:sz w:val="20"/>
        </w:rPr>
        <w:t xml:space="preserve"> activity in that industry)</w:t>
      </w:r>
    </w:p>
    <w:p w14:paraId="33F94E58" w14:textId="1EF274D4" w:rsidR="00150745" w:rsidRDefault="00150745">
      <w:pPr>
        <w:rPr>
          <w:rFonts w:ascii="Arial" w:hAnsi="Arial" w:cs="Arial"/>
          <w:sz w:val="20"/>
        </w:rPr>
      </w:pPr>
    </w:p>
    <w:p w14:paraId="5678A063" w14:textId="09899870" w:rsidR="00150745" w:rsidRDefault="00150745">
      <w:pPr>
        <w:rPr>
          <w:rFonts w:ascii="Arial" w:hAnsi="Arial" w:cs="Arial"/>
          <w:sz w:val="20"/>
        </w:rPr>
      </w:pPr>
      <w:commentRangeStart w:id="2"/>
      <w:r>
        <w:rPr>
          <w:rFonts w:ascii="Arial" w:hAnsi="Arial" w:cs="Arial"/>
          <w:noProof/>
          <w:sz w:val="20"/>
        </w:rPr>
        <w:drawing>
          <wp:anchor distT="0" distB="0" distL="114300" distR="114300" simplePos="0" relativeHeight="251659264" behindDoc="0" locked="0" layoutInCell="1" allowOverlap="1" wp14:anchorId="6EFDE477" wp14:editId="100B9F13">
            <wp:simplePos x="0" y="0"/>
            <wp:positionH relativeFrom="margin">
              <wp:align>left</wp:align>
            </wp:positionH>
            <wp:positionV relativeFrom="paragraph">
              <wp:posOffset>73025</wp:posOffset>
            </wp:positionV>
            <wp:extent cx="2637155" cy="156146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stin_summary.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7558" cy="1561465"/>
                    </a:xfrm>
                    <a:prstGeom prst="rect">
                      <a:avLst/>
                    </a:prstGeom>
                  </pic:spPr>
                </pic:pic>
              </a:graphicData>
            </a:graphic>
            <wp14:sizeRelH relativeFrom="margin">
              <wp14:pctWidth>0</wp14:pctWidth>
            </wp14:sizeRelH>
            <wp14:sizeRelV relativeFrom="margin">
              <wp14:pctHeight>0</wp14:pctHeight>
            </wp14:sizeRelV>
          </wp:anchor>
        </w:drawing>
      </w:r>
      <w:commentRangeEnd w:id="2"/>
      <w:r>
        <w:rPr>
          <w:rStyle w:val="CommentReference"/>
        </w:rPr>
        <w:commentReference w:id="2"/>
      </w:r>
      <w:r>
        <w:rPr>
          <w:rFonts w:ascii="Arial" w:hAnsi="Arial" w:cs="Arial"/>
          <w:sz w:val="20"/>
        </w:rPr>
        <w:t>The graph on the left shows the trends from above. Austin should continue to support its projected Strength in services. It should resolve its potential Weakness caused by reduced employment in Management Consulting. It has several Opportunities it needs to unlock. For Portfolio Management, data indicates it could grow its existing employment. For Biotech, activity in surrounding industries indicates that it could target this new industry. Austin could also expand into promising new industries not currently displayed on this graph, such as Artificial Intelligence. Finally, Austin’s Threats mirror its Strength – its extraordinary employment in tech industries makes it susceptible to a downturn. The city needs to maintain communication with stakeholders about their confidence in current levels of employment.</w:t>
      </w:r>
    </w:p>
    <w:p w14:paraId="7B4F3556" w14:textId="77777777" w:rsidR="00150745" w:rsidRDefault="00150745">
      <w:pPr>
        <w:rPr>
          <w:rFonts w:ascii="Arial" w:hAnsi="Arial" w:cs="Arial"/>
          <w:sz w:val="20"/>
        </w:rPr>
      </w:pPr>
    </w:p>
    <w:p w14:paraId="390842C3" w14:textId="7A25E9CC" w:rsidR="00150745" w:rsidRDefault="00150745">
      <w:pPr>
        <w:rPr>
          <w:rFonts w:ascii="Arial" w:hAnsi="Arial" w:cs="Arial"/>
          <w:sz w:val="20"/>
        </w:rPr>
      </w:pPr>
      <w:r>
        <w:rPr>
          <w:rFonts w:ascii="Arial" w:hAnsi="Arial" w:cs="Arial"/>
          <w:sz w:val="20"/>
        </w:rPr>
        <w:lastRenderedPageBreak/>
        <w:t>As an additional note, while Austin adds jobs in services, it will likely face issues related to inclusiveness and inequality. These jobs pay more than most of the network. It can leverage many different policy options to help its population respond to these issues.</w:t>
      </w:r>
    </w:p>
    <w:p w14:paraId="527FECDA" w14:textId="0E49178B" w:rsidR="00150745" w:rsidRDefault="00150745">
      <w:pPr>
        <w:rPr>
          <w:rFonts w:ascii="Arial" w:hAnsi="Arial" w:cs="Arial"/>
          <w:sz w:val="20"/>
        </w:rPr>
      </w:pPr>
    </w:p>
    <w:p w14:paraId="2518D5F0" w14:textId="5EFC131D" w:rsidR="00150745" w:rsidRDefault="00150745">
      <w:pPr>
        <w:rPr>
          <w:rFonts w:ascii="Arial" w:hAnsi="Arial" w:cs="Arial"/>
          <w:sz w:val="20"/>
        </w:rPr>
      </w:pPr>
      <w:r>
        <w:rPr>
          <w:rFonts w:ascii="Arial" w:hAnsi="Arial" w:cs="Arial"/>
          <w:sz w:val="20"/>
        </w:rPr>
        <w:t>Austin might also want to see the publicly available analysis from above for neighboring cities such as Houston, San Antonio, and Dallas, or for similar cities from outside the state such as Denver and Portland.</w:t>
      </w:r>
    </w:p>
    <w:p w14:paraId="16DB9E68" w14:textId="77777777" w:rsidR="00150745" w:rsidRPr="00150745" w:rsidRDefault="00150745">
      <w:pPr>
        <w:rPr>
          <w:rFonts w:ascii="Arial" w:hAnsi="Arial" w:cs="Arial"/>
          <w:sz w:val="20"/>
        </w:rPr>
      </w:pPr>
    </w:p>
    <w:p w14:paraId="21CE52A9" w14:textId="140C8E25" w:rsidR="00150745" w:rsidRDefault="00150745">
      <w:pPr>
        <w:rPr>
          <w:rFonts w:ascii="Arial" w:hAnsi="Arial" w:cs="Arial"/>
          <w:sz w:val="20"/>
        </w:rPr>
      </w:pPr>
      <w:r>
        <w:rPr>
          <w:rFonts w:ascii="Arial" w:hAnsi="Arial" w:cs="Arial"/>
          <w:sz w:val="20"/>
        </w:rPr>
        <w:t>We use this analysis to help create FOCUS for cities. Once a city like Austin understands what’s possible, probable, and optimal, it can create a strategy that builds around its strengths, resolves its weaknesses, unlocks its opportunities, and hedges against its threats.</w:t>
      </w:r>
    </w:p>
    <w:p w14:paraId="40B5E1E1" w14:textId="1CA756AC" w:rsidR="00150745" w:rsidRDefault="00150745">
      <w:pPr>
        <w:rPr>
          <w:rFonts w:ascii="Arial" w:hAnsi="Arial" w:cs="Arial"/>
          <w:sz w:val="20"/>
        </w:rPr>
      </w:pPr>
    </w:p>
    <w:p w14:paraId="2E6F8FF0" w14:textId="77777777" w:rsidR="003D7B25" w:rsidRPr="00150745" w:rsidRDefault="003D7B25" w:rsidP="003D7B25">
      <w:pPr>
        <w:rPr>
          <w:rFonts w:ascii="Arial" w:hAnsi="Arial" w:cs="Arial"/>
          <w:sz w:val="20"/>
        </w:rPr>
      </w:pPr>
      <w:commentRangeStart w:id="3"/>
      <w:r>
        <w:rPr>
          <w:rFonts w:ascii="Arial" w:hAnsi="Arial" w:cs="Arial"/>
          <w:sz w:val="20"/>
        </w:rPr>
        <w:t>Click here to view data for another city</w:t>
      </w:r>
      <w:commentRangeEnd w:id="3"/>
      <w:r>
        <w:rPr>
          <w:rStyle w:val="CommentReference"/>
        </w:rPr>
        <w:commentReference w:id="3"/>
      </w:r>
      <w:r>
        <w:rPr>
          <w:rFonts w:ascii="Arial" w:hAnsi="Arial" w:cs="Arial"/>
          <w:sz w:val="20"/>
        </w:rPr>
        <w:t xml:space="preserve">, or click </w:t>
      </w:r>
      <w:commentRangeStart w:id="4"/>
      <w:r>
        <w:rPr>
          <w:rFonts w:ascii="Arial" w:hAnsi="Arial" w:cs="Arial"/>
          <w:sz w:val="20"/>
        </w:rPr>
        <w:t>Graphs</w:t>
      </w:r>
      <w:commentRangeEnd w:id="4"/>
      <w:r>
        <w:rPr>
          <w:rStyle w:val="CommentReference"/>
        </w:rPr>
        <w:commentReference w:id="4"/>
      </w:r>
      <w:r>
        <w:rPr>
          <w:rFonts w:ascii="Arial" w:hAnsi="Arial" w:cs="Arial"/>
          <w:sz w:val="20"/>
        </w:rPr>
        <w:t xml:space="preserve"> above to see the data that supports this analysis. If you would like to learn more, please </w:t>
      </w:r>
      <w:commentRangeStart w:id="5"/>
      <w:r>
        <w:rPr>
          <w:rFonts w:ascii="Arial" w:hAnsi="Arial" w:cs="Arial"/>
          <w:sz w:val="20"/>
        </w:rPr>
        <w:t>contact us</w:t>
      </w:r>
      <w:commentRangeEnd w:id="5"/>
      <w:r>
        <w:rPr>
          <w:rStyle w:val="CommentReference"/>
        </w:rPr>
        <w:commentReference w:id="5"/>
      </w:r>
      <w:r>
        <w:rPr>
          <w:rFonts w:ascii="Arial" w:hAnsi="Arial" w:cs="Arial"/>
          <w:sz w:val="20"/>
        </w:rPr>
        <w:t>.</w:t>
      </w:r>
    </w:p>
    <w:p w14:paraId="5AB4C778" w14:textId="6CFFDA88" w:rsidR="00150745" w:rsidRPr="00150745" w:rsidRDefault="00150745" w:rsidP="003D7B25">
      <w:pPr>
        <w:rPr>
          <w:rFonts w:ascii="Arial" w:hAnsi="Arial" w:cs="Arial"/>
          <w:sz w:val="20"/>
        </w:rPr>
      </w:pPr>
      <w:bookmarkStart w:id="6" w:name="_GoBack"/>
      <w:bookmarkEnd w:id="6"/>
    </w:p>
    <w:sectPr w:rsidR="00150745" w:rsidRPr="001507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ibb, Jevon" w:date="2018-03-27T14:29:00Z" w:initials="GJ">
    <w:p w14:paraId="7552D001" w14:textId="0E257B18" w:rsidR="00150745" w:rsidRDefault="00150745">
      <w:pPr>
        <w:pStyle w:val="CommentText"/>
      </w:pPr>
      <w:r>
        <w:rPr>
          <w:rStyle w:val="CommentReference"/>
        </w:rPr>
        <w:annotationRef/>
      </w:r>
      <w:r>
        <w:t>Link to Austin’s Traded visualization</w:t>
      </w:r>
    </w:p>
  </w:comment>
  <w:comment w:id="1" w:author="Gibb, Jevon" w:date="2018-03-27T14:29:00Z" w:initials="GJ">
    <w:p w14:paraId="1EA6E46B" w14:textId="56BC9B70" w:rsidR="00150745" w:rsidRDefault="00150745">
      <w:pPr>
        <w:pStyle w:val="CommentText"/>
      </w:pPr>
      <w:r>
        <w:rPr>
          <w:rStyle w:val="CommentReference"/>
        </w:rPr>
        <w:annotationRef/>
      </w:r>
      <w:r>
        <w:t xml:space="preserve">Link to Austin’s network visualization (included </w:t>
      </w:r>
      <w:proofErr w:type="spellStart"/>
      <w:r>
        <w:t>hed</w:t>
      </w:r>
      <w:proofErr w:type="spellEnd"/>
      <w:r>
        <w:t xml:space="preserve"> and </w:t>
      </w:r>
      <w:proofErr w:type="spellStart"/>
      <w:r>
        <w:t>dek</w:t>
      </w:r>
      <w:proofErr w:type="spellEnd"/>
      <w:r>
        <w:t>, which are not shown here)</w:t>
      </w:r>
    </w:p>
  </w:comment>
  <w:comment w:id="2" w:author="Gibb, Jevon" w:date="2018-03-27T14:30:00Z" w:initials="GJ">
    <w:p w14:paraId="1CA4022A" w14:textId="729F1284" w:rsidR="00150745" w:rsidRDefault="00150745">
      <w:pPr>
        <w:pStyle w:val="CommentText"/>
      </w:pPr>
      <w:r>
        <w:rPr>
          <w:rStyle w:val="CommentReference"/>
        </w:rPr>
        <w:annotationRef/>
      </w:r>
      <w:r>
        <w:t>This is a static image: “austin_summary.gif”</w:t>
      </w:r>
    </w:p>
  </w:comment>
  <w:comment w:id="3" w:author="Gibb, Jevon" w:date="2018-03-27T19:37:00Z" w:initials="GJ">
    <w:p w14:paraId="08F1BFD6" w14:textId="77777777" w:rsidR="003D7B25" w:rsidRDefault="003D7B25" w:rsidP="003D7B25">
      <w:pPr>
        <w:pStyle w:val="CommentText"/>
      </w:pPr>
      <w:r>
        <w:rPr>
          <w:rStyle w:val="CommentReference"/>
        </w:rPr>
        <w:annotationRef/>
      </w:r>
      <w:r>
        <w:t>Link back to clickable city images</w:t>
      </w:r>
    </w:p>
  </w:comment>
  <w:comment w:id="4" w:author="Gibb, Jevon" w:date="2018-03-27T19:37:00Z" w:initials="GJ">
    <w:p w14:paraId="3D591975" w14:textId="77777777" w:rsidR="003D7B25" w:rsidRDefault="003D7B25" w:rsidP="003D7B25">
      <w:pPr>
        <w:pStyle w:val="CommentText"/>
      </w:pPr>
      <w:r>
        <w:rPr>
          <w:rStyle w:val="CommentReference"/>
        </w:rPr>
        <w:annotationRef/>
      </w:r>
      <w:r>
        <w:t>Link to Graphs</w:t>
      </w:r>
    </w:p>
  </w:comment>
  <w:comment w:id="5" w:author="Gibb, Jevon" w:date="2018-03-27T19:37:00Z" w:initials="GJ">
    <w:p w14:paraId="1E32777F" w14:textId="77777777" w:rsidR="003D7B25" w:rsidRDefault="003D7B25" w:rsidP="003D7B25">
      <w:pPr>
        <w:pStyle w:val="CommentText"/>
      </w:pPr>
      <w:r>
        <w:rPr>
          <w:rStyle w:val="CommentReference"/>
        </w:rPr>
        <w:annotationRef/>
      </w:r>
      <w:r>
        <w:t>Link to Contact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52D001" w15:done="0"/>
  <w15:commentEx w15:paraId="1EA6E46B" w15:done="0"/>
  <w15:commentEx w15:paraId="1CA4022A" w15:done="0"/>
  <w15:commentEx w15:paraId="08F1BFD6" w15:done="0"/>
  <w15:commentEx w15:paraId="3D591975" w15:done="0"/>
  <w15:commentEx w15:paraId="1E3277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52D001" w16cid:durableId="1E64D3C4"/>
  <w16cid:commentId w16cid:paraId="1EA6E46B" w16cid:durableId="1E64D3DD"/>
  <w16cid:commentId w16cid:paraId="1CA4022A" w16cid:durableId="1E64D407"/>
  <w16cid:commentId w16cid:paraId="08F1BFD6" w16cid:durableId="1E651BDF"/>
  <w16cid:commentId w16cid:paraId="3D591975" w16cid:durableId="1E651C09"/>
  <w16cid:commentId w16cid:paraId="1E32777F" w16cid:durableId="1E651B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22AF3"/>
    <w:multiLevelType w:val="hybridMultilevel"/>
    <w:tmpl w:val="ED90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273B0"/>
    <w:multiLevelType w:val="hybridMultilevel"/>
    <w:tmpl w:val="EE14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82B88"/>
    <w:multiLevelType w:val="hybridMultilevel"/>
    <w:tmpl w:val="BCFC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bb, Jevon">
    <w15:presenceInfo w15:providerId="None" w15:userId="Gibb, Jev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8F"/>
    <w:rsid w:val="00094EC1"/>
    <w:rsid w:val="000A74FC"/>
    <w:rsid w:val="000B28EF"/>
    <w:rsid w:val="00150745"/>
    <w:rsid w:val="002323C5"/>
    <w:rsid w:val="00280462"/>
    <w:rsid w:val="003A34B0"/>
    <w:rsid w:val="003D7B25"/>
    <w:rsid w:val="00452826"/>
    <w:rsid w:val="0046268F"/>
    <w:rsid w:val="005277E2"/>
    <w:rsid w:val="0076759C"/>
    <w:rsid w:val="00896115"/>
    <w:rsid w:val="0098706C"/>
    <w:rsid w:val="009B2FE3"/>
    <w:rsid w:val="00A04AEB"/>
    <w:rsid w:val="00FF3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09D9"/>
  <w15:chartTrackingRefBased/>
  <w15:docId w15:val="{C0709AC2-F5B2-4239-AF04-7EEA0E32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Theme="minorEastAsia" w:hAnsi="Perpetua" w:cstheme="minorBidi"/>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0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745"/>
    <w:pPr>
      <w:ind w:left="720"/>
      <w:contextualSpacing/>
    </w:pPr>
  </w:style>
  <w:style w:type="character" w:styleId="CommentReference">
    <w:name w:val="annotation reference"/>
    <w:basedOn w:val="DefaultParagraphFont"/>
    <w:uiPriority w:val="99"/>
    <w:semiHidden/>
    <w:unhideWhenUsed/>
    <w:rsid w:val="00150745"/>
    <w:rPr>
      <w:sz w:val="16"/>
      <w:szCs w:val="16"/>
    </w:rPr>
  </w:style>
  <w:style w:type="paragraph" w:styleId="CommentText">
    <w:name w:val="annotation text"/>
    <w:basedOn w:val="Normal"/>
    <w:link w:val="CommentTextChar"/>
    <w:uiPriority w:val="99"/>
    <w:semiHidden/>
    <w:unhideWhenUsed/>
    <w:rsid w:val="00150745"/>
    <w:rPr>
      <w:sz w:val="20"/>
      <w:szCs w:val="20"/>
    </w:rPr>
  </w:style>
  <w:style w:type="character" w:customStyle="1" w:styleId="CommentTextChar">
    <w:name w:val="Comment Text Char"/>
    <w:basedOn w:val="DefaultParagraphFont"/>
    <w:link w:val="CommentText"/>
    <w:uiPriority w:val="99"/>
    <w:semiHidden/>
    <w:rsid w:val="00150745"/>
    <w:rPr>
      <w:sz w:val="20"/>
      <w:szCs w:val="20"/>
    </w:rPr>
  </w:style>
  <w:style w:type="paragraph" w:styleId="CommentSubject">
    <w:name w:val="annotation subject"/>
    <w:basedOn w:val="CommentText"/>
    <w:next w:val="CommentText"/>
    <w:link w:val="CommentSubjectChar"/>
    <w:uiPriority w:val="99"/>
    <w:semiHidden/>
    <w:unhideWhenUsed/>
    <w:rsid w:val="00150745"/>
    <w:rPr>
      <w:b/>
      <w:bCs/>
    </w:rPr>
  </w:style>
  <w:style w:type="character" w:customStyle="1" w:styleId="CommentSubjectChar">
    <w:name w:val="Comment Subject Char"/>
    <w:basedOn w:val="CommentTextChar"/>
    <w:link w:val="CommentSubject"/>
    <w:uiPriority w:val="99"/>
    <w:semiHidden/>
    <w:rsid w:val="00150745"/>
    <w:rPr>
      <w:b/>
      <w:bCs/>
      <w:sz w:val="20"/>
      <w:szCs w:val="20"/>
    </w:rPr>
  </w:style>
  <w:style w:type="paragraph" w:styleId="BalloonText">
    <w:name w:val="Balloon Text"/>
    <w:basedOn w:val="Normal"/>
    <w:link w:val="BalloonTextChar"/>
    <w:uiPriority w:val="99"/>
    <w:semiHidden/>
    <w:unhideWhenUsed/>
    <w:rsid w:val="001507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7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39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3129</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 Jevon</dc:creator>
  <cp:keywords/>
  <dc:description/>
  <cp:lastModifiedBy>Gibb, Jevon</cp:lastModifiedBy>
  <cp:revision>4</cp:revision>
  <dcterms:created xsi:type="dcterms:W3CDTF">2018-03-24T22:38:00Z</dcterms:created>
  <dcterms:modified xsi:type="dcterms:W3CDTF">2018-03-27T23:38:00Z</dcterms:modified>
</cp:coreProperties>
</file>