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PROJECT SIGN-OFF &amp; CLIENT ACCEPTANCE DOCUMENT</w:t>
        <w:br/>
      </w:r>
      <w:r>
        <w:rPr>
          <w:rFonts w:ascii="Times New Roman" w:hAnsi="Times New Roman"/>
          <w:b/>
          <w:color w:val="000000"/>
          <w:sz w:val="22"/>
        </w:rPr>
        <w:t>ENTERPRISE SOFTWARE ACCEPTANCE &amp; TECHNICAL HANDOVER CERTIFICATE</w:t>
      </w:r>
    </w:p>
    <w:tbl>
      <w:tblPr>
        <w:tblW w:type="auto" w:w="0"/>
        <w:jc w:val="center"/>
        <w:tblLayout w:type="fixed"/>
        <w:tblLook w:firstColumn="1" w:firstRow="1" w:lastColumn="0" w:lastRow="0" w:noHBand="0" w:noVBand="1" w:val="04A0"/>
      </w:tblPr>
      <w:tblGrid>
        <w:gridCol w:w="4968"/>
        <w:gridCol w:w="4968"/>
      </w:tblGrid>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Document Reference</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MICROAXIS-ATALTA-PSD-2026-001</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Project Title</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ATA &amp; LTA Enterprise Resource Planning (ERP) System</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Client Organization</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ATA &amp; LTA ACCOUNTING FIRM (Dual-Entity Practice)</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Service Provider</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MICROAXIS (Represented by Mr. Mark Anthony C. Ureta)</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Governing Contract</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Software Development Agreement dated May 27, 2026</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Total Investment / Status</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PHP 50,000.00 (VAT Excl.) | 100% FULLY SETTLED &amp; RECEIVED</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Warranty / Support Term</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3-Month Free Warranty &amp; Maintenance (Aug 28 – Nov 28, 2026)</w:t>
            </w:r>
          </w:p>
        </w:tc>
      </w:tr>
    </w:tbl>
    <w:p>
      <w:pPr>
        <w:spacing w:after="80"/>
      </w:pPr>
    </w:p>
    <w:p>
      <w:pPr>
        <w:spacing w:before="280" w:after="80"/>
      </w:pPr>
      <w:r>
        <w:rPr>
          <w:rFonts w:ascii="Times New Roman" w:hAnsi="Times New Roman"/>
          <w:b/>
          <w:color w:val="000000"/>
          <w:sz w:val="26"/>
        </w:rPr>
        <w:t>1. EXECUTIVE SUMMARY &amp; PURPOSE</w:t>
      </w:r>
    </w:p>
    <w:p>
      <w:pPr>
        <w:spacing w:after="90" w:line="276" w:lineRule="auto"/>
      </w:pPr>
      <w:r>
        <w:rPr>
          <w:rFonts w:ascii="Times New Roman" w:hAnsi="Times New Roman"/>
          <w:color w:val="000000"/>
          <w:sz w:val="22"/>
        </w:rPr>
        <w:t>This Project Sign-Off &amp; Client Acceptance Document serves as the formal certificate of technical completion, operational handover verification, and contractual acceptance between MICROAXIS (the "Provider") and ATA &amp; LTA ACCOUNTING FIRM (the "Client").</w:t>
      </w:r>
    </w:p>
    <w:p>
      <w:pPr>
        <w:spacing w:after="90" w:line="276" w:lineRule="auto"/>
      </w:pPr>
      <w:r>
        <w:rPr>
          <w:rFonts w:ascii="Times New Roman" w:hAnsi="Times New Roman"/>
          <w:color w:val="000000"/>
          <w:sz w:val="22"/>
        </w:rPr>
        <w:t>Pursuant to the Software Development Agreement executed on May 27, 2026, MICROAXIS was engaged to design, develop, test, deploy, onboard, and support a comprehensive, web-based Enterprise Resource Planning (ERP) System specifically customized for the dual-entity operations of ATA &amp; LTA Accounting Firm.</w:t>
      </w:r>
    </w:p>
    <w:p>
      <w:pPr>
        <w:spacing w:after="90" w:line="276" w:lineRule="auto"/>
      </w:pPr>
      <w:r>
        <w:rPr>
          <w:rFonts w:ascii="Times New Roman" w:hAnsi="Times New Roman"/>
          <w:color w:val="000000"/>
          <w:sz w:val="22"/>
        </w:rPr>
        <w:t>By executing this document, both Parties formally certify that: (1) all agreed functional modules and workflows have been fully delivered and verified in accordance with the ERP Feedback V1 specifications; (2) User Acceptance Testing (UAT) and operational training sessions have been successfully completed across all firm tiers; (3) the agreed project investment of PHP 50,000.00 (VAT Exclusive) has been 100% fully settled and received in full by the Provider; (4) the 3-Month Free Warranty and Maintenance period is officially activated effective August 28, 2026 until November 28, 2026; and (5) the technical transfer of hosting accounts and repositories is outlined as an open-ended selection item in Section 6, enabling the Client to determine their preferred transfer strategy independently.</w:t>
      </w:r>
    </w:p>
    <w:p>
      <w:pPr>
        <w:spacing w:before="280" w:after="80"/>
      </w:pPr>
      <w:r>
        <w:rPr>
          <w:rFonts w:ascii="Times New Roman" w:hAnsi="Times New Roman"/>
          <w:b/>
          <w:color w:val="000000"/>
          <w:sz w:val="26"/>
        </w:rPr>
        <w:t>2. PROJECT IDENTIFICATION &amp; STAKEHOLDERS</w:t>
      </w:r>
    </w:p>
    <w:p>
      <w:pPr>
        <w:spacing w:after="90" w:line="276" w:lineRule="auto"/>
      </w:pPr>
      <w:r>
        <w:rPr>
          <w:rFonts w:ascii="Times New Roman" w:hAnsi="Times New Roman"/>
          <w:b/>
          <w:color w:val="000000"/>
          <w:sz w:val="22"/>
        </w:rPr>
        <w:t xml:space="preserve">Service Provider: </w:t>
      </w:r>
      <w:r>
        <w:rPr>
          <w:rFonts w:ascii="Times New Roman" w:hAnsi="Times New Roman"/>
          <w:color w:val="000000"/>
          <w:sz w:val="22"/>
        </w:rPr>
        <w:t>MICROAXIS | Represented by Mr. Mark Anthony C. Ureta (Project Manager) | Address: Meycauayan, Bulacan | Email: simplekramateru14@gmail.com | Contact: +63 916 314 3623</w:t>
      </w:r>
    </w:p>
    <w:p>
      <w:pPr>
        <w:spacing w:after="90" w:line="276" w:lineRule="auto"/>
      </w:pPr>
      <w:r>
        <w:rPr>
          <w:rFonts w:ascii="Times New Roman" w:hAnsi="Times New Roman"/>
          <w:b/>
          <w:color w:val="000000"/>
          <w:sz w:val="22"/>
        </w:rPr>
        <w:t xml:space="preserve">Client Organization: </w:t>
      </w:r>
      <w:r>
        <w:rPr>
          <w:rFonts w:ascii="Times New Roman" w:hAnsi="Times New Roman"/>
          <w:color w:val="000000"/>
          <w:sz w:val="22"/>
        </w:rPr>
        <w:t>ATA &amp; LTA ACCOUNTING FIRM | Dual-Entity Accounting Practice comprising ATA Entity (Audit, Tax Advisory &amp; Accounting) and LTA Entity (Legal Tax Advisory, Compliance &amp; Permits) | Authorized Representatives: Managing Partners &amp; Operational Directors.</w:t>
      </w:r>
    </w:p>
    <w:p>
      <w:pPr>
        <w:spacing w:before="280" w:after="80"/>
      </w:pPr>
      <w:r>
        <w:rPr>
          <w:rFonts w:ascii="Times New Roman" w:hAnsi="Times New Roman"/>
          <w:b/>
          <w:color w:val="000000"/>
          <w:sz w:val="26"/>
        </w:rPr>
        <w:t>3. SCOPE RECONCILIATION &amp; DELIVERABLES VERIFICATION MATRIX</w:t>
      </w:r>
    </w:p>
    <w:p>
      <w:pPr>
        <w:spacing w:after="90" w:line="276" w:lineRule="auto"/>
      </w:pPr>
      <w:r>
        <w:rPr>
          <w:rFonts w:ascii="Times New Roman" w:hAnsi="Times New Roman"/>
          <w:color w:val="000000"/>
          <w:sz w:val="22"/>
        </w:rPr>
        <w:t>The table below details the reconciliation of all contractual requirements specified in Section 2 of the Agreement against the delivered and verified ERP system components: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576"/>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w:t>
            </w:r>
          </w:p>
        </w:tc>
        <w:tc>
          <w:tcPr>
            <w:tcW w:type="dxa" w:w="288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Contract Module</w:t>
            </w:r>
          </w:p>
        </w:tc>
        <w:tc>
          <w:tcPr>
            <w:tcW w:type="dxa" w:w="475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Delivered Scope &amp; Implementation Highlights</w:t>
            </w:r>
          </w:p>
        </w:tc>
        <w:tc>
          <w:tcPr>
            <w:tcW w:type="dxa" w:w="1728"/>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Status</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Auth &amp; RBAC</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Supabase JWT auth, 5-tier role permissions (Admin, Manager, Staff Ops/Acct/Docs), single-entity locking (ATA/LTA) &amp; multi-entity switching, immutable audit trails.</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B</w:t>
            </w:r>
          </w:p>
        </w:tc>
        <w:tc>
          <w:tcPr>
            <w:tcW w:type="dxa" w:w="288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Dashboard Module</w:t>
            </w:r>
          </w:p>
        </w:tc>
        <w:tc>
          <w:tcPr>
            <w:tcW w:type="dxa" w:w="47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Dual dashboard modes: Consolidated Firm Overview &amp; Scoped Entity Dashboard; upcoming disbursements, weekly due work requests, pending approvals, task load.</w:t>
            </w:r>
          </w:p>
        </w:tc>
        <w:tc>
          <w:tcPr>
            <w:tcW w:type="dxa" w:w="172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Management</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Taxpayer records with TIN/RDO, trade names, multi-contact directory, related companies graph, retainer fees, full archival &amp; restore lifecycle.</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w:t>
            </w:r>
          </w:p>
        </w:tc>
        <w:tc>
          <w:tcPr>
            <w:tcW w:type="dxa" w:w="288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Operations Module</w:t>
            </w:r>
          </w:p>
        </w:tc>
        <w:tc>
          <w:tcPr>
            <w:tcW w:type="dxa" w:w="47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Kanban Board, Table &amp; List views; 3-tier priority (Urgent/Priority/Low); task checklists &amp; dependencies; exact from-to time logging; billing &amp; disbursement linkage.</w:t>
            </w:r>
          </w:p>
        </w:tc>
        <w:tc>
          <w:tcPr>
            <w:tcW w:type="dxa" w:w="172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E</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Transmittals &amp; Custody</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Physical document custody logs (Pickup, Courier, Transfer); status pipeline (Draft → Approved → Sent → Received) with board ordering; safekeeping tracking.</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F</w:t>
            </w:r>
          </w:p>
        </w:tc>
        <w:tc>
          <w:tcPr>
            <w:tcW w:type="dxa" w:w="288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Billing &amp; Invoicing</w:t>
            </w:r>
          </w:p>
        </w:tc>
        <w:tc>
          <w:tcPr>
            <w:tcW w:type="dxa" w:w="47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Sales invoice generation, billing vouchers, PDF exports, monthly retainer recurring templates, collection monitoring, official receipt recording.</w:t>
            </w:r>
          </w:p>
        </w:tc>
        <w:tc>
          <w:tcPr>
            <w:tcW w:type="dxa" w:w="172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G</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Disbursement Module</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Multi-tier expense filing, reimbursement tracking, voucher generation, recurring templates, receipt attachments to Supabase Storage, approval workflow.</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H</w:t>
            </w:r>
          </w:p>
        </w:tc>
        <w:tc>
          <w:tcPr>
            <w:tcW w:type="dxa" w:w="288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Document Management (DMS)</w:t>
            </w:r>
          </w:p>
        </w:tc>
        <w:tc>
          <w:tcPr>
            <w:tcW w:type="dxa" w:w="47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Secure cloud storage (Supabase Storage), entity/client/department categorization, version control, admin comments, pre-signed upload/download URLs.</w:t>
            </w:r>
          </w:p>
        </w:tc>
        <w:tc>
          <w:tcPr>
            <w:tcW w:type="dxa" w:w="172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I</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Reports &amp; Analytics</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Bento-Grid reporting interface, employee productivity &amp; time utilization, daily/weekly/monthly operations, P&amp;L snapshots, collection efficiency analytics.</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J</w:t>
            </w:r>
          </w:p>
        </w:tc>
        <w:tc>
          <w:tcPr>
            <w:tcW w:type="dxa" w:w="288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Administrative Portal</w:t>
            </w:r>
          </w:p>
        </w:tc>
        <w:tc>
          <w:tcPr>
            <w:tcW w:type="dxa" w:w="47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User provisioning, department role assignments, system-wide audit log inspector, pending changes review &amp; governance approval pipeline.</w:t>
            </w:r>
          </w:p>
        </w:tc>
        <w:tc>
          <w:tcPr>
            <w:tcW w:type="dxa" w:w="172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r>
        <w:tc>
          <w:tcPr>
            <w:tcW w:type="dxa" w:w="5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K</w:t>
            </w:r>
          </w:p>
        </w:tc>
        <w:tc>
          <w:tcPr>
            <w:tcW w:type="dxa" w:w="288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Cloud Infrastructure &amp; CI/CD</w:t>
            </w:r>
          </w:p>
        </w:tc>
        <w:tc>
          <w:tcPr>
            <w:tcW w:type="dxa" w:w="47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Render Web API (Docker) + Render Static Site (SPA), Supabase PostgreSQL, GitHub Actions CI/CD with automated nightly 2 AM backups &amp; operational runbooks.</w:t>
            </w:r>
          </w:p>
        </w:tc>
        <w:tc>
          <w:tcPr>
            <w:tcW w:type="dxa" w:w="172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ACCEPTED</w:t>
            </w:r>
          </w:p>
        </w:tc>
      </w:tr>
    </w:tbl>
    <w:p>
      <w:pPr>
        <w:spacing w:before="280" w:after="80"/>
      </w:pPr>
      <w:r>
        <w:rPr>
          <w:rFonts w:ascii="Times New Roman" w:hAnsi="Times New Roman"/>
          <w:b/>
          <w:color w:val="000000"/>
          <w:sz w:val="26"/>
        </w:rPr>
        <w:t>4. USER ACCEPTANCE TESTING (UAT) &amp; QUALITY ASSURANCE</w:t>
      </w:r>
    </w:p>
    <w:p>
      <w:pPr>
        <w:spacing w:after="90" w:line="276" w:lineRule="auto"/>
      </w:pPr>
      <w:r>
        <w:rPr>
          <w:rFonts w:ascii="Times New Roman" w:hAnsi="Times New Roman"/>
          <w:b/>
          <w:color w:val="000000"/>
          <w:sz w:val="22"/>
        </w:rPr>
        <w:t xml:space="preserve">Automated Quality Verification: </w:t>
      </w:r>
      <w:r>
        <w:rPr>
          <w:rFonts w:ascii="Times New Roman" w:hAnsi="Times New Roman"/>
          <w:color w:val="000000"/>
          <w:sz w:val="22"/>
        </w:rPr>
        <w:t>Automated Backend &amp; Integration Test Suites: 18 of 18 Suites Passing (100% Pass Rate). Total Automated Tests Executed: 154 of 154 Passing (100% Pass Rate). Zero blocking regression defects.</w:t>
      </w:r>
    </w:p>
    <w:p>
      <w:pPr>
        <w:spacing w:after="90" w:line="276" w:lineRule="auto"/>
      </w:pPr>
      <w:r>
        <w:rPr>
          <w:rFonts w:ascii="Times New Roman" w:hAnsi="Times New Roman"/>
          <w:color w:val="000000"/>
          <w:sz w:val="22"/>
        </w:rPr>
        <w:t>Hands-on User Acceptance Testing was conducted across all operational roles. The test execution outcomes are summarized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Test Domain</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Evaluator Role</w:t>
            </w:r>
          </w:p>
        </w:tc>
        <w:tc>
          <w:tcPr>
            <w:tcW w:type="dxa" w:w="331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Verified Capabilities</w:t>
            </w:r>
          </w:p>
        </w:tc>
        <w:tc>
          <w:tcPr>
            <w:tcW w:type="dxa" w:w="144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UAT Result</w:t>
            </w:r>
          </w:p>
        </w:tc>
      </w:tr>
      <w:tr>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Authentication &amp; RBAC</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System Administrator</w:t>
            </w:r>
          </w:p>
        </w:tc>
        <w:tc>
          <w:tcPr>
            <w:tcW w:type="dxa" w:w="331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Login, entity switching, role isolation, session stability</w:t>
            </w:r>
          </w:p>
        </w:tc>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Directory</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Operations &amp; Accounting</w:t>
            </w:r>
          </w:p>
        </w:tc>
        <w:tc>
          <w:tcPr>
            <w:tcW w:type="dxa" w:w="331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Taxpayer CRUD, contact directory, retainers, archival</w:t>
            </w:r>
          </w:p>
        </w:tc>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Operations &amp; Tasks</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Operations Staff &amp; Manager</w:t>
            </w:r>
          </w:p>
        </w:tc>
        <w:tc>
          <w:tcPr>
            <w:tcW w:type="dxa" w:w="331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Kanban boards, checklists, time logging, ground workers</w:t>
            </w:r>
          </w:p>
        </w:tc>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Billing &amp; Invoicing</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Accounting Staff &amp; Manager</w:t>
            </w:r>
          </w:p>
        </w:tc>
        <w:tc>
          <w:tcPr>
            <w:tcW w:type="dxa" w:w="331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Invoice creation, PDF export, retainer generation, receipts</w:t>
            </w:r>
          </w:p>
        </w:tc>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Disbursements &amp; Expenses</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Accounting Staff &amp; Admin</w:t>
            </w:r>
          </w:p>
        </w:tc>
        <w:tc>
          <w:tcPr>
            <w:tcW w:type="dxa" w:w="331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Expense filing, multi-tier approval, voucher generation</w:t>
            </w:r>
          </w:p>
        </w:tc>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Transmittals &amp; Custody</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Documentation Staff</w:t>
            </w:r>
          </w:p>
        </w:tc>
        <w:tc>
          <w:tcPr>
            <w:tcW w:type="dxa" w:w="331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Handover logs, courier dispatch, receiving acknowledgement</w:t>
            </w:r>
          </w:p>
        </w:tc>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DMS &amp; Cloud Storage</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Documentation &amp; Admin</w:t>
            </w:r>
          </w:p>
        </w:tc>
        <w:tc>
          <w:tcPr>
            <w:tcW w:type="dxa" w:w="331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BIR form uploads, receipt attachments, pre-signed URLs</w:t>
            </w:r>
          </w:p>
        </w:tc>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r>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Reports &amp; Bento Grid</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Managing Partner &amp; Admin</w:t>
            </w:r>
          </w:p>
        </w:tc>
        <w:tc>
          <w:tcPr>
            <w:tcW w:type="dxa" w:w="331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Productivity metrics, revenue summaries, workload distribution</w:t>
            </w:r>
          </w:p>
        </w:tc>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PASSED</w:t>
            </w:r>
          </w:p>
        </w:tc>
      </w:tr>
    </w:tbl>
    <w:p>
      <w:pPr>
        <w:spacing w:before="280" w:after="80"/>
      </w:pPr>
      <w:r>
        <w:rPr>
          <w:rFonts w:ascii="Times New Roman" w:hAnsi="Times New Roman"/>
          <w:b/>
          <w:color w:val="000000"/>
          <w:sz w:val="26"/>
        </w:rPr>
        <w:t>5. DEFECT DISPOSITION &amp; EXCEPTIONS FRAMEWORK</w:t>
      </w:r>
    </w:p>
    <w:p>
      <w:pPr>
        <w:spacing w:after="90" w:line="276" w:lineRule="auto"/>
      </w:pPr>
      <w:r>
        <w:rPr>
          <w:rFonts w:ascii="Times New Roman" w:hAnsi="Times New Roman"/>
          <w:color w:val="000000"/>
          <w:sz w:val="22"/>
        </w:rPr>
        <w:t>Zero Severity 1 (Critical/Blocker) and Zero Severity 2 (Major Workflow Broken) defects exist. All core operational, financial, and compliance workflows operate with complete stability. Minor post-launch continuous improvement items have been scheduled for routine maintenance: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Item ID</w:t>
            </w:r>
          </w:p>
        </w:tc>
        <w:tc>
          <w:tcPr>
            <w:tcW w:type="dxa" w:w="216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Category</w:t>
            </w:r>
          </w:p>
        </w:tc>
        <w:tc>
          <w:tcPr>
            <w:tcW w:type="dxa" w:w="4176"/>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Description</w:t>
            </w:r>
          </w:p>
        </w:tc>
        <w:tc>
          <w:tcPr>
            <w:tcW w:type="dxa" w:w="216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Agreed Disposition</w:t>
            </w:r>
          </w:p>
        </w:tc>
      </w:tr>
      <w:tr>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DEP-001</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Routine Maintenance</w:t>
            </w:r>
          </w:p>
        </w:tc>
        <w:tc>
          <w:tcPr>
            <w:tcW w:type="dxa" w:w="41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Routine dependency version upgrades during scheduled maintenance.</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3-Month Maintenance</w:t>
            </w:r>
          </w:p>
        </w:tc>
      </w:tr>
      <w:tr>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DOC-002</w:t>
            </w:r>
          </w:p>
        </w:tc>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Out-of-Scope</w:t>
            </w:r>
          </w:p>
        </w:tc>
        <w:tc>
          <w:tcPr>
            <w:tcW w:type="dxa" w:w="417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Optional specialized BIR tax form export modules.</w:t>
            </w:r>
          </w:p>
        </w:tc>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Optional Phase 2 SOW</w:t>
            </w:r>
          </w:p>
        </w:tc>
      </w:tr>
      <w:tr>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UX-003</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Minor UI Tuning</w:t>
            </w:r>
          </w:p>
        </w:tc>
        <w:tc>
          <w:tcPr>
            <w:tcW w:type="dxa" w:w="417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Optional cosmetic display tweaks for specific workstation resolutions.</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Maintenance Period</w:t>
            </w:r>
          </w:p>
        </w:tc>
      </w:tr>
    </w:tbl>
    <w:p>
      <w:pPr>
        <w:spacing w:before="280" w:after="80"/>
      </w:pPr>
      <w:r>
        <w:rPr>
          <w:rFonts w:ascii="Times New Roman" w:hAnsi="Times New Roman"/>
          <w:b/>
          <w:color w:val="000000"/>
          <w:sz w:val="26"/>
        </w:rPr>
        <w:t>6. ONBOARDING, OPERATIONAL TRAINING &amp; ASSET TURNOVER</w:t>
      </w:r>
    </w:p>
    <w:p>
      <w:pPr>
        <w:spacing w:after="90" w:line="276" w:lineRule="auto"/>
      </w:pPr>
      <w:r>
        <w:rPr>
          <w:rFonts w:ascii="Times New Roman" w:hAnsi="Times New Roman"/>
          <w:b/>
          <w:color w:val="000000"/>
          <w:sz w:val="22"/>
        </w:rPr>
        <w:t xml:space="preserve">Training Completion: </w:t>
      </w:r>
      <w:r>
        <w:rPr>
          <w:rFonts w:ascii="Times New Roman" w:hAnsi="Times New Roman"/>
          <w:color w:val="000000"/>
          <w:sz w:val="22"/>
        </w:rPr>
        <w:t>Operational Onboarding: Intensive onboarding was conducted covering Admin user provisioning and audit logs, Managerial cross-entity monitoring and approval workflows, and Staff hands-on execution for Operations, Accounting, and Documentation.</w:t>
      </w:r>
    </w:p>
    <w:p>
      <w:pPr>
        <w:spacing w:after="90" w:line="276" w:lineRule="auto"/>
      </w:pPr>
      <w:r>
        <w:rPr>
          <w:rFonts w:ascii="Times New Roman" w:hAnsi="Times New Roman"/>
          <w:b/>
          <w:color w:val="000000"/>
          <w:sz w:val="22"/>
        </w:rPr>
        <w:t xml:space="preserve">Delivered Assets: </w:t>
      </w:r>
      <w:r>
        <w:rPr>
          <w:rFonts w:ascii="Times New Roman" w:hAnsi="Times New Roman"/>
          <w:color w:val="000000"/>
          <w:sz w:val="22"/>
        </w:rPr>
        <w:t>Complete Monorepo (/backend, /erp_prototype, /migrations, .github/workflows), Render Web Service &amp; Static Site configurations, Supabase PostgreSQL database, Supabase Storage buckets, and full operational runbooks (Incident Response, Rollback, Secret Rotation, Migration Failure).</w:t>
      </w:r>
    </w:p>
    <w:p>
      <w:pPr>
        <w:spacing w:before="200" w:after="60"/>
      </w:pPr>
      <w:r>
        <w:rPr>
          <w:rFonts w:ascii="Times New Roman" w:hAnsi="Times New Roman"/>
          <w:b/>
          <w:color w:val="000000"/>
          <w:sz w:val="23"/>
        </w:rPr>
        <w:t>6.1 Asset Turnover &amp; Account Transfer Options (Open-Ended Client Decision Item)</w:t>
      </w:r>
    </w:p>
    <w:p>
      <w:pPr>
        <w:spacing w:after="90" w:line="276" w:lineRule="auto"/>
      </w:pPr>
      <w:r>
        <w:rPr>
          <w:rFonts w:ascii="Times New Roman" w:hAnsi="Times New Roman"/>
          <w:color w:val="000000"/>
          <w:sz w:val="22"/>
        </w:rPr>
        <w:t>During staging and development, personal developer accounts were utilized for GitHub repository hosting and Render compute services, while a dedicated Client project was provisioned for Supabase database, auth, and storage. To ensure the development team can provide continuous database maintenance and rapid defect resolution during the 3-Month Warranty Period (Aug 28 – Nov 28, 2026), the Client may select from the following strategic handover options. This selection is decoupled from this Sign-Off Document and may be finalized independently: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Transfer Option</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GitHub Repository</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Render Hosting</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Co-Management &amp; Assessment</w:t>
            </w:r>
          </w:p>
        </w:tc>
      </w:tr>
      <w:tr>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A (Recommended)</w:t>
              <w:br/>
              <w:t>GitHub Org + Render Team</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Transfer repo to Client GitHub Organization. Developer added as Admin/Write Collaborator.</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creates Render Team/Workspace; invites developer as Collaborator.</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immediately owns all assets; developers retain full CI/CD &amp; bugfix access; 1-click clean offboarding on Day 90.</w:t>
            </w:r>
          </w:p>
        </w:tc>
      </w:tr>
      <w:tr>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B</w:t>
              <w:br/>
              <w:t>Repository Mirroring</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Developer pushes codebase to fresh Client GitHub repo as a secondary remote.</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configures fresh Render services connected to their repo.</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Complete isolation; requires dual-remote syncing for all bugfixes during warranty.</w:t>
            </w:r>
          </w:p>
        </w:tc>
      </w:tr>
      <w:tr>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C</w:t>
              <w:br/>
              <w:t>Phased Custody (Day-90 Cutover)</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Maintain existing personal repo during warranty with Client as collaborator; transfer on Nov 28, 2026.</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Maintain existing Render services during warranty; hand over on Day 90.</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Zero immediate setup friction; full cutover and secret rotation executed on Day 90.</w:t>
            </w:r>
          </w:p>
        </w:tc>
      </w:tr>
    </w:tbl>
    <w:p>
      <w:pPr>
        <w:spacing w:after="90" w:line="276" w:lineRule="auto"/>
      </w:pPr>
      <w:r>
        <w:rPr>
          <w:rFonts w:ascii="Times New Roman" w:hAnsi="Times New Roman"/>
          <w:b/>
          <w:color w:val="000000"/>
          <w:sz w:val="22"/>
        </w:rPr>
        <w:t>Client Selection Checkbox (To be confirmed separately by Client IT):</w:t>
        <w:br/>
      </w:r>
      <w:r>
        <w:rPr>
          <w:rFonts w:ascii="Times New Roman" w:hAnsi="Times New Roman"/>
          <w:color w:val="000000"/>
          <w:sz w:val="22"/>
        </w:rPr>
        <w:t>[  ]  Option A (Recommended): GitHub Organization Transfer + Render Team Workspace Co-Management</w:t>
        <w:br/>
        <w:t>[  ]  Option B: Repository Mirroring / Clean Push to Client Account</w:t>
        <w:br/>
        <w:t>[  ]  Option C: Phased Custody with Full Transfer on Day 90 (November 28, 2026)</w:t>
      </w:r>
    </w:p>
    <w:p>
      <w:pPr>
        <w:spacing w:after="90" w:line="276" w:lineRule="auto"/>
      </w:pPr>
      <w:r>
        <w:rPr>
          <w:rFonts w:ascii="Times New Roman" w:hAnsi="Times New Roman"/>
          <w:b/>
          <w:color w:val="000000"/>
          <w:sz w:val="22"/>
        </w:rPr>
        <w:t xml:space="preserve">Note: </w:t>
      </w:r>
      <w:r>
        <w:rPr>
          <w:rFonts w:ascii="Times New Roman" w:hAnsi="Times New Roman"/>
          <w:color w:val="000000"/>
          <w:sz w:val="22"/>
        </w:rPr>
        <w:t>Detailed Technical Playbook Reference: Detailed step-by-step procedures for each option are documented in the companion guide: Asset-Turnover-and-Account-Transfer-Guide.docx.</w:t>
      </w:r>
    </w:p>
    <w:p>
      <w:pPr>
        <w:spacing w:before="280" w:after="80"/>
      </w:pPr>
      <w:r>
        <w:rPr>
          <w:rFonts w:ascii="Times New Roman" w:hAnsi="Times New Roman"/>
          <w:b/>
          <w:color w:val="000000"/>
          <w:sz w:val="26"/>
        </w:rPr>
        <w:t>7. THREE (3) MONTHS WARRANTY &amp; MAINTENANCE SUPPORT (SLA)</w:t>
      </w:r>
    </w:p>
    <w:p>
      <w:pPr>
        <w:spacing w:after="90" w:line="276" w:lineRule="auto"/>
      </w:pPr>
      <w:r>
        <w:rPr>
          <w:rFonts w:ascii="Times New Roman" w:hAnsi="Times New Roman"/>
          <w:b/>
          <w:color w:val="000000"/>
          <w:sz w:val="22"/>
        </w:rPr>
        <w:t xml:space="preserve">Maintenance Window: </w:t>
      </w:r>
      <w:r>
        <w:rPr>
          <w:rFonts w:ascii="Times New Roman" w:hAnsi="Times New Roman"/>
          <w:color w:val="000000"/>
          <w:sz w:val="22"/>
        </w:rPr>
        <w:t>August 28, 2026 through November 28, 2026 (Three Calendar Months).</w:t>
      </w:r>
    </w:p>
    <w:p>
      <w:pPr>
        <w:spacing w:after="90" w:line="276" w:lineRule="auto"/>
      </w:pPr>
      <w:r>
        <w:rPr>
          <w:rFonts w:ascii="Times New Roman" w:hAnsi="Times New Roman"/>
          <w:b/>
          <w:color w:val="000000"/>
          <w:sz w:val="22"/>
        </w:rPr>
        <w:t xml:space="preserve">Scope of Maintenance: </w:t>
      </w:r>
      <w:r>
        <w:rPr>
          <w:rFonts w:ascii="Times New Roman" w:hAnsi="Times New Roman"/>
          <w:color w:val="000000"/>
          <w:sz w:val="22"/>
        </w:rPr>
        <w:t>Free consultation, defect remediation, performance monitoring, database connection tuning, minor non-structural UI adjustments, and online support coordination during Philippine business hours (Mon-Fri 9AM-6PM PHT).</w:t>
      </w:r>
    </w:p>
    <w:p>
      <w:pPr>
        <w:spacing w:after="90" w:line="276" w:lineRule="auto"/>
      </w:pPr>
      <w:r>
        <w:rPr>
          <w:rFonts w:ascii="Times New Roman" w:hAnsi="Times New Roman"/>
          <w:b/>
          <w:color w:val="000000"/>
          <w:sz w:val="22"/>
        </w:rPr>
        <w:t xml:space="preserve">SLA Target Response: </w:t>
      </w:r>
      <w:r>
        <w:rPr>
          <w:rFonts w:ascii="Times New Roman" w:hAnsi="Times New Roman"/>
          <w:color w:val="000000"/>
          <w:sz w:val="22"/>
        </w:rPr>
        <w:t>Severity 1 (Critical Outage): 2-4 Hours initial response; Severity 2 (Major Workflow Issue): 8 Hours response; Severity 3 (Minor Inquiry): 24 Hours response.</w:t>
      </w:r>
    </w:p>
    <w:p>
      <w:pPr>
        <w:spacing w:after="90" w:line="276" w:lineRule="auto"/>
      </w:pPr>
      <w:r>
        <w:rPr>
          <w:rFonts w:ascii="Times New Roman" w:hAnsi="Times New Roman"/>
          <w:b/>
          <w:color w:val="000000"/>
          <w:sz w:val="22"/>
        </w:rPr>
        <w:t xml:space="preserve">Exclusions &amp; Exclusive Remedy: </w:t>
      </w:r>
      <w:r>
        <w:rPr>
          <w:rFonts w:ascii="Times New Roman" w:hAnsi="Times New Roman"/>
          <w:color w:val="000000"/>
          <w:sz w:val="22"/>
        </w:rPr>
        <w:t>Warranty covers delivered code only. Excludes third-party outages (Render/Supabase/AWS), unauthorized client code changes, and out-of-scope feature additions (governed by Section 10 Change Requests). The exclusive remedy is repair or re-performance of defective work.</w:t>
      </w:r>
    </w:p>
    <w:p>
      <w:pPr>
        <w:spacing w:before="280" w:after="80"/>
      </w:pPr>
      <w:r>
        <w:rPr>
          <w:rFonts w:ascii="Times New Roman" w:hAnsi="Times New Roman"/>
          <w:b/>
          <w:color w:val="000000"/>
          <w:sz w:val="26"/>
        </w:rPr>
        <w:t>8. DATA PRIVACY (RA 10173) &amp; CONFIDENTIALITY AFFIRMATION</w:t>
      </w:r>
    </w:p>
    <w:p>
      <w:pPr>
        <w:spacing w:after="90" w:line="276" w:lineRule="auto"/>
      </w:pPr>
      <w:r>
        <w:rPr>
          <w:rFonts w:ascii="Times New Roman" w:hAnsi="Times New Roman"/>
          <w:color w:val="000000"/>
          <w:sz w:val="22"/>
        </w:rPr>
        <w:t>MICROAXIS confirms strict compliance with Republic Act No. 10173 (Data Privacy Act of 2012). All client records, taxpayer financial data, and uploaded documents are strictly confidential. All temporary development and dummy data copies have been permanently purged from local machines. No client data has been or will ever be used for commercial or AI training purposes.</w:t>
      </w:r>
    </w:p>
    <w:p>
      <w:pPr>
        <w:spacing w:before="280" w:after="80"/>
      </w:pPr>
      <w:r>
        <w:rPr>
          <w:rFonts w:ascii="Times New Roman" w:hAnsi="Times New Roman"/>
          <w:b/>
          <w:color w:val="000000"/>
          <w:sz w:val="26"/>
        </w:rPr>
        <w:t>9. FINANCIAL RECONCILIATION &amp; FULL PAYMENT SETTLEMENT</w:t>
      </w:r>
    </w:p>
    <w:p>
      <w:pPr>
        <w:spacing w:after="90" w:line="276" w:lineRule="auto"/>
      </w:pPr>
      <w:r>
        <w:rPr>
          <w:rFonts w:ascii="Times New Roman" w:hAnsi="Times New Roman"/>
          <w:b/>
          <w:color w:val="000000"/>
          <w:sz w:val="22"/>
        </w:rPr>
        <w:t xml:space="preserve">Financial Settlement: </w:t>
      </w:r>
      <w:r>
        <w:rPr>
          <w:rFonts w:ascii="Times New Roman" w:hAnsi="Times New Roman"/>
          <w:color w:val="000000"/>
          <w:sz w:val="22"/>
        </w:rPr>
        <w:t>Total Agreed Project Investment: PHP 50,000.00 (VAT Exclusive) | Total Received: PHP 50,000.00 | Balance: PHP 0.00 (100% Fully Settled)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Milestone</w:t>
            </w:r>
          </w:p>
        </w:tc>
        <w:tc>
          <w:tcPr>
            <w:tcW w:type="dxa" w:w="3168"/>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Description</w:t>
            </w:r>
          </w:p>
        </w:tc>
        <w:tc>
          <w:tcPr>
            <w:tcW w:type="dxa" w:w="115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Share</w:t>
            </w:r>
          </w:p>
        </w:tc>
        <w:tc>
          <w:tcPr>
            <w:tcW w:type="dxa" w:w="2016"/>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Amount (PHP)</w:t>
            </w:r>
          </w:p>
        </w:tc>
        <w:tc>
          <w:tcPr>
            <w:tcW w:type="dxa" w:w="216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Status</w:t>
            </w:r>
          </w:p>
        </w:tc>
      </w:tr>
      <w:tr>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Milestone 1</w:t>
            </w:r>
          </w:p>
        </w:tc>
        <w:tc>
          <w:tcPr>
            <w:tcW w:type="dxa" w:w="316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Contract Signing &amp; Project Kickoff</w:t>
            </w:r>
          </w:p>
        </w:tc>
        <w:tc>
          <w:tcPr>
            <w:tcW w:type="dxa" w:w="11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40%</w:t>
            </w:r>
          </w:p>
        </w:tc>
        <w:tc>
          <w:tcPr>
            <w:tcW w:type="dxa" w:w="201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PHP 20,000.00</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PAID &amp; CLEARED</w:t>
            </w:r>
          </w:p>
        </w:tc>
      </w:tr>
      <w:tr>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Milestone 2</w:t>
            </w:r>
          </w:p>
        </w:tc>
        <w:tc>
          <w:tcPr>
            <w:tcW w:type="dxa" w:w="316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Alpha Release / Sprint Completion</w:t>
            </w:r>
          </w:p>
        </w:tc>
        <w:tc>
          <w:tcPr>
            <w:tcW w:type="dxa" w:w="11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30%</w:t>
            </w:r>
          </w:p>
        </w:tc>
        <w:tc>
          <w:tcPr>
            <w:tcW w:type="dxa" w:w="201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PHP 15,000.00</w:t>
            </w:r>
          </w:p>
        </w:tc>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PAID &amp; CLEARED</w:t>
            </w:r>
          </w:p>
        </w:tc>
      </w:tr>
      <w:tr>
        <w:tc>
          <w:tcPr>
            <w:tcW w:type="dxa" w:w="144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Milestone 3</w:t>
            </w:r>
          </w:p>
        </w:tc>
        <w:tc>
          <w:tcPr>
            <w:tcW w:type="dxa" w:w="3168"/>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UAT Approval &amp; Final Deployment</w:t>
            </w:r>
          </w:p>
        </w:tc>
        <w:tc>
          <w:tcPr>
            <w:tcW w:type="dxa" w:w="115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30%</w:t>
            </w:r>
          </w:p>
        </w:tc>
        <w:tc>
          <w:tcPr>
            <w:tcW w:type="dxa" w:w="2016"/>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PHP 15,000.00</w:t>
            </w:r>
          </w:p>
        </w:tc>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PAID &amp; CLEARED</w:t>
            </w:r>
          </w:p>
        </w:tc>
      </w:tr>
      <w:tr>
        <w:tc>
          <w:tcPr>
            <w:tcW w:type="dxa" w:w="144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TOTAL</w:t>
            </w:r>
          </w:p>
        </w:tc>
        <w:tc>
          <w:tcPr>
            <w:tcW w:type="dxa" w:w="3168"/>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Full Project Settlement</w:t>
            </w:r>
          </w:p>
        </w:tc>
        <w:tc>
          <w:tcPr>
            <w:tcW w:type="dxa" w:w="115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100%</w:t>
            </w:r>
          </w:p>
        </w:tc>
        <w:tc>
          <w:tcPr>
            <w:tcW w:type="dxa" w:w="2016"/>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PHP 50,000.00</w:t>
            </w:r>
          </w:p>
        </w:tc>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100% FULLY SETTLED</w:t>
            </w:r>
          </w:p>
        </w:tc>
      </w:tr>
    </w:tbl>
    <w:p>
      <w:pPr>
        <w:spacing w:after="90" w:line="276" w:lineRule="auto"/>
      </w:pPr>
      <w:r>
        <w:rPr>
          <w:rFonts w:ascii="Times New Roman" w:hAnsi="Times New Roman"/>
          <w:b/>
          <w:color w:val="000000"/>
          <w:sz w:val="22"/>
        </w:rPr>
        <w:t xml:space="preserve">Full Settlement Certificate: </w:t>
      </w:r>
      <w:r>
        <w:rPr>
          <w:rFonts w:ascii="Times New Roman" w:hAnsi="Times New Roman"/>
          <w:color w:val="000000"/>
          <w:sz w:val="22"/>
        </w:rPr>
        <w:t>MICROAXIS acknowledges and certifies receipt of 100% full payment in the amount of PHP 50,000.00 from ATA &amp; LTA Accounting Firm. No outstanding financial claims or unpaid balances remain.</w:t>
      </w:r>
    </w:p>
    <w:p>
      <w:pPr>
        <w:spacing w:before="280" w:after="80"/>
      </w:pPr>
      <w:r>
        <w:rPr>
          <w:rFonts w:ascii="Times New Roman" w:hAnsi="Times New Roman"/>
          <w:b/>
          <w:color w:val="000000"/>
          <w:sz w:val="26"/>
        </w:rPr>
        <w:t>10. INTELLECTUAL PROPERTY &amp; USAGE RIGHTS</w:t>
      </w:r>
    </w:p>
    <w:p>
      <w:pPr>
        <w:spacing w:after="90" w:line="276" w:lineRule="auto"/>
      </w:pPr>
      <w:r>
        <w:rPr>
          <w:rFonts w:ascii="Times New Roman" w:hAnsi="Times New Roman"/>
          <w:color w:val="000000"/>
          <w:sz w:val="22"/>
        </w:rPr>
        <w:t>With full payment 100% settled, ATA &amp; LTA Accounting Firm receives perpetual, non-exclusive rights to operate and utilize the ERP system for internal business operations. Source code repository ownership is fully turned over.</w:t>
      </w:r>
    </w:p>
    <w:p>
      <w:pPr>
        <w:spacing w:before="280" w:after="80"/>
      </w:pPr>
      <w:r>
        <w:rPr>
          <w:rFonts w:ascii="Times New Roman" w:hAnsi="Times New Roman"/>
          <w:b/>
          <w:color w:val="000000"/>
          <w:sz w:val="26"/>
        </w:rPr>
        <w:t>11. FORMAL ACCEPTANCE &amp; SIGNATURES</w:t>
      </w:r>
    </w:p>
    <w:p>
      <w:pPr>
        <w:spacing w:after="90" w:line="276" w:lineRule="auto"/>
      </w:pPr>
      <w:r>
        <w:rPr>
          <w:rFonts w:ascii="Times New Roman" w:hAnsi="Times New Roman"/>
          <w:color w:val="000000"/>
          <w:sz w:val="22"/>
        </w:rPr>
        <w:t>By signing below, both Parties formally acknowledge that the ERP System has been thoroughly evaluated, tested during UAT, delivered, and accepted in full satisfaction of all contractual terms.</w:t>
      </w:r>
    </w:p>
    <w:tbl>
      <w:tblPr>
        <w:tblW w:type="auto" w:w="0"/>
        <w:jc w:val="center"/>
        <w:tblLayout w:type="fixed"/>
        <w:tblLook w:firstColumn="1" w:firstRow="1" w:lastColumn="0" w:lastRow="0" w:noHBand="0" w:noVBand="1" w:val="04A0"/>
      </w:tblPr>
      <w:tblGrid>
        <w:gridCol w:w="4968"/>
        <w:gridCol w:w="4968"/>
      </w:tblGrid>
      <w:tr>
        <w:tc>
          <w:tcPr>
            <w:tcW w:type="dxa" w:w="4896"/>
            <w:shd w:fill="FAFAFA"/>
            <w:tcMar>
              <w:top w:w="140" w:type="dxa"/>
              <w:bottom w:w="140" w:type="dxa"/>
              <w:left w:w="140" w:type="dxa"/>
              <w:right w:w="140" w:type="dxa"/>
            </w:tcMar>
            <w:tcBorders>
              <w:top w:val="single" w:sz="4" w:space="0" w:color="808080"/>
              <w:bottom w:val="single" w:sz="4" w:space="0" w:color="808080"/>
              <w:left w:val="single" w:sz="4" w:space="0" w:color="808080"/>
              <w:right w:val="single" w:sz="4" w:space="0" w:color="808080"/>
            </w:tcBorders>
          </w:tcPr>
          <w:p>
            <w:r>
              <w:rPr>
                <w:rFonts w:ascii="Times New Roman" w:hAnsi="Times New Roman"/>
                <w:b/>
                <w:color w:val="000000"/>
                <w:sz w:val="22"/>
              </w:rPr>
              <w:t>FOR THE CLIENT:</w:t>
              <w:br/>
              <w:t>ATA &amp; LTA ACCOUNTING FIRM</w:t>
              <w:br/>
              <w:br/>
            </w:r>
            <w:r>
              <w:rPr>
                <w:rFonts w:ascii="Times New Roman" w:hAnsi="Times New Roman"/>
                <w:color w:val="000000"/>
                <w:sz w:val="22"/>
              </w:rPr>
              <w:t>Signature: _________________________________</w:t>
              <w:br/>
              <w:br/>
              <w:t>Name: ____________________________________</w:t>
              <w:br/>
              <w:br/>
              <w:t>Position: Managing Partner / Director</w:t>
              <w:br/>
              <w:br/>
              <w:t>Date Signed: August 28, 2026</w:t>
              <w:br/>
            </w:r>
          </w:p>
        </w:tc>
        <w:tc>
          <w:tcPr>
            <w:tcW w:type="dxa" w:w="4896"/>
            <w:shd w:fill="FAFAFA"/>
            <w:tcMar>
              <w:top w:w="140" w:type="dxa"/>
              <w:bottom w:w="140" w:type="dxa"/>
              <w:left w:w="140" w:type="dxa"/>
              <w:right w:w="140" w:type="dxa"/>
            </w:tcMar>
            <w:tcBorders>
              <w:top w:val="single" w:sz="4" w:space="0" w:color="808080"/>
              <w:bottom w:val="single" w:sz="4" w:space="0" w:color="808080"/>
              <w:left w:val="single" w:sz="4" w:space="0" w:color="808080"/>
              <w:right w:val="single" w:sz="4" w:space="0" w:color="808080"/>
            </w:tcBorders>
          </w:tcPr>
          <w:p>
            <w:r>
              <w:rPr>
                <w:rFonts w:ascii="Times New Roman" w:hAnsi="Times New Roman"/>
                <w:b/>
                <w:color w:val="000000"/>
                <w:sz w:val="22"/>
              </w:rPr>
              <w:t>FOR THE SERVICE PROVIDER:</w:t>
              <w:br/>
              <w:t>MICROAXIS</w:t>
              <w:br/>
              <w:br/>
            </w:r>
            <w:r>
              <w:rPr>
                <w:rFonts w:ascii="Times New Roman" w:hAnsi="Times New Roman"/>
                <w:color w:val="000000"/>
                <w:sz w:val="22"/>
              </w:rPr>
              <w:t>Signature: _________________________________</w:t>
              <w:br/>
              <w:br/>
              <w:t>Name: Mr. Mark Anthony C. Ureta</w:t>
              <w:br/>
              <w:br/>
              <w:t>Position: Project Manager</w:t>
              <w:br/>
              <w:br/>
              <w:t>Date Signed: August 28, 2026</w:t>
              <w:b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