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MicroAxis Solutions Corp.</w:t>
      </w:r>
      <w:r>
        <w:t xml:space="preserve"> </w:t>
      </w:r>
      <w:r>
        <w:t xml:space="preserve">C2-15 Centris Walk, Eton Centris, Quezon City, 1101</w:t>
      </w:r>
      <w:r>
        <w:t xml:space="preserve"> </w:t>
      </w:r>
      <w:r>
        <w:t xml:space="preserve">Email: sales@microaxis.ph | Viber: +639000000000</w:t>
      </w:r>
    </w:p>
    <w:bookmarkStart w:id="36" w:name="formal-project-proposal"/>
    <w:p>
      <w:pPr>
        <w:pStyle w:val="Heading1"/>
      </w:pPr>
      <w:r>
        <w:t xml:space="preserve">FORMAL PROJECT PROPOSAL</w:t>
      </w:r>
    </w:p>
    <w:p>
      <w:pPr>
        <w:pStyle w:val="FirstParagraph"/>
      </w:pPr>
      <w:r>
        <w:rPr>
          <w:b/>
          <w:bCs/>
        </w:rPr>
        <w:t xml:space="preserve">ATA &amp; LTA ERP System</w:t>
      </w:r>
    </w:p>
    <w:p>
      <w:pPr>
        <w:pStyle w:val="BodyText"/>
      </w:pPr>
      <w:r>
        <w:rPr>
          <w:b/>
          <w:bCs/>
        </w:rPr>
        <w:t xml:space="preserve">A Web-Based Enterprise Resource Planning (ERP) System for Dual-Entity Accounting Workflow Management</w:t>
      </w:r>
    </w:p>
    <w:p>
      <w:pPr>
        <w:pStyle w:val="BodyText"/>
      </w:pPr>
      <w:r>
        <w:rPr>
          <w:b/>
          <w:bCs/>
        </w:rPr>
        <w:t xml:space="preserve">Prepared By:</w:t>
      </w:r>
      <w:r>
        <w:t xml:space="preserve"> </w:t>
      </w:r>
      <w:r>
        <w:t xml:space="preserve">MicroAxis / Mark Anthony Ureta (</w:t>
      </w:r>
      <w:r>
        <w:t xml:space="preserve">“Provider”</w:t>
      </w:r>
      <w:r>
        <w:t xml:space="preserve">)</w:t>
      </w:r>
      <w:r>
        <w:t xml:space="preserve"> </w:t>
      </w:r>
      <w:r>
        <w:rPr>
          <w:b/>
          <w:bCs/>
        </w:rPr>
        <w:t xml:space="preserve">Platform Type:</w:t>
      </w:r>
      <w:r>
        <w:t xml:space="preserve"> </w:t>
      </w:r>
      <w:r>
        <w:t xml:space="preserve">Web-Based</w:t>
      </w:r>
      <w:r>
        <w:t xml:space="preserve"> </w:t>
      </w:r>
      <w:r>
        <w:rPr>
          <w:b/>
          <w:bCs/>
        </w:rPr>
        <w:t xml:space="preserve">Total Project Cost:</w:t>
      </w:r>
      <w:r>
        <w:t xml:space="preserve"> </w:t>
      </w:r>
      <w:r>
        <w:t xml:space="preserve">PHP 350,000 (</w:t>
      </w:r>
      <w:r>
        <w:rPr>
          <w:i/>
          <w:iCs/>
        </w:rPr>
        <w:t xml:space="preserve">VAT exclusive</w:t>
      </w:r>
      <w:r>
        <w:t xml:space="preserve">)</w:t>
      </w:r>
    </w:p>
    <w:p>
      <w:r>
        <w:pict>
          <v:rect style="width:0;height:1.5pt" o:hralign="center" o:hrstd="t" o:hr="t"/>
        </w:pict>
      </w:r>
    </w:p>
    <w:bookmarkStart w:id="20" w:name="executive-summary"/>
    <w:p>
      <w:pPr>
        <w:pStyle w:val="Heading3"/>
      </w:pPr>
      <w:r>
        <w:t xml:space="preserve">1) Executive Summary</w:t>
      </w:r>
    </w:p>
    <w:p>
      <w:pPr>
        <w:pStyle w:val="FirstParagraph"/>
      </w:pPr>
      <w:r>
        <w:t xml:space="preserve">MicroAxis proposes to design and develop a custom</w:t>
      </w:r>
      <w:r>
        <w:t xml:space="preserve"> </w:t>
      </w:r>
      <w:r>
        <w:rPr>
          <w:b/>
          <w:bCs/>
        </w:rPr>
        <w:t xml:space="preserve">ATA &amp; LTA ERP System</w:t>
      </w:r>
      <w:r>
        <w:t xml:space="preserve"> </w:t>
      </w:r>
      <w:r>
        <w:t xml:space="preserve">to unify and streamline the core workflows of a Philippine-based accounting practice operating under two distinct entities: ATA and LTA. Based on the production-ready mockup, the platform provides a centralized hub for work request initiation, automated billing, disbursement approvals, and secure document management.</w:t>
      </w:r>
    </w:p>
    <w:p>
      <w:pPr>
        <w:pStyle w:val="BodyText"/>
      </w:pPr>
      <w:r>
        <w:t xml:space="preserve">The solution enables managerial teams to oversee cross-entity performance while ensuring staff-level encapsulation, improving operational transparency and compliance across six key departments.</w:t>
      </w:r>
    </w:p>
    <w:bookmarkEnd w:id="20"/>
    <w:bookmarkStart w:id="21" w:name="project-objectives"/>
    <w:p>
      <w:pPr>
        <w:pStyle w:val="Heading3"/>
      </w:pPr>
      <w:r>
        <w:t xml:space="preserve">2) Project Objectives</w:t>
      </w:r>
    </w:p>
    <w:p>
      <w:pPr>
        <w:pStyle w:val="Compact"/>
        <w:numPr>
          <w:ilvl w:val="0"/>
          <w:numId w:val="1001"/>
        </w:numPr>
      </w:pPr>
      <w:r>
        <w:rPr>
          <w:b/>
          <w:bCs/>
        </w:rPr>
        <w:t xml:space="preserve">Centralize all work request workflows</w:t>
      </w:r>
      <w:r>
        <w:t xml:space="preserve"> </w:t>
      </w:r>
      <w:r>
        <w:t xml:space="preserve">from initiation to completion across Managerial, HR, Admin, Accounting, Operations, and Documentations departments.</w:t>
      </w:r>
    </w:p>
    <w:p>
      <w:pPr>
        <w:pStyle w:val="Compact"/>
        <w:numPr>
          <w:ilvl w:val="0"/>
          <w:numId w:val="1001"/>
        </w:numPr>
      </w:pPr>
      <w:r>
        <w:rPr>
          <w:b/>
          <w:bCs/>
        </w:rPr>
        <w:t xml:space="preserve">Enable multi-entity categorization</w:t>
      </w:r>
      <w:r>
        <w:t xml:space="preserve"> </w:t>
      </w:r>
      <w:r>
        <w:t xml:space="preserve">under ATA or LTA with strict data segregation and access controls.</w:t>
      </w:r>
    </w:p>
    <w:p>
      <w:pPr>
        <w:pStyle w:val="Compact"/>
        <w:numPr>
          <w:ilvl w:val="0"/>
          <w:numId w:val="1001"/>
        </w:numPr>
      </w:pPr>
      <w:r>
        <w:rPr>
          <w:b/>
          <w:bCs/>
        </w:rPr>
        <w:t xml:space="preserve">Automate recurring task creation</w:t>
      </w:r>
      <w:r>
        <w:t xml:space="preserve"> </w:t>
      </w:r>
      <w:r>
        <w:t xml:space="preserve">and Professional Fee (PF) billing for retainer-based clients.</w:t>
      </w:r>
    </w:p>
    <w:p>
      <w:pPr>
        <w:pStyle w:val="Compact"/>
        <w:numPr>
          <w:ilvl w:val="0"/>
          <w:numId w:val="1001"/>
        </w:numPr>
      </w:pPr>
      <w:r>
        <w:rPr>
          <w:b/>
          <w:bCs/>
        </w:rPr>
        <w:t xml:space="preserve">Implement a strict 2-tier disbursement approval chain</w:t>
      </w:r>
      <w:r>
        <w:t xml:space="preserve"> </w:t>
      </w:r>
      <w:r>
        <w:t xml:space="preserve">to ensure financial integrity and prevent conflicts of interest.</w:t>
      </w:r>
    </w:p>
    <w:p>
      <w:pPr>
        <w:pStyle w:val="Compact"/>
        <w:numPr>
          <w:ilvl w:val="0"/>
          <w:numId w:val="1001"/>
        </w:numPr>
      </w:pPr>
      <w:r>
        <w:rPr>
          <w:b/>
          <w:bCs/>
        </w:rPr>
        <w:t xml:space="preserve">Maintain a secure digital document repository</w:t>
      </w:r>
      <w:r>
        <w:t xml:space="preserve"> </w:t>
      </w:r>
      <w:r>
        <w:t xml:space="preserve">with physical original copy tracking for client handovers.</w:t>
      </w:r>
    </w:p>
    <w:bookmarkEnd w:id="21"/>
    <w:bookmarkStart w:id="26" w:name="scope-of-work"/>
    <w:p>
      <w:pPr>
        <w:pStyle w:val="Heading3"/>
      </w:pPr>
      <w:r>
        <w:t xml:space="preserve">3) Scope of Work</w:t>
      </w:r>
    </w:p>
    <w:bookmarkStart w:id="22" w:name="a-authentication-role-access-login"/>
    <w:p>
      <w:pPr>
        <w:pStyle w:val="Heading4"/>
      </w:pPr>
      <w:r>
        <w:t xml:space="preserve">A) Authentication &amp; Role Access (Login)</w:t>
      </w:r>
    </w:p>
    <w:p>
      <w:pPr>
        <w:pStyle w:val="Compact"/>
        <w:numPr>
          <w:ilvl w:val="0"/>
          <w:numId w:val="1002"/>
        </w:numPr>
      </w:pPr>
      <w:r>
        <w:t xml:space="preserve">Secure login (email/password).</w:t>
      </w:r>
    </w:p>
    <w:p>
      <w:pPr>
        <w:pStyle w:val="Compact"/>
        <w:numPr>
          <w:ilvl w:val="0"/>
          <w:numId w:val="1002"/>
        </w:numPr>
      </w:pPr>
      <w:r>
        <w:rPr>
          <w:b/>
          <w:bCs/>
        </w:rPr>
        <w:t xml:space="preserve">Role-Based Access Control (RBAC):</w:t>
      </w:r>
      <w:r>
        <w:t xml:space="preserve"> </w:t>
      </w:r>
      <w:r>
        <w:rPr>
          <w:i/>
          <w:iCs/>
        </w:rPr>
        <w:t xml:space="preserve">Note: The system implements four distinct access tiers (Admin, Manager, Staff, Viewer) where module visibility and action permissions (e.g., Approve vs. View Only) are strictly enforced based on the user’s role and assigned entity.</w:t>
      </w:r>
    </w:p>
    <w:p>
      <w:pPr>
        <w:pStyle w:val="Compact"/>
        <w:numPr>
          <w:ilvl w:val="0"/>
          <w:numId w:val="1002"/>
        </w:numPr>
      </w:pPr>
      <w:r>
        <w:t xml:space="preserve">Cross-entity workspace switching for authorized personnel.</w:t>
      </w:r>
    </w:p>
    <w:bookmarkEnd w:id="22"/>
    <w:bookmarkStart w:id="23" w:name="b-administrator-manager-portal-oversight"/>
    <w:p>
      <w:pPr>
        <w:pStyle w:val="Heading4"/>
      </w:pPr>
      <w:r>
        <w:t xml:space="preserve">B) Administrator &amp; Manager Portal (Oversight)</w:t>
      </w:r>
    </w:p>
    <w:p>
      <w:pPr>
        <w:pStyle w:val="Compact"/>
        <w:numPr>
          <w:ilvl w:val="0"/>
          <w:numId w:val="1003"/>
        </w:numPr>
      </w:pPr>
      <w:r>
        <w:rPr>
          <w:b/>
          <w:bCs/>
        </w:rPr>
        <w:t xml:space="preserve">Consolidated Dashboard:</w:t>
      </w:r>
      <w:r>
        <w:t xml:space="preserve"> </w:t>
      </w:r>
      <w:r>
        <w:t xml:space="preserve">Real-time KPIs for Total Revenue, Outstanding, and Overdue Tasks via Bento-Grid analytics.</w:t>
      </w:r>
    </w:p>
    <w:p>
      <w:pPr>
        <w:pStyle w:val="Compact"/>
        <w:numPr>
          <w:ilvl w:val="0"/>
          <w:numId w:val="1003"/>
        </w:numPr>
      </w:pPr>
      <w:r>
        <w:rPr>
          <w:b/>
          <w:bCs/>
        </w:rPr>
        <w:t xml:space="preserve">User Management:</w:t>
      </w:r>
      <w:r>
        <w:t xml:space="preserve"> </w:t>
      </w:r>
      <w:r>
        <w:t xml:space="preserve">Centralized control over employee accounts, roles, and entity assignments.</w:t>
      </w:r>
    </w:p>
    <w:p>
      <w:pPr>
        <w:pStyle w:val="Compact"/>
        <w:numPr>
          <w:ilvl w:val="0"/>
          <w:numId w:val="1003"/>
        </w:numPr>
      </w:pPr>
      <w:r>
        <w:rPr>
          <w:b/>
          <w:bCs/>
        </w:rPr>
        <w:t xml:space="preserve">Workflow Monitoring:</w:t>
      </w:r>
      <w:r>
        <w:t xml:space="preserve"> </w:t>
      </w:r>
      <w:r>
        <w:t xml:space="preserve">Bird’s-eye view of all active work requests across the firm without editing task-level execution.</w:t>
      </w:r>
    </w:p>
    <w:p>
      <w:pPr>
        <w:pStyle w:val="Compact"/>
        <w:numPr>
          <w:ilvl w:val="0"/>
          <w:numId w:val="1003"/>
        </w:numPr>
      </w:pPr>
      <w:r>
        <w:rPr>
          <w:b/>
          <w:bCs/>
        </w:rPr>
        <w:t xml:space="preserve">Reporting:</w:t>
      </w:r>
      <w:r>
        <w:t xml:space="preserve"> </w:t>
      </w:r>
      <w:r>
        <w:t xml:space="preserve">Access to P&amp;L Snapshots, Billing Summaries, and Volume Trends.</w:t>
      </w:r>
    </w:p>
    <w:bookmarkEnd w:id="23"/>
    <w:bookmarkStart w:id="24" w:name="Xb4090c35f6fca807260a4f3dca73e38d7dec23a"/>
    <w:p>
      <w:pPr>
        <w:pStyle w:val="Heading4"/>
      </w:pPr>
      <w:r>
        <w:t xml:space="preserve">C) Execution Portals (Accounting &amp; Operations)</w:t>
      </w:r>
    </w:p>
    <w:p>
      <w:pPr>
        <w:pStyle w:val="Compact"/>
        <w:numPr>
          <w:ilvl w:val="0"/>
          <w:numId w:val="1004"/>
        </w:numPr>
      </w:pPr>
      <w:r>
        <w:rPr>
          <w:b/>
          <w:bCs/>
        </w:rPr>
        <w:t xml:space="preserve">Workflow Detail View:</w:t>
      </w:r>
      <w:r>
        <w:t xml:space="preserve"> </w:t>
      </w:r>
      <w:r>
        <w:t xml:space="preserve">Interactive task tracking with dependency mapping and smooth progress visualization.</w:t>
      </w:r>
    </w:p>
    <w:p>
      <w:pPr>
        <w:pStyle w:val="Compact"/>
        <w:numPr>
          <w:ilvl w:val="0"/>
          <w:numId w:val="1004"/>
        </w:numPr>
      </w:pPr>
      <w:r>
        <w:rPr>
          <w:b/>
          <w:bCs/>
        </w:rPr>
        <w:t xml:space="preserve">Billing Module:</w:t>
      </w:r>
      <w:r>
        <w:t xml:space="preserve"> </w:t>
      </w:r>
      <w:r>
        <w:t xml:space="preserve">Automatic VAT calculation, invoice generation, and payment recording with aging reports.</w:t>
      </w:r>
    </w:p>
    <w:p>
      <w:pPr>
        <w:pStyle w:val="Compact"/>
        <w:numPr>
          <w:ilvl w:val="0"/>
          <w:numId w:val="1004"/>
        </w:numPr>
      </w:pPr>
      <w:r>
        <w:rPr>
          <w:b/>
          <w:bCs/>
        </w:rPr>
        <w:t xml:space="preserve">Disbursement Module:</w:t>
      </w:r>
      <w:r>
        <w:t xml:space="preserve"> </w:t>
      </w:r>
      <w:r>
        <w:t xml:space="preserve">1-tier (Admin) or 2-tier (Manager/Accounting) expense filing and approval workflows.</w:t>
      </w:r>
    </w:p>
    <w:bookmarkEnd w:id="24"/>
    <w:bookmarkStart w:id="25" w:name="d-documentation-staff-portal-dms"/>
    <w:p>
      <w:pPr>
        <w:pStyle w:val="Heading4"/>
      </w:pPr>
      <w:r>
        <w:t xml:space="preserve">D) Documentation Staff Portal (DMS)</w:t>
      </w:r>
    </w:p>
    <w:p>
      <w:pPr>
        <w:pStyle w:val="Compact"/>
        <w:numPr>
          <w:ilvl w:val="0"/>
          <w:numId w:val="1005"/>
        </w:numPr>
      </w:pPr>
      <w:r>
        <w:rPr>
          <w:b/>
          <w:bCs/>
        </w:rPr>
        <w:t xml:space="preserve">Secure Repository:</w:t>
      </w:r>
      <w:r>
        <w:t xml:space="preserve"> </w:t>
      </w:r>
      <w:r>
        <w:t xml:space="preserve">Version-controlled file storage linked directly to work requests.</w:t>
      </w:r>
    </w:p>
    <w:p>
      <w:pPr>
        <w:pStyle w:val="Compact"/>
        <w:numPr>
          <w:ilvl w:val="0"/>
          <w:numId w:val="1005"/>
        </w:numPr>
      </w:pPr>
      <w:r>
        <w:rPr>
          <w:b/>
          <w:bCs/>
        </w:rPr>
        <w:t xml:space="preserve">Chain of Custody:</w:t>
      </w:r>
      <w:r>
        <w:t xml:space="preserve"> </w:t>
      </w:r>
      <w:r>
        <w:t xml:space="preserve">Dedicated logging for physical document handovers to clients.</w:t>
      </w:r>
    </w:p>
    <w:bookmarkEnd w:id="25"/>
    <w:bookmarkEnd w:id="26"/>
    <w:bookmarkStart w:id="27" w:name="deliverables"/>
    <w:p>
      <w:pPr>
        <w:pStyle w:val="Heading3"/>
      </w:pPr>
      <w:r>
        <w:t xml:space="preserve">4) Deliverables</w:t>
      </w:r>
    </w:p>
    <w:p>
      <w:pPr>
        <w:pStyle w:val="Compact"/>
        <w:numPr>
          <w:ilvl w:val="0"/>
          <w:numId w:val="1006"/>
        </w:numPr>
      </w:pPr>
      <w:r>
        <w:t xml:space="preserve">UI/UX implementation aligned to approved bento-grid dashboard and blue/slate theme.</w:t>
      </w:r>
    </w:p>
    <w:p>
      <w:pPr>
        <w:pStyle w:val="Compact"/>
        <w:numPr>
          <w:ilvl w:val="0"/>
          <w:numId w:val="1006"/>
        </w:numPr>
      </w:pPr>
      <w:r>
        <w:t xml:space="preserve">Complete web system: Admin, Manager, and Staff portals.</w:t>
      </w:r>
    </w:p>
    <w:p>
      <w:pPr>
        <w:pStyle w:val="Compact"/>
        <w:numPr>
          <w:ilvl w:val="0"/>
          <w:numId w:val="1006"/>
        </w:numPr>
      </w:pPr>
      <w:r>
        <w:t xml:space="preserve">Task dependency engine and recurring retainer template module.</w:t>
      </w:r>
    </w:p>
    <w:p>
      <w:pPr>
        <w:pStyle w:val="Compact"/>
        <w:numPr>
          <w:ilvl w:val="0"/>
          <w:numId w:val="1006"/>
        </w:numPr>
      </w:pPr>
      <w:r>
        <w:t xml:space="preserve">Invoicing system with Philippine currency and VAT treatment support.</w:t>
      </w:r>
    </w:p>
    <w:p>
      <w:pPr>
        <w:pStyle w:val="Compact"/>
        <w:numPr>
          <w:ilvl w:val="0"/>
          <w:numId w:val="1006"/>
        </w:numPr>
      </w:pPr>
      <w:r>
        <w:t xml:space="preserve">SVG-based reporting suite for operational analytics.</w:t>
      </w:r>
    </w:p>
    <w:p>
      <w:pPr>
        <w:pStyle w:val="Compact"/>
        <w:numPr>
          <w:ilvl w:val="0"/>
          <w:numId w:val="1006"/>
        </w:numPr>
      </w:pPr>
      <w:r>
        <w:t xml:space="preserve">QA testing, UAT support, and deployment to managed cloud infrastructure.</w:t>
      </w:r>
    </w:p>
    <w:bookmarkEnd w:id="27"/>
    <w:bookmarkStart w:id="28" w:name="assumptions-exclusions"/>
    <w:p>
      <w:pPr>
        <w:pStyle w:val="Heading3"/>
      </w:pPr>
      <w:r>
        <w:t xml:space="preserve">5) Assumptions / Exclusions</w:t>
      </w:r>
    </w:p>
    <w:p>
      <w:pPr>
        <w:pStyle w:val="Compact"/>
        <w:numPr>
          <w:ilvl w:val="0"/>
          <w:numId w:val="1007"/>
        </w:numPr>
      </w:pPr>
      <w:r>
        <w:t xml:space="preserve">Third-party cloud hosting fees and domain registration are handled by the Client.</w:t>
      </w:r>
    </w:p>
    <w:p>
      <w:pPr>
        <w:pStyle w:val="Compact"/>
        <w:numPr>
          <w:ilvl w:val="0"/>
          <w:numId w:val="1007"/>
        </w:numPr>
      </w:pPr>
      <w:r>
        <w:t xml:space="preserve">Data migration from legacy physical records is limited to the Discovery phase scope.</w:t>
      </w:r>
    </w:p>
    <w:p>
      <w:pPr>
        <w:pStyle w:val="Compact"/>
        <w:numPr>
          <w:ilvl w:val="0"/>
          <w:numId w:val="1007"/>
        </w:numPr>
      </w:pPr>
      <w:r>
        <w:t xml:space="preserve">Any new major modules beyond the current navigation (e.g., native mobile apps) will be handled via change request.</w:t>
      </w:r>
    </w:p>
    <w:bookmarkEnd w:id="28"/>
    <w:bookmarkStart w:id="29" w:name="project-timeline-10-to-12-weeks"/>
    <w:p>
      <w:pPr>
        <w:pStyle w:val="Heading3"/>
      </w:pPr>
      <w:r>
        <w:t xml:space="preserve">6) Project Timeline (10 to 12 Weeks)</w:t>
      </w:r>
    </w:p>
    <w:p>
      <w:pPr>
        <w:pStyle w:val="FirstParagraph"/>
      </w:pPr>
      <w:r>
        <w:t xml:space="preserve">The project will be delivered in phases, ensuring early access to core modules.</w:t>
      </w:r>
    </w:p>
    <w:p>
      <w:pPr>
        <w:pStyle w:val="Compact"/>
        <w:numPr>
          <w:ilvl w:val="0"/>
          <w:numId w:val="1008"/>
        </w:numPr>
      </w:pPr>
      <w:r>
        <w:rPr>
          <w:b/>
          <w:bCs/>
        </w:rPr>
        <w:t xml:space="preserve">Month 1 (Weeks 1–4): Milestone 1 — Platform Foundation</w:t>
      </w:r>
      <w:r>
        <w:t xml:space="preserve"> </w:t>
      </w:r>
      <w:r>
        <w:t xml:space="preserve">Auth, Roles, Multi-entity Client Management, and Core UI Layout.</w:t>
      </w:r>
    </w:p>
    <w:p>
      <w:pPr>
        <w:pStyle w:val="Compact"/>
        <w:numPr>
          <w:ilvl w:val="0"/>
          <w:numId w:val="1008"/>
        </w:numPr>
      </w:pPr>
      <w:r>
        <w:rPr>
          <w:b/>
          <w:bCs/>
        </w:rPr>
        <w:t xml:space="preserve">Month 2 (Weeks 5–8): Milestone 2 — Business Logic &amp; Workflows</w:t>
      </w:r>
      <w:r>
        <w:t xml:space="preserve"> </w:t>
      </w:r>
      <w:r>
        <w:t xml:space="preserve">Workflow Engine, Task Dependencies, Billing Module, and Disbursement Chain.</w:t>
      </w:r>
    </w:p>
    <w:p>
      <w:pPr>
        <w:pStyle w:val="Compact"/>
        <w:numPr>
          <w:ilvl w:val="0"/>
          <w:numId w:val="1008"/>
        </w:numPr>
      </w:pPr>
      <w:r>
        <w:rPr>
          <w:b/>
          <w:bCs/>
        </w:rPr>
        <w:t xml:space="preserve">Month 3 (Weeks 9–12): Milestone 3 — DMS, Reports + Deployment</w:t>
      </w:r>
      <w:r>
        <w:t xml:space="preserve"> </w:t>
      </w:r>
      <w:r>
        <w:t xml:space="preserve">DMS, Bento-Grid Analytics, UAT, and Production Go-Live.</w:t>
      </w:r>
    </w:p>
    <w:bookmarkEnd w:id="29"/>
    <w:bookmarkStart w:id="30" w:name="project-investment"/>
    <w:p>
      <w:pPr>
        <w:pStyle w:val="Heading3"/>
      </w:pPr>
      <w:r>
        <w:t xml:space="preserve">7) Project Investment</w:t>
      </w:r>
    </w:p>
    <w:p>
      <w:pPr>
        <w:pStyle w:val="FirstParagraph"/>
      </w:pPr>
      <w:r>
        <w:rPr>
          <w:b/>
          <w:bCs/>
        </w:rPr>
        <w:t xml:space="preserve">Total Project Cost:</w:t>
      </w:r>
      <w:r>
        <w:t xml:space="preserve"> </w:t>
      </w:r>
      <w:r>
        <w:t xml:space="preserve">PHP 350,000 (</w:t>
      </w:r>
      <w:r>
        <w:rPr>
          <w:i/>
          <w:iCs/>
        </w:rPr>
        <w:t xml:space="preserve">VAT exclusive</w:t>
      </w:r>
      <w:r>
        <w:t xml:space="preserve">)</w:t>
      </w:r>
    </w:p>
    <w:bookmarkEnd w:id="30"/>
    <w:bookmarkStart w:id="33" w:name="payment-terms"/>
    <w:p>
      <w:pPr>
        <w:pStyle w:val="Heading3"/>
      </w:pPr>
      <w:r>
        <w:t xml:space="preserve">8) Payment Terms</w:t>
      </w:r>
    </w:p>
    <w:bookmarkStart w:id="31" w:name="Xdfdf2378bfb9d6db7f12a0c2d78a5e5f3c90907"/>
    <w:p>
      <w:pPr>
        <w:pStyle w:val="Heading4"/>
      </w:pPr>
      <w:r>
        <w:t xml:space="preserve">Option A — Standard (Acceptance + Milestone-Based)</w:t>
      </w:r>
    </w:p>
    <w:p>
      <w:pPr>
        <w:pStyle w:val="Compact"/>
        <w:numPr>
          <w:ilvl w:val="0"/>
          <w:numId w:val="1009"/>
        </w:numPr>
      </w:pPr>
      <w:r>
        <w:rPr>
          <w:b/>
          <w:bCs/>
        </w:rPr>
        <w:t xml:space="preserve">30% Acceptance Fee:</w:t>
      </w:r>
      <w:r>
        <w:t xml:space="preserve"> </w:t>
      </w:r>
      <w:r>
        <w:t xml:space="preserve">PHP 105,000 (</w:t>
      </w:r>
      <w:r>
        <w:rPr>
          <w:i/>
          <w:iCs/>
        </w:rPr>
        <w:t xml:space="preserve">Upon project kickoff</w:t>
      </w:r>
      <w:r>
        <w:t xml:space="preserve">)</w:t>
      </w:r>
    </w:p>
    <w:p>
      <w:pPr>
        <w:pStyle w:val="Compact"/>
        <w:numPr>
          <w:ilvl w:val="0"/>
          <w:numId w:val="1009"/>
        </w:numPr>
      </w:pPr>
      <w:r>
        <w:t xml:space="preserve">Remaining 70% payable by milestone completion:</w:t>
      </w:r>
    </w:p>
    <w:p>
      <w:pPr>
        <w:pStyle w:val="Compact"/>
        <w:numPr>
          <w:ilvl w:val="1"/>
          <w:numId w:val="1010"/>
        </w:numPr>
      </w:pPr>
      <w:r>
        <w:t xml:space="preserve">Milestone 1 (25%) – PHP 87,500</w:t>
      </w:r>
    </w:p>
    <w:p>
      <w:pPr>
        <w:pStyle w:val="Compact"/>
        <w:numPr>
          <w:ilvl w:val="1"/>
          <w:numId w:val="1010"/>
        </w:numPr>
      </w:pPr>
      <w:r>
        <w:t xml:space="preserve">Milestone 2 (25%) – PHP 87,500</w:t>
      </w:r>
    </w:p>
    <w:p>
      <w:pPr>
        <w:pStyle w:val="Compact"/>
        <w:numPr>
          <w:ilvl w:val="1"/>
          <w:numId w:val="1010"/>
        </w:numPr>
      </w:pPr>
      <w:r>
        <w:t xml:space="preserve">Milestone 3 (20%) – PHP 70,000</w:t>
      </w:r>
    </w:p>
    <w:bookmarkEnd w:id="31"/>
    <w:bookmarkStart w:id="32" w:name="option-b-in-house-financing-alternative"/>
    <w:p>
      <w:pPr>
        <w:pStyle w:val="Heading4"/>
      </w:pPr>
      <w:r>
        <w:t xml:space="preserve">Option B — In-House Financing (Alternative)</w:t>
      </w:r>
    </w:p>
    <w:p>
      <w:pPr>
        <w:pStyle w:val="FirstParagraph"/>
      </w:pPr>
      <w:r>
        <w:rPr>
          <w:b/>
          <w:bCs/>
        </w:rPr>
        <w:t xml:space="preserve">Downpayment:</w:t>
      </w:r>
      <w:r>
        <w:t xml:space="preserve"> </w:t>
      </w:r>
      <w:r>
        <w:t xml:space="preserve">10% = PHP 35,000</w:t>
      </w:r>
      <w:r>
        <w:t xml:space="preserve"> </w:t>
      </w:r>
      <w:r>
        <w:rPr>
          <w:b/>
          <w:bCs/>
        </w:rPr>
        <w:t xml:space="preserve">Financed Amount:</w:t>
      </w:r>
      <w:r>
        <w:t xml:space="preserve"> </w:t>
      </w:r>
      <w:r>
        <w:t xml:space="preserve">PHP 315,000</w:t>
      </w:r>
    </w:p>
    <w:p>
      <w:pPr>
        <w:pStyle w:val="BodyText"/>
      </w:pPr>
      <w:r>
        <w:rPr>
          <w:b/>
          <w:bCs/>
        </w:rPr>
        <w:t xml:space="preserve">B1 — 12 Months Financing</w:t>
      </w:r>
      <w:r>
        <w:t xml:space="preserve"> </w:t>
      </w:r>
      <w:r>
        <w:t xml:space="preserve">* Base monthly fee: PHP 26,250</w:t>
      </w:r>
      <w:r>
        <w:t xml:space="preserve"> </w:t>
      </w:r>
      <w:r>
        <w:t xml:space="preserve">* Monthly interest (0.6%): PHP 1,890</w:t>
      </w:r>
      <w:r>
        <w:t xml:space="preserve"> </w:t>
      </w:r>
      <w:r>
        <w:t xml:space="preserve">*</w:t>
      </w:r>
      <w:r>
        <w:t xml:space="preserve"> </w:t>
      </w:r>
      <w:r>
        <w:rPr>
          <w:b/>
          <w:bCs/>
        </w:rPr>
        <w:t xml:space="preserve">Total monthly payment: PHP 28,140</w:t>
      </w:r>
    </w:p>
    <w:p>
      <w:pPr>
        <w:pStyle w:val="BodyText"/>
      </w:pPr>
      <w:r>
        <w:rPr>
          <w:b/>
          <w:bCs/>
        </w:rPr>
        <w:t xml:space="preserve">B2 — 24 Months Financing</w:t>
      </w:r>
      <w:r>
        <w:t xml:space="preserve"> </w:t>
      </w:r>
      <w:r>
        <w:t xml:space="preserve">* Base monthly fee: PHP 13,125</w:t>
      </w:r>
      <w:r>
        <w:t xml:space="preserve"> </w:t>
      </w:r>
      <w:r>
        <w:t xml:space="preserve">* Monthly interest (1.6%): PHP 5,040</w:t>
      </w:r>
      <w:r>
        <w:t xml:space="preserve"> </w:t>
      </w:r>
      <w:r>
        <w:t xml:space="preserve">*</w:t>
      </w:r>
      <w:r>
        <w:t xml:space="preserve"> </w:t>
      </w:r>
      <w:r>
        <w:rPr>
          <w:b/>
          <w:bCs/>
        </w:rPr>
        <w:t xml:space="preserve">Total monthly payment: PHP 18,165</w:t>
      </w:r>
    </w:p>
    <w:bookmarkEnd w:id="32"/>
    <w:bookmarkEnd w:id="33"/>
    <w:bookmarkStart w:id="34" w:name="X91a473707c634263be6dd9a418c3c256800baac"/>
    <w:p>
      <w:pPr>
        <w:pStyle w:val="Heading3"/>
      </w:pPr>
      <w:r>
        <w:t xml:space="preserve">9) Acceptance, Change Requests, and Confidentiality</w:t>
      </w:r>
    </w:p>
    <w:p>
      <w:pPr>
        <w:pStyle w:val="Compact"/>
        <w:numPr>
          <w:ilvl w:val="0"/>
          <w:numId w:val="1011"/>
        </w:numPr>
      </w:pPr>
      <w:r>
        <w:t xml:space="preserve">Each milestone is subject to Client review and written sign-off.</w:t>
      </w:r>
    </w:p>
    <w:p>
      <w:pPr>
        <w:pStyle w:val="Compact"/>
        <w:numPr>
          <w:ilvl w:val="0"/>
          <w:numId w:val="1011"/>
        </w:numPr>
      </w:pPr>
      <w:r>
        <w:t xml:space="preserve">Scope revisions follow a documented change request process.</w:t>
      </w:r>
    </w:p>
    <w:p>
      <w:pPr>
        <w:pStyle w:val="Compact"/>
        <w:numPr>
          <w:ilvl w:val="0"/>
          <w:numId w:val="1011"/>
        </w:numPr>
      </w:pPr>
      <w:r>
        <w:t xml:space="preserve">All firm and client data will be treated as strictly confidential.</w:t>
      </w:r>
    </w:p>
    <w:bookmarkEnd w:id="34"/>
    <w:bookmarkStart w:id="35" w:name="conclusion"/>
    <w:p>
      <w:pPr>
        <w:pStyle w:val="Heading3"/>
      </w:pPr>
      <w:r>
        <w:t xml:space="preserve">10) Conclusion</w:t>
      </w:r>
    </w:p>
    <w:p>
      <w:pPr>
        <w:pStyle w:val="FirstParagraph"/>
      </w:pPr>
      <w:r>
        <w:t xml:space="preserve">This</w:t>
      </w:r>
      <w:r>
        <w:t xml:space="preserve"> </w:t>
      </w:r>
      <w:r>
        <w:rPr>
          <w:b/>
          <w:bCs/>
        </w:rPr>
        <w:t xml:space="preserve">ATA &amp; LTA ERP System</w:t>
      </w:r>
      <w:r>
        <w:t xml:space="preserve"> </w:t>
      </w:r>
      <w:r>
        <w:t xml:space="preserve">provides a structured, role-based ecosystem that supports efficient accounting operations, standardized billing, and actionable managerial analytics. The phased development ensures a practical build sequence with clear delivery checkpoints tailored to the firm’s dual-entity structure.</w:t>
      </w:r>
    </w:p>
    <w:p>
      <w:pPr>
        <w:pStyle w:val="BodyText"/>
      </w:pPr>
      <w:r>
        <w:rPr>
          <w:b/>
          <w:bCs/>
        </w:rPr>
        <w:t xml:space="preserve">MicroAxis Solutions</w:t>
      </w:r>
      <w:r>
        <w:t xml:space="preserve"> </w:t>
      </w:r>
      <w:r>
        <w:t xml:space="preserve">Business Development/Dept.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2026-05-24T21:15:19Z</dcterms:created>
  <dcterms:modified xsi:type="dcterms:W3CDTF">2026-05-24T21:15:19Z</dcterms:modified>
</cp:coreProperties>
</file>

<file path=docProps/custom.xml><?xml version="1.0" encoding="utf-8"?>
<Properties xmlns="http://schemas.openxmlformats.org/officeDocument/2006/custom-properties" xmlns:vt="http://schemas.openxmlformats.org/officeDocument/2006/docPropsVTypes"/>
</file>