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i w:val="0"/>
          <w:color w:val="000000"/>
          <w:sz w:val="22"/>
          <w:u w:val="none"/>
          <w:rFonts w:ascii="Times New Roman" w:hAnsi="Times New Roman" w:cs="Times New Roman"/>
        </w:rPr>
        <w:t>TapNQue Queue Management System</w:t>
      </w:r>
    </w:p>
    <w:p>
      <w:pPr>
        <w:spacing w:line="276" w:lineRule="auto" w:before="0" w:after="40"/>
        <w:jc w:val="center"/>
      </w:pPr>
      <w:r>
        <w:rPr>
          <w:rFonts w:ascii="Times New Roman" w:hAnsi="Times New Roman"/>
          <w:b/>
          <w:i w:val="0"/>
          <w:color w:val="000000"/>
          <w:sz w:val="22"/>
          <w:u w:val="none"/>
          <w:rFonts w:ascii="Times New Roman" w:hAnsi="Times New Roman" w:cs="Times New Roman"/>
        </w:rPr>
        <w:t>Technical Research Report: Free SMS Alternatives to Semaphore</w:t>
      </w:r>
    </w:p>
    <w:p>
      <w:pPr>
        <w:spacing w:line="276" w:lineRule="auto" w:before="0" w:after="240"/>
        <w:jc w:val="center"/>
      </w:pPr>
      <w:r>
        <w:rPr>
          <w:rFonts w:ascii="Times New Roman" w:hAnsi="Times New Roman"/>
          <w:b w:val="0"/>
          <w:i/>
          <w:color w:val="000000"/>
          <w:sz w:val="22"/>
          <w:u w:val="none"/>
          <w:rFonts w:ascii="Times New Roman" w:hAnsi="Times New Roman" w:cs="Times New Roman"/>
        </w:rPr>
        <w:t>Comprehensive Evaluation of Free, Freemium, Open-Source, and Low-Cost SMS Solutions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340"/>
        <w:gridCol w:w="2340"/>
        <w:gridCol w:w="2340"/>
        <w:gridCol w:w="2340"/>
      </w:tblGrid>
      <w:tr>
        <w:tc>
          <w:tcPr>
            <w:tcW w:type="dxa" w:w="2304"/>
          </w:tcPr>
          <w:p>
            <w:pPr>
              <w:spacing w:line="276" w:lineRule="auto" w:before="60" w:after="60"/>
            </w:pPr>
            <w:r>
              <w:rPr>
                <w:rFonts w:ascii="Times New Roman" w:hAnsi="Times New Roman"/>
                <w:b/>
                <w:i w:val="0"/>
                <w:color w:val="000000"/>
                <w:sz w:val="20"/>
                <w:u w:val="none"/>
                <w:rFonts w:ascii="Times New Roman" w:hAnsi="Times New Roman" w:cs="Times New Roman"/>
              </w:rPr>
              <w:t>Document ID</w:t>
            </w:r>
          </w:p>
        </w:tc>
        <w:tc>
          <w:tcPr>
            <w:tcW w:type="dxa" w:w="2304"/>
          </w:tcPr>
          <w:p>
            <w:pPr>
              <w:spacing w:line="276" w:lineRule="auto" w:before="60" w:after="60"/>
            </w:pPr>
            <w:r>
              <w:rPr>
                <w:rFonts w:ascii="Times New Roman" w:hAnsi="Times New Roman"/>
                <w:b/>
                <w:i w:val="0"/>
                <w:color w:val="000000"/>
                <w:sz w:val="20"/>
                <w:u w:val="none"/>
                <w:rFonts w:ascii="Times New Roman" w:hAnsi="Times New Roman" w:cs="Times New Roman"/>
              </w:rPr>
              <w:t>Publication Date</w:t>
            </w:r>
          </w:p>
        </w:tc>
        <w:tc>
          <w:tcPr>
            <w:tcW w:type="dxa" w:w="2304"/>
          </w:tcPr>
          <w:p>
            <w:pPr>
              <w:spacing w:line="276" w:lineRule="auto" w:before="60" w:after="60"/>
            </w:pPr>
            <w:r>
              <w:rPr>
                <w:rFonts w:ascii="Times New Roman" w:hAnsi="Times New Roman"/>
                <w:b/>
                <w:i w:val="0"/>
                <w:color w:val="000000"/>
                <w:sz w:val="20"/>
                <w:u w:val="none"/>
                <w:rFonts w:ascii="Times New Roman" w:hAnsi="Times New Roman" w:cs="Times New Roman"/>
              </w:rPr>
              <w:t>Target System</w:t>
            </w:r>
          </w:p>
        </w:tc>
        <w:tc>
          <w:tcPr>
            <w:tcW w:type="dxa" w:w="2448"/>
          </w:tcPr>
          <w:p>
            <w:pPr>
              <w:spacing w:line="276" w:lineRule="auto" w:before="60" w:after="60"/>
            </w:pPr>
            <w:r>
              <w:rPr>
                <w:rFonts w:ascii="Times New Roman" w:hAnsi="Times New Roman"/>
                <w:b/>
                <w:i w:val="0"/>
                <w:color w:val="000000"/>
                <w:sz w:val="20"/>
                <w:u w:val="none"/>
                <w:rFonts w:ascii="Times New Roman" w:hAnsi="Times New Roman" w:cs="Times New Roman"/>
              </w:rPr>
              <w:t>Classification</w:t>
            </w:r>
          </w:p>
        </w:tc>
      </w:tr>
      <w:tr>
        <w:tc>
          <w:tcPr>
            <w:tcW w:type="dxa" w:w="2304"/>
          </w:tcPr>
          <w:p>
            <w:pPr>
              <w:spacing w:line="276" w:lineRule="auto" w:before="40" w:after="40"/>
            </w:pPr>
            <w:r>
              <w:rPr>
                <w:rFonts w:ascii="Times New Roman" w:hAnsi="Times New Roman"/>
                <w:b w:val="0"/>
                <w:i w:val="0"/>
                <w:color w:val="000000"/>
                <w:sz w:val="19"/>
                <w:u w:val="none"/>
                <w:rFonts w:ascii="Times New Roman" w:hAnsi="Times New Roman" w:cs="Times New Roman"/>
              </w:rPr>
              <w:t>TNQ-RES-SMS-2026</w:t>
            </w:r>
          </w:p>
        </w:tc>
        <w:tc>
          <w:tcPr>
            <w:tcW w:type="dxa" w:w="2304"/>
          </w:tcPr>
          <w:p>
            <w:pPr>
              <w:spacing w:line="276" w:lineRule="auto" w:before="40" w:after="40"/>
            </w:pPr>
            <w:r>
              <w:rPr>
                <w:rFonts w:ascii="Times New Roman" w:hAnsi="Times New Roman"/>
                <w:b w:val="0"/>
                <w:i w:val="0"/>
                <w:color w:val="000000"/>
                <w:sz w:val="19"/>
                <w:u w:val="none"/>
                <w:rFonts w:ascii="Times New Roman" w:hAnsi="Times New Roman" w:cs="Times New Roman"/>
              </w:rPr>
              <w:t>11-09-2026</w:t>
            </w:r>
          </w:p>
        </w:tc>
        <w:tc>
          <w:tcPr>
            <w:tcW w:type="dxa" w:w="2304"/>
          </w:tcPr>
          <w:p>
            <w:pPr>
              <w:spacing w:line="276" w:lineRule="auto" w:before="40" w:after="40"/>
            </w:pPr>
            <w:r>
              <w:rPr>
                <w:rFonts w:ascii="Times New Roman" w:hAnsi="Times New Roman"/>
                <w:b w:val="0"/>
                <w:i w:val="0"/>
                <w:color w:val="000000"/>
                <w:sz w:val="19"/>
                <w:u w:val="none"/>
                <w:rFonts w:ascii="Times New Roman" w:hAnsi="Times New Roman" w:cs="Times New Roman"/>
              </w:rPr>
              <w:t>TapNQue 2.1.0-PROD</w:t>
            </w:r>
          </w:p>
        </w:tc>
        <w:tc>
          <w:tcPr>
            <w:tcW w:type="dxa" w:w="2448"/>
          </w:tcPr>
          <w:p>
            <w:pPr>
              <w:spacing w:line="276" w:lineRule="auto" w:before="40" w:after="40"/>
            </w:pPr>
            <w:r>
              <w:rPr>
                <w:rFonts w:ascii="Times New Roman" w:hAnsi="Times New Roman"/>
                <w:b w:val="0"/>
                <w:i w:val="0"/>
                <w:color w:val="000000"/>
                <w:sz w:val="19"/>
                <w:u w:val="none"/>
                <w:rFonts w:ascii="Times New Roman" w:hAnsi="Times New Roman" w:cs="Times New Roman"/>
              </w:rPr>
              <w:t>Technical Research / Capstone Guide</w:t>
            </w:r>
          </w:p>
        </w:tc>
      </w:tr>
    </w:tbl>
    <w:p>
      <w:pPr>
        <w:spacing w:line="276" w:lineRule="auto" w:before="120" w:after="200"/>
        <w:jc w:val="left"/>
      </w:pPr>
    </w:p>
    <w:p>
      <w:pPr>
        <w:spacing w:line="276" w:lineRule="auto" w:before="280" w:after="120"/>
        <w:jc w:val="left"/>
      </w:pPr>
      <w:r>
        <w:rPr>
          <w:rFonts w:ascii="Times New Roman" w:hAnsi="Times New Roman"/>
          <w:b/>
          <w:i w:val="0"/>
          <w:color w:val="000000"/>
          <w:sz w:val="22"/>
          <w:u w:val="single"/>
          <w:rFonts w:ascii="Times New Roman" w:hAnsi="Times New Roman" w:cs="Times New Roman"/>
        </w:rPr>
        <w:t>1. Executive Summary &amp; Research Motivation</w:t>
      </w:r>
    </w:p>
    <w:p>
      <w:pPr>
        <w:spacing w:line="276" w:lineRule="auto" w:before="0" w:after="80"/>
        <w:jc w:val="left"/>
      </w:pPr>
      <w:r>
        <w:rPr>
          <w:rFonts w:ascii="Times New Roman" w:hAnsi="Times New Roman"/>
          <w:b w:val="0"/>
          <w:i w:val="0"/>
          <w:color w:val="000000"/>
          <w:sz w:val="22"/>
          <w:u w:val="none"/>
          <w:rFonts w:ascii="Times New Roman" w:hAnsi="Times New Roman" w:cs="Times New Roman"/>
        </w:rPr>
        <w:t>The TapNQue Queue Management System currently utilizes Semaphore (api.semaphore.co) as its primary pure software cloud SMS gateway. While Semaphore provides high delivery reliability across Philippine telecom networks (Globe, Smart, DITO), it presents notable budget hurdles for student capstone teams: a unit cost of approximately ₱0.50 to ₱0.60 per SMS, a steep minimum reload threshold of ₱500.00 to ₱1,000.00, and an initial signup trial of only 5 to 10 non-renewable credits.</w:t>
      </w:r>
    </w:p>
    <w:p>
      <w:pPr>
        <w:spacing w:line="276" w:lineRule="auto" w:before="0" w:after="80"/>
        <w:jc w:val="left"/>
      </w:pPr>
      <w:r>
        <w:rPr>
          <w:rFonts w:ascii="Times New Roman" w:hAnsi="Times New Roman"/>
          <w:b w:val="0"/>
          <w:i w:val="0"/>
          <w:color w:val="000000"/>
          <w:sz w:val="22"/>
          <w:u w:val="none"/>
          <w:rFonts w:ascii="Times New Roman" w:hAnsi="Times New Roman" w:cs="Times New Roman"/>
        </w:rPr>
        <w:t>This research report systematically identifies, benchmarks, and provides implementation architectures for free, freemium, open-source, and alternative notification solutions. The study emphasizes zero-cost options, compatibility with Philippine telco regulations (RA 11934 SIM Registration Act), pure software architectures that eliminate fragile GSM shields, and robust resilience under live capstone defense conditions.</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2. Comparative Evaluation Matrix</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560"/>
        <w:gridCol w:w="1560"/>
        <w:gridCol w:w="1560"/>
        <w:gridCol w:w="1560"/>
        <w:gridCol w:w="1560"/>
        <w:gridCol w:w="1560"/>
      </w:tblGrid>
      <w:tr>
        <w:tc>
          <w:tcPr>
            <w:tcW w:type="dxa" w:w="1728"/>
          </w:tcPr>
          <w:p>
            <w:pPr>
              <w:spacing w:line="276" w:lineRule="auto" w:before="60" w:after="60"/>
            </w:pPr>
            <w:r>
              <w:rPr>
                <w:rFonts w:ascii="Times New Roman" w:hAnsi="Times New Roman"/>
                <w:b/>
                <w:i w:val="0"/>
                <w:color w:val="000000"/>
                <w:sz w:val="20"/>
                <w:u w:val="none"/>
                <w:rFonts w:ascii="Times New Roman" w:hAnsi="Times New Roman" w:cs="Times New Roman"/>
              </w:rPr>
              <w:t>Solution</w:t>
            </w:r>
          </w:p>
        </w:tc>
        <w:tc>
          <w:tcPr>
            <w:tcW w:type="dxa" w:w="1584"/>
          </w:tcPr>
          <w:p>
            <w:pPr>
              <w:spacing w:line="276" w:lineRule="auto" w:before="60" w:after="60"/>
            </w:pPr>
            <w:r>
              <w:rPr>
                <w:rFonts w:ascii="Times New Roman" w:hAnsi="Times New Roman"/>
                <w:b/>
                <w:i w:val="0"/>
                <w:color w:val="000000"/>
                <w:sz w:val="20"/>
                <w:u w:val="none"/>
                <w:rFonts w:ascii="Times New Roman" w:hAnsi="Times New Roman" w:cs="Times New Roman"/>
              </w:rPr>
              <w:t>Category</w:t>
            </w:r>
          </w:p>
        </w:tc>
        <w:tc>
          <w:tcPr>
            <w:tcW w:type="dxa" w:w="1584"/>
          </w:tcPr>
          <w:p>
            <w:pPr>
              <w:spacing w:line="276" w:lineRule="auto" w:before="60" w:after="60"/>
            </w:pPr>
            <w:r>
              <w:rPr>
                <w:rFonts w:ascii="Times New Roman" w:hAnsi="Times New Roman"/>
                <w:b/>
                <w:i w:val="0"/>
                <w:color w:val="000000"/>
                <w:sz w:val="20"/>
                <w:u w:val="none"/>
                <w:rFonts w:ascii="Times New Roman" w:hAnsi="Times New Roman" w:cs="Times New Roman"/>
              </w:rPr>
              <w:t>Free Quota</w:t>
            </w:r>
          </w:p>
        </w:tc>
        <w:tc>
          <w:tcPr>
            <w:tcW w:type="dxa" w:w="1296"/>
          </w:tcPr>
          <w:p>
            <w:pPr>
              <w:spacing w:line="276" w:lineRule="auto" w:before="60" w:after="60"/>
            </w:pPr>
            <w:r>
              <w:rPr>
                <w:rFonts w:ascii="Times New Roman" w:hAnsi="Times New Roman"/>
                <w:b/>
                <w:i w:val="0"/>
                <w:color w:val="000000"/>
                <w:sz w:val="20"/>
                <w:u w:val="none"/>
                <w:rFonts w:ascii="Times New Roman" w:hAnsi="Times New Roman" w:cs="Times New Roman"/>
              </w:rPr>
              <w:t>Cost/SMS</w:t>
            </w:r>
          </w:p>
        </w:tc>
        <w:tc>
          <w:tcPr>
            <w:tcW w:type="dxa" w:w="1584"/>
          </w:tcPr>
          <w:p>
            <w:pPr>
              <w:spacing w:line="276" w:lineRule="auto" w:before="60" w:after="60"/>
            </w:pPr>
            <w:r>
              <w:rPr>
                <w:rFonts w:ascii="Times New Roman" w:hAnsi="Times New Roman"/>
                <w:b/>
                <w:i w:val="0"/>
                <w:color w:val="000000"/>
                <w:sz w:val="20"/>
                <w:u w:val="none"/>
                <w:rFonts w:ascii="Times New Roman" w:hAnsi="Times New Roman" w:cs="Times New Roman"/>
              </w:rPr>
              <w:t>Hardware</w:t>
            </w:r>
          </w:p>
        </w:tc>
        <w:tc>
          <w:tcPr>
            <w:tcW w:type="dxa" w:w="1584"/>
          </w:tcPr>
          <w:p>
            <w:pPr>
              <w:spacing w:line="276" w:lineRule="auto" w:before="60" w:after="60"/>
            </w:pPr>
            <w:r>
              <w:rPr>
                <w:rFonts w:ascii="Times New Roman" w:hAnsi="Times New Roman"/>
                <w:b/>
                <w:i w:val="0"/>
                <w:color w:val="000000"/>
                <w:sz w:val="20"/>
                <w:u w:val="none"/>
                <w:rFonts w:ascii="Times New Roman" w:hAnsi="Times New Roman" w:cs="Times New Roman"/>
              </w:rPr>
              <w:t>Defense Suitability</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Semaphore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PH Cloud REST</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5-10 credits</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₱0.50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High (if funded)</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PhilSMS</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PH Cloud REST</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5-10 credits</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₱0.35</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Very High (No min.)</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ITEXMO</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PH Cloud REST</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 (Discont.)</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₱0.45</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Moderate (Paid only)</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Android Gateway</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Self-Hosted Bridge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Unlimited (SIM)</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₱0.00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Android Phone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Outstanding (Zero cost)</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Textbee.dev</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Cloud/Local Bridge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Unlimited (SIM)</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₱0.00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Android Phone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Outstanding (Zero cost)</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Twilio</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Global Cloud</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$15.50 Trial</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~₱3.20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Moderate (Whitelist)</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Vonage (Nexmo)</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Global Cloud</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€2.00 Trial</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~₱2.80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Moderate (Whitelist)</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Email-to-SMS</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Carrier Gateway</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Discontinued</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N/A</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Unusable in PH</w:t>
            </w:r>
          </w:p>
        </w:tc>
      </w:tr>
      <w:tr>
        <w:tc>
          <w:tcPr>
            <w:tcW w:type="dxa" w:w="1728"/>
          </w:tcPr>
          <w:p>
            <w:pPr>
              <w:spacing w:line="276" w:lineRule="auto" w:before="40" w:after="40"/>
            </w:pPr>
            <w:r>
              <w:rPr>
                <w:rFonts w:ascii="Times New Roman" w:hAnsi="Times New Roman"/>
                <w:b w:val="0"/>
                <w:i w:val="0"/>
                <w:color w:val="000000"/>
                <w:sz w:val="19"/>
                <w:u w:val="none"/>
                <w:rFonts w:ascii="Times New Roman" w:hAnsi="Times New Roman" w:cs="Times New Roman"/>
              </w:rPr>
              <w:t>Telegram Bot API</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Push Chat API</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100% Free</w:t>
            </w:r>
          </w:p>
        </w:tc>
        <w:tc>
          <w:tcPr>
            <w:tcW w:type="dxa" w:w="1296"/>
          </w:tcPr>
          <w:p>
            <w:pPr>
              <w:spacing w:line="276" w:lineRule="auto" w:before="40" w:after="40"/>
            </w:pPr>
            <w:r>
              <w:rPr>
                <w:rFonts w:ascii="Times New Roman" w:hAnsi="Times New Roman"/>
                <w:b w:val="0"/>
                <w:i w:val="0"/>
                <w:color w:val="000000"/>
                <w:sz w:val="19"/>
                <w:u w:val="none"/>
                <w:rFonts w:ascii="Times New Roman" w:hAnsi="Times New Roman" w:cs="Times New Roman"/>
              </w:rPr>
              <w:t>₱0.00</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None</w:t>
            </w:r>
          </w:p>
        </w:tc>
        <w:tc>
          <w:tcPr>
            <w:tcW w:type="dxa" w:w="1584"/>
          </w:tcPr>
          <w:p>
            <w:pPr>
              <w:spacing w:line="276" w:lineRule="auto" w:before="40" w:after="40"/>
            </w:pPr>
            <w:r>
              <w:rPr>
                <w:rFonts w:ascii="Times New Roman" w:hAnsi="Times New Roman"/>
                <w:b w:val="0"/>
                <w:i w:val="0"/>
                <w:color w:val="000000"/>
                <w:sz w:val="19"/>
                <w:u w:val="none"/>
                <w:rFonts w:ascii="Times New Roman" w:hAnsi="Times New Roman" w:cs="Times New Roman"/>
              </w:rPr>
              <w:t>Exceptional Supplement</w:t>
            </w:r>
          </w:p>
        </w:tc>
      </w:tr>
    </w:tbl>
    <w:p>
      <w:pPr>
        <w:spacing w:line="276" w:lineRule="auto" w:before="120" w:after="200"/>
        <w:jc w:val="left"/>
      </w:pPr>
    </w:p>
    <w:p>
      <w:pPr>
        <w:spacing w:line="276" w:lineRule="auto" w:before="280" w:after="120"/>
        <w:jc w:val="left"/>
      </w:pPr>
      <w:r>
        <w:rPr>
          <w:rFonts w:ascii="Times New Roman" w:hAnsi="Times New Roman"/>
          <w:b/>
          <w:i w:val="0"/>
          <w:color w:val="000000"/>
          <w:sz w:val="22"/>
          <w:u w:val="single"/>
          <w:rFonts w:ascii="Times New Roman" w:hAnsi="Times New Roman" w:cs="Times New Roman"/>
        </w:rPr>
        <w:t>3. Category 1: Philippine-Specific Cloud SMS Gateways</w:t>
      </w:r>
    </w:p>
    <w:p>
      <w:pPr>
        <w:spacing w:line="276" w:lineRule="auto" w:before="200" w:after="80"/>
        <w:jc w:val="left"/>
      </w:pPr>
      <w:r>
        <w:rPr>
          <w:rFonts w:ascii="Times New Roman" w:hAnsi="Times New Roman"/>
          <w:b/>
          <w:i w:val="0"/>
          <w:color w:val="000000"/>
          <w:sz w:val="22"/>
          <w:u w:val="none"/>
          <w:rFonts w:ascii="Times New Roman" w:hAnsi="Times New Roman" w:cs="Times New Roman"/>
        </w:rPr>
        <w:t>3.1 PhilSMS (philsms.com) — Leading Commercial Alternative</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Architecture: </w:t>
      </w:r>
      <w:r>
        <w:rPr>
          <w:rFonts w:ascii="Times New Roman" w:hAnsi="Times New Roman"/>
          <w:b w:val="0"/>
          <w:i w:val="0"/>
          <w:color w:val="000000"/>
          <w:sz w:val="22"/>
          <w:u w:val="none"/>
          <w:rFonts w:ascii="Times New Roman" w:hAnsi="Times New Roman" w:cs="Times New Roman"/>
        </w:rPr>
        <w:t>Philippine cloud gateway with JSON REST API and Bearer Token authentication.</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Free Allowance: </w:t>
      </w:r>
      <w:r>
        <w:rPr>
          <w:rFonts w:ascii="Times New Roman" w:hAnsi="Times New Roman"/>
          <w:b w:val="0"/>
          <w:i w:val="0"/>
          <w:color w:val="000000"/>
          <w:sz w:val="22"/>
          <w:u w:val="none"/>
          <w:rFonts w:ascii="Times New Roman" w:hAnsi="Times New Roman" w:cs="Times New Roman"/>
        </w:rPr>
        <w:t>Provides 5 to 10 trial SMS credits upon free registration and verification.</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Key Advantages: </w:t>
      </w:r>
      <w:r>
        <w:rPr>
          <w:rFonts w:ascii="Times New Roman" w:hAnsi="Times New Roman"/>
          <w:b w:val="0"/>
          <w:i w:val="0"/>
          <w:color w:val="000000"/>
          <w:sz w:val="22"/>
          <w:u w:val="none"/>
          <w:rFonts w:ascii="Times New Roman" w:hAnsi="Times New Roman" w:cs="Times New Roman"/>
        </w:rPr>
        <w:t>No minimum reload threshold (allows ₱50 or ₱100 top-ups); lower per-SMS rate (₱0.35 to ₱0.40) compared to Semaphore (₱0.50).</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API Endpoint: </w:t>
      </w:r>
      <w:r>
        <w:rPr>
          <w:rFonts w:ascii="Times New Roman" w:hAnsi="Times New Roman"/>
          <w:b w:val="0"/>
          <w:i w:val="0"/>
          <w:color w:val="000000"/>
          <w:sz w:val="22"/>
          <w:u w:val="none"/>
          <w:rFonts w:ascii="Times New Roman" w:hAnsi="Times New Roman" w:cs="Times New Roman"/>
        </w:rPr>
        <w:t>POST https://app.philsms.com/api/v3/sms/send with JSON body.</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Verdict: </w:t>
      </w:r>
      <w:r>
        <w:rPr>
          <w:rFonts w:ascii="Times New Roman" w:hAnsi="Times New Roman"/>
          <w:b w:val="0"/>
          <w:i w:val="0"/>
          <w:color w:val="000000"/>
          <w:sz w:val="22"/>
          <w:u w:val="none"/>
          <w:rFonts w:ascii="Times New Roman" w:hAnsi="Times New Roman" w:cs="Times New Roman"/>
        </w:rPr>
        <w:t>The most accessible commercial cloud gateway for student budgets if Semaphore's ₱500 reload is prohibitive.</w:t>
      </w:r>
    </w:p>
    <w:p>
      <w:pPr>
        <w:spacing w:line="276" w:lineRule="auto" w:before="200" w:after="80"/>
        <w:jc w:val="left"/>
      </w:pPr>
      <w:r>
        <w:rPr>
          <w:rFonts w:ascii="Times New Roman" w:hAnsi="Times New Roman"/>
          <w:b/>
          <w:i w:val="0"/>
          <w:color w:val="000000"/>
          <w:sz w:val="22"/>
          <w:u w:val="none"/>
          <w:rFonts w:ascii="Times New Roman" w:hAnsi="Times New Roman" w:cs="Times New Roman"/>
        </w:rPr>
        <w:t>3.2 ITEXMO (itexmo.com)</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Status: </w:t>
      </w:r>
      <w:r>
        <w:rPr>
          <w:rFonts w:ascii="Times New Roman" w:hAnsi="Times New Roman"/>
          <w:b w:val="0"/>
          <w:i w:val="0"/>
          <w:color w:val="000000"/>
          <w:sz w:val="22"/>
          <w:u w:val="none"/>
          <w:rFonts w:ascii="Times New Roman" w:hAnsi="Times New Roman" w:cs="Times New Roman"/>
        </w:rPr>
        <w:t>Historically popular in IT student theses; however, its free developer tier has been discontinued.</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Current Model: </w:t>
      </w:r>
      <w:r>
        <w:rPr>
          <w:rFonts w:ascii="Times New Roman" w:hAnsi="Times New Roman"/>
          <w:b w:val="0"/>
          <w:i w:val="0"/>
          <w:color w:val="000000"/>
          <w:sz w:val="22"/>
          <w:u w:val="none"/>
          <w:rFonts w:ascii="Times New Roman" w:hAnsi="Times New Roman" w:cs="Times New Roman"/>
        </w:rPr>
        <w:t>Requires purchasing prepaid starter bundles; no free trial credits available for new accounts.</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4. Category 2: Global Developer Cloud Gateways with Free Trials</w:t>
      </w:r>
    </w:p>
    <w:p>
      <w:pPr>
        <w:spacing w:line="276" w:lineRule="auto" w:before="200" w:after="80"/>
        <w:jc w:val="left"/>
      </w:pPr>
      <w:r>
        <w:rPr>
          <w:rFonts w:ascii="Times New Roman" w:hAnsi="Times New Roman"/>
          <w:b/>
          <w:i w:val="0"/>
          <w:color w:val="000000"/>
          <w:sz w:val="22"/>
          <w:u w:val="none"/>
          <w:rFonts w:ascii="Times New Roman" w:hAnsi="Times New Roman" w:cs="Times New Roman"/>
        </w:rPr>
        <w:t>4.1 Twilio (twilio.com)</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Trial Credit: </w:t>
      </w:r>
      <w:r>
        <w:rPr>
          <w:rFonts w:ascii="Times New Roman" w:hAnsi="Times New Roman"/>
          <w:b w:val="0"/>
          <w:i w:val="0"/>
          <w:color w:val="000000"/>
          <w:sz w:val="22"/>
          <w:u w:val="none"/>
          <w:rFonts w:ascii="Times New Roman" w:hAnsi="Times New Roman" w:cs="Times New Roman"/>
        </w:rPr>
        <w:t>Offers a $15.50 free trial balance upon account creation and phone verification.</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Crucial Defense Restrictions: </w:t>
      </w:r>
      <w:r>
        <w:rPr>
          <w:rFonts w:ascii="Times New Roman" w:hAnsi="Times New Roman"/>
          <w:b w:val="0"/>
          <w:i w:val="0"/>
          <w:color w:val="000000"/>
          <w:sz w:val="22"/>
          <w:u w:val="none"/>
          <w:rFonts w:ascii="Times New Roman" w:hAnsi="Times New Roman" w:cs="Times New Roman"/>
        </w:rPr>
        <w:t>Trial accounts can ONLY send SMS to verified caller ID phone numbers (must be pre-verified via OTP in Twilio Console). Outbound SMS includes 'Sent from your Twilio trial account' prefix.</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Cost Rate: </w:t>
      </w:r>
      <w:r>
        <w:rPr>
          <w:rFonts w:ascii="Times New Roman" w:hAnsi="Times New Roman"/>
          <w:b w:val="0"/>
          <w:i w:val="0"/>
          <w:color w:val="000000"/>
          <w:sz w:val="22"/>
          <w:u w:val="none"/>
          <w:rFonts w:ascii="Times New Roman" w:hAnsi="Times New Roman" w:cs="Times New Roman"/>
        </w:rPr>
        <w:t>High cost to Philippine carriers (~$0.057 or ~₱3.20 per SMS), depleting the $15.50 balance after ~270 messages.</w:t>
      </w:r>
    </w:p>
    <w:p>
      <w:pPr>
        <w:spacing w:line="276" w:lineRule="auto" w:before="200" w:after="80"/>
        <w:jc w:val="left"/>
      </w:pPr>
      <w:r>
        <w:rPr>
          <w:rFonts w:ascii="Times New Roman" w:hAnsi="Times New Roman"/>
          <w:b/>
          <w:i w:val="0"/>
          <w:color w:val="000000"/>
          <w:sz w:val="22"/>
          <w:u w:val="none"/>
          <w:rFonts w:ascii="Times New Roman" w:hAnsi="Times New Roman" w:cs="Times New Roman"/>
        </w:rPr>
        <w:t>4.2 Vonage (formerly Nexmo – vonage.com)</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Trial Credit: </w:t>
      </w:r>
      <w:r>
        <w:rPr>
          <w:rFonts w:ascii="Times New Roman" w:hAnsi="Times New Roman"/>
          <w:b w:val="0"/>
          <w:i w:val="0"/>
          <w:color w:val="000000"/>
          <w:sz w:val="22"/>
          <w:u w:val="none"/>
          <w:rFonts w:ascii="Times New Roman" w:hAnsi="Times New Roman" w:cs="Times New Roman"/>
        </w:rPr>
        <w:t>Provides €2.00 free credit on signup. Outbound messages are restricted to verified test whitelists.</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5. Category 3: Self-Hosted Android SMS Gateway (100% Free / Unlimited)</w:t>
      </w:r>
    </w:p>
    <w:p>
      <w:pPr>
        <w:spacing w:line="276" w:lineRule="auto" w:before="0" w:after="80"/>
        <w:jc w:val="left"/>
      </w:pPr>
      <w:r>
        <w:rPr>
          <w:rFonts w:ascii="Times New Roman" w:hAnsi="Times New Roman"/>
          <w:b w:val="0"/>
          <w:i w:val="0"/>
          <w:color w:val="000000"/>
          <w:sz w:val="22"/>
          <w:u w:val="none"/>
          <w:rFonts w:ascii="Times New Roman" w:hAnsi="Times New Roman" w:cs="Times New Roman"/>
        </w:rPr>
        <w:t>For capstone teams seeking authentic cellular delivery with absolute ₱0.00 API expenses, converting an Android smartphone into a local REST API gateway is the premier software engineering solution. An Android application runs an embedded HTTP server listening on Wi-Fi (port 8080). When TapNQue issues a ticket, it sends a standard HTTP POST request to the phone, which dispatches the SMS natively via its SIM card using an unlimited SMS promo.</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Leading Open-Source Solutions: </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  • Capcom Android-SMS-Gateway (sms-gate.app): </w:t>
      </w:r>
      <w:r>
        <w:rPr>
          <w:rFonts w:ascii="Times New Roman" w:hAnsi="Times New Roman"/>
          <w:b w:val="0"/>
          <w:i w:val="0"/>
          <w:color w:val="000000"/>
          <w:sz w:val="22"/>
          <w:u w:val="none"/>
          <w:rFonts w:ascii="Times New Roman" w:hAnsi="Times New Roman" w:cs="Times New Roman"/>
        </w:rPr>
        <w:t>Pure local mode, embedded HTTP server, zero cloud dependencies.</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  • Textbee (textbee.dev): </w:t>
      </w:r>
      <w:r>
        <w:rPr>
          <w:rFonts w:ascii="Times New Roman" w:hAnsi="Times New Roman"/>
          <w:b w:val="0"/>
          <w:i w:val="0"/>
          <w:color w:val="000000"/>
          <w:sz w:val="22"/>
          <w:u w:val="none"/>
          <w:rFonts w:ascii="Times New Roman" w:hAnsi="Times New Roman" w:cs="Times New Roman"/>
        </w:rPr>
        <w:t>Open-source APK with cloud dashboard and REST API.</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  • httpSMS (httpsms.com): </w:t>
      </w:r>
      <w:r>
        <w:rPr>
          <w:rFonts w:ascii="Times New Roman" w:hAnsi="Times New Roman"/>
          <w:b w:val="0"/>
          <w:i w:val="0"/>
          <w:color w:val="000000"/>
          <w:sz w:val="22"/>
          <w:u w:val="none"/>
          <w:rFonts w:ascii="Times New Roman" w:hAnsi="Times New Roman" w:cs="Times New Roman"/>
        </w:rPr>
        <w:t>Developer-centric REST API and Android forwarder with 20 SMS/day free tier.</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Cost Profile: </w:t>
      </w:r>
      <w:r>
        <w:rPr>
          <w:rFonts w:ascii="Times New Roman" w:hAnsi="Times New Roman"/>
          <w:b w:val="0"/>
          <w:i w:val="0"/>
          <w:color w:val="000000"/>
          <w:sz w:val="22"/>
          <w:u w:val="none"/>
          <w:rFonts w:ascii="Times New Roman" w:hAnsi="Times New Roman" w:cs="Times New Roman"/>
        </w:rPr>
        <w:t>₱0.00 in cloud API fees; uses standard student SIM with ₱50 weekly unlimited SMS promo.</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Hardware Rationale: </w:t>
      </w:r>
      <w:r>
        <w:rPr>
          <w:rFonts w:ascii="Times New Roman" w:hAnsi="Times New Roman"/>
          <w:b w:val="0"/>
          <w:i w:val="0"/>
          <w:color w:val="000000"/>
          <w:sz w:val="22"/>
          <w:u w:val="none"/>
          <w:rFonts w:ascii="Times New Roman" w:hAnsi="Times New Roman" w:cs="Times New Roman"/>
        </w:rPr>
        <w:t>Requires no external microcontrollers, Arduino boards, or loose wiring. It is pure software communication over local Wi-Fi.</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6. Category 4: The Reality of Email-to-SMS in the Philippines</w:t>
      </w:r>
    </w:p>
    <w:p>
      <w:pPr>
        <w:spacing w:line="276" w:lineRule="auto" w:before="0" w:after="80"/>
        <w:jc w:val="left"/>
      </w:pPr>
      <w:r>
        <w:rPr>
          <w:rFonts w:ascii="Times New Roman" w:hAnsi="Times New Roman"/>
          <w:b w:val="0"/>
          <w:i w:val="0"/>
          <w:color w:val="000000"/>
          <w:sz w:val="22"/>
          <w:u w:val="none"/>
          <w:rFonts w:ascii="Times New Roman" w:hAnsi="Times New Roman" w:cs="Times New Roman"/>
        </w:rPr>
        <w:t>In the United States, carriers provide free email-to-SMS domains (e.g., number@vtext.com). In the Philippines, Globe (@sms.globe.com.ph) and Smart (@sms.smart.com.ph) permanently decommissioned public email-to-SMS gateways due to widespread spam abuse and strict legal mandates under the Philippine SIM Registration Act (RA 11934). Carrier email-to-SMS is completely inoperable in the Philippines today.</w:t>
      </w:r>
    </w:p>
    <w:p>
      <w:pPr>
        <w:spacing w:line="276" w:lineRule="auto" w:before="0" w:after="80"/>
        <w:jc w:val="left"/>
      </w:pPr>
      <w:r>
        <w:rPr>
          <w:rFonts w:ascii="Times New Roman" w:hAnsi="Times New Roman"/>
          <w:b w:val="0"/>
          <w:i w:val="0"/>
          <w:color w:val="000000"/>
          <w:sz w:val="22"/>
          <w:u w:val="none"/>
          <w:rFonts w:ascii="Times New Roman" w:hAnsi="Times New Roman" w:cs="Times New Roman"/>
        </w:rPr>
        <w:t>Defense Cheatsheet: If faculty panelists ask why email-to-SMS was not used, students should explain that Philippine telcos prohibit unauthenticated SMTP-to-SMS relays under RA 11934, legally requiring registered SIM endpoints or accredited SMS aggregators.</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7. Category 5: Zero-Cost Transactional Push Notification Alternatives</w:t>
      </w:r>
    </w:p>
    <w:p>
      <w:pPr>
        <w:spacing w:line="276" w:lineRule="auto" w:before="200" w:after="80"/>
        <w:jc w:val="left"/>
      </w:pPr>
      <w:r>
        <w:rPr>
          <w:rFonts w:ascii="Times New Roman" w:hAnsi="Times New Roman"/>
          <w:b/>
          <w:i w:val="0"/>
          <w:color w:val="000000"/>
          <w:sz w:val="22"/>
          <w:u w:val="none"/>
          <w:rFonts w:ascii="Times New Roman" w:hAnsi="Times New Roman" w:cs="Times New Roman"/>
        </w:rPr>
        <w:t>7.1 Telegram Bot API (api.telegram.org) — 100% Free Forever</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Cost: </w:t>
      </w:r>
      <w:r>
        <w:rPr>
          <w:rFonts w:ascii="Times New Roman" w:hAnsi="Times New Roman"/>
          <w:b w:val="0"/>
          <w:i w:val="0"/>
          <w:color w:val="000000"/>
          <w:sz w:val="22"/>
          <w:u w:val="none"/>
          <w:rFonts w:ascii="Times New Roman" w:hAnsi="Times New Roman" w:cs="Times New Roman"/>
        </w:rPr>
        <w:t>Completely free forever with zero limits, zero credit cards, and instant push notification delivery.</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Workflow: </w:t>
      </w:r>
      <w:r>
        <w:rPr>
          <w:rFonts w:ascii="Times New Roman" w:hAnsi="Times New Roman"/>
          <w:b w:val="0"/>
          <w:i w:val="0"/>
          <w:color w:val="000000"/>
          <w:sz w:val="22"/>
          <w:u w:val="none"/>
          <w:rFonts w:ascii="Times New Roman" w:hAnsi="Times New Roman" w:cs="Times New Roman"/>
        </w:rPr>
        <w:t>Students scan a QR code on the Kiosk to connect with the department bot; TapNQue pushes ticket confirmations and counter call alerts via simple HTTP POST requests.</w:t>
      </w:r>
    </w:p>
    <w:p>
      <w:pPr>
        <w:spacing w:line="276" w:lineRule="auto" w:before="200" w:after="80"/>
        <w:jc w:val="left"/>
      </w:pPr>
      <w:r>
        <w:rPr>
          <w:rFonts w:ascii="Times New Roman" w:hAnsi="Times New Roman"/>
          <w:b/>
          <w:i w:val="0"/>
          <w:color w:val="000000"/>
          <w:sz w:val="22"/>
          <w:u w:val="none"/>
          <w:rFonts w:ascii="Times New Roman" w:hAnsi="Times New Roman" w:cs="Times New Roman"/>
        </w:rPr>
        <w:t>7.2 ntfy.sh (Open-Source HTTP Pub-Sub Push)</w:t>
      </w:r>
    </w:p>
    <w:p>
      <w:pPr>
        <w:pStyle w:val="ListBullet"/>
        <w:spacing w:line="276" w:lineRule="auto" w:before="0" w:after="60"/>
      </w:pPr>
      <w:r>
        <w:rPr>
          <w:rFonts w:ascii="Times New Roman" w:hAnsi="Times New Roman"/>
          <w:b/>
          <w:i w:val="0"/>
          <w:color w:val="000000"/>
          <w:sz w:val="22"/>
          <w:u w:val="none"/>
          <w:rFonts w:ascii="Times New Roman" w:hAnsi="Times New Roman" w:cs="Times New Roman"/>
        </w:rPr>
        <w:t xml:space="preserve">Cost: </w:t>
      </w:r>
      <w:r>
        <w:rPr>
          <w:rFonts w:ascii="Times New Roman" w:hAnsi="Times New Roman"/>
          <w:b w:val="0"/>
          <w:i w:val="0"/>
          <w:color w:val="000000"/>
          <w:sz w:val="22"/>
          <w:u w:val="none"/>
          <w:rFonts w:ascii="Times New Roman" w:hAnsi="Times New Roman" w:cs="Times New Roman"/>
        </w:rPr>
        <w:t>Free, open-source push notification service requiring zero user account registrations.</w:t>
      </w:r>
    </w:p>
    <w:p>
      <w:pPr>
        <w:spacing w:line="276" w:lineRule="auto" w:before="280" w:after="120"/>
        <w:jc w:val="left"/>
      </w:pPr>
      <w:r>
        <w:rPr>
          <w:rFonts w:ascii="Times New Roman" w:hAnsi="Times New Roman"/>
          <w:b/>
          <w:i w:val="0"/>
          <w:color w:val="000000"/>
          <w:sz w:val="22"/>
          <w:u w:val="single"/>
          <w:rFonts w:ascii="Times New Roman" w:hAnsi="Times New Roman" w:cs="Times New Roman"/>
        </w:rPr>
        <w:t>8. Strategic Recommendations for the Project Team</w:t>
      </w:r>
    </w:p>
    <w:p>
      <w:pPr>
        <w:spacing w:line="276" w:lineRule="auto" w:before="0" w:after="60"/>
        <w:ind w:left="360"/>
      </w:pPr>
      <w:r>
        <w:rPr>
          <w:rFonts w:ascii="Times New Roman" w:hAnsi="Times New Roman"/>
          <w:b/>
          <w:i w:val="0"/>
          <w:color w:val="000000"/>
          <w:sz w:val="22"/>
          <w:u w:val="none"/>
          <w:rFonts w:ascii="Times New Roman" w:hAnsi="Times New Roman" w:cs="Times New Roman"/>
        </w:rPr>
        <w:t xml:space="preserve">1. </w:t>
      </w:r>
      <w:r>
        <w:rPr>
          <w:rFonts w:ascii="Times New Roman" w:hAnsi="Times New Roman"/>
          <w:b/>
          <w:i w:val="0"/>
          <w:color w:val="000000"/>
          <w:sz w:val="22"/>
          <w:u w:val="none"/>
          <w:rFonts w:ascii="Times New Roman" w:hAnsi="Times New Roman" w:cs="Times New Roman"/>
        </w:rPr>
        <w:t xml:space="preserve">Defense Presentation (₱0 Budget): </w:t>
      </w:r>
      <w:r>
        <w:rPr>
          <w:rFonts w:ascii="Times New Roman" w:hAnsi="Times New Roman"/>
          <w:b w:val="0"/>
          <w:i w:val="0"/>
          <w:color w:val="000000"/>
          <w:sz w:val="22"/>
          <w:u w:val="none"/>
          <w:rFonts w:ascii="Times New Roman" w:hAnsi="Times New Roman" w:cs="Times New Roman"/>
        </w:rPr>
        <w:t>Rely primarily on TapNQue's built-in Capstone Mock Simulation Mode (100% offline, zero risk). If live SMS delivery to a smartphone is required by the panel, deploy Capcom Android-SMS-Gateway on a student phone over the laptop's mobile hotspot.</w:t>
      </w:r>
    </w:p>
    <w:p>
      <w:pPr>
        <w:spacing w:line="276" w:lineRule="auto" w:before="0" w:after="60"/>
        <w:ind w:left="360"/>
      </w:pPr>
      <w:r>
        <w:rPr>
          <w:rFonts w:ascii="Times New Roman" w:hAnsi="Times New Roman"/>
          <w:b/>
          <w:i w:val="0"/>
          <w:color w:val="000000"/>
          <w:sz w:val="22"/>
          <w:u w:val="none"/>
          <w:rFonts w:ascii="Times New Roman" w:hAnsi="Times New Roman" w:cs="Times New Roman"/>
        </w:rPr>
        <w:t xml:space="preserve">2. </w:t>
      </w:r>
      <w:r>
        <w:rPr>
          <w:rFonts w:ascii="Times New Roman" w:hAnsi="Times New Roman"/>
          <w:b/>
          <w:i w:val="0"/>
          <w:color w:val="000000"/>
          <w:sz w:val="22"/>
          <w:u w:val="none"/>
          <w:rFonts w:ascii="Times New Roman" w:hAnsi="Times New Roman" w:cs="Times New Roman"/>
        </w:rPr>
        <w:t xml:space="preserve">Budget-Conscious Cloud SMS (₱50-₱100): </w:t>
      </w:r>
      <w:r>
        <w:rPr>
          <w:rFonts w:ascii="Times New Roman" w:hAnsi="Times New Roman"/>
          <w:b w:val="0"/>
          <w:i w:val="0"/>
          <w:color w:val="000000"/>
          <w:sz w:val="22"/>
          <w:u w:val="none"/>
          <w:rFonts w:ascii="Times New Roman" w:hAnsi="Times New Roman" w:cs="Times New Roman"/>
        </w:rPr>
        <w:t>Integrate PhilSMS for commercial cloud routing without Semaphore's ₱500 minimum top-up.</w:t>
      </w:r>
    </w:p>
    <w:p>
      <w:pPr>
        <w:spacing w:line="276" w:lineRule="auto" w:before="0" w:after="60"/>
        <w:ind w:left="360"/>
      </w:pPr>
      <w:r>
        <w:rPr>
          <w:rFonts w:ascii="Times New Roman" w:hAnsi="Times New Roman"/>
          <w:b/>
          <w:i w:val="0"/>
          <w:color w:val="000000"/>
          <w:sz w:val="22"/>
          <w:u w:val="none"/>
          <w:rFonts w:ascii="Times New Roman" w:hAnsi="Times New Roman" w:cs="Times New Roman"/>
        </w:rPr>
        <w:t xml:space="preserve">3. </w:t>
      </w:r>
      <w:r>
        <w:rPr>
          <w:rFonts w:ascii="Times New Roman" w:hAnsi="Times New Roman"/>
          <w:b/>
          <w:i w:val="0"/>
          <w:color w:val="000000"/>
          <w:sz w:val="22"/>
          <w:u w:val="none"/>
          <w:rFonts w:ascii="Times New Roman" w:hAnsi="Times New Roman" w:cs="Times New Roman"/>
        </w:rPr>
        <w:t xml:space="preserve">Institutional Production: </w:t>
      </w:r>
      <w:r>
        <w:rPr>
          <w:rFonts w:ascii="Times New Roman" w:hAnsi="Times New Roman"/>
          <w:b w:val="0"/>
          <w:i w:val="0"/>
          <w:color w:val="000000"/>
          <w:sz w:val="22"/>
          <w:u w:val="none"/>
          <w:rFonts w:ascii="Times New Roman" w:hAnsi="Times New Roman" w:cs="Times New Roman"/>
        </w:rPr>
        <w:t>Funded university departments should utilize Semaphore or Globe M360 Enterprise with an approved institutional alphanumeric Sender 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