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2286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914400"/>
                    </a:xfrm>
                    <a:prstGeom prst="rect">
                      <a:avLst/>
                    </a:prstGeom>
                  </pic:spPr>
                </pic:pic>
              </a:graphicData>
            </a:graphic>
          </wp:inline>
        </w:drawing>
      </w:r>
    </w:p>
    <w:p>
      <w:pPr>
        <w:spacing w:after="100"/>
      </w:pPr>
      <w:r>
        <w:rPr>
          <w:b/>
          <w:bCs/>
          <w:color w:val="0E5453"/>
          <w:spacing w:val="14"/>
          <w:sz w:val="16"/>
          <w:szCs w:val="16"/>
        </w:rPr>
        <w:t xml:space="preserve">WORKING DOCUMENT · CAPTURE ANSWERS HERE</w:t>
      </w:r>
    </w:p>
    <w:p>
      <w:pPr>
        <w:pStyle w:val="Heading1"/>
        <w:spacing w:after="60"/>
        <w:outlineLvl w:val="0"/>
      </w:pPr>
      <w:r>
        <w:rPr>
          <w:b/>
          <w:bCs/>
          <w:color w:val="0F172A"/>
          <w:sz w:val="38"/>
          <w:szCs w:val="38"/>
        </w:rPr>
        <w:t xml:space="preserve">Before Day One — Decisions Worksheet</w:t>
      </w:r>
    </w:p>
    <w:p>
      <w:pPr>
        <w:spacing w:after="100"/>
      </w:pPr>
      <w:r>
        <w:rPr>
          <w:i/>
          <w:iCs/>
          <w:color w:val="6B7280"/>
          <w:sz w:val="21"/>
          <w:szCs w:val="21"/>
        </w:rPr>
        <w:t xml:space="preserve">OptiMind Educational Strategies — prepared by Ruby Groves, Gemini Lane</w:t>
      </w:r>
    </w:p>
    <w:p>
      <w:pPr>
        <w:pBdr>
          <w:top w:val="single" w:color="E4E9F0" w:sz="4"/>
          <w:bottom w:val="single" w:color="E4E9F0" w:sz="4"/>
        </w:pBdr>
        <w:spacing w:after="300" w:before="120"/>
      </w:pPr>
      <w:r>
        <w:rPr>
          <w:b/>
          <w:bCs/>
          <w:color w:val="0F172A"/>
          <w:sz w:val="19"/>
          <w:szCs w:val="19"/>
        </w:rPr>
        <w:t xml:space="preserve">Items</w:t>
      </w:r>
      <w:r>
        <w:rPr>
          <w:color w:val="9CA3AF"/>
          <w:sz w:val="19"/>
          <w:szCs w:val="19"/>
        </w:rPr>
        <w:t xml:space="preserve"> · 24    </w:t>
      </w:r>
      <w:r>
        <w:rPr>
          <w:b/>
          <w:bCs/>
          <w:color w:val="0F172A"/>
          <w:sz w:val="19"/>
          <w:szCs w:val="19"/>
        </w:rPr>
        <w:t xml:space="preserve">Needed by</w:t>
      </w:r>
      <w:r>
        <w:rPr>
          <w:color w:val="9CA3AF"/>
          <w:sz w:val="19"/>
          <w:szCs w:val="19"/>
        </w:rPr>
        <w:t xml:space="preserve"> · Sep 8, 2026 — the specialist's first day    </w:t>
      </w:r>
      <w:r>
        <w:rPr>
          <w:b/>
          <w:bCs/>
          <w:color w:val="0F172A"/>
          <w:sz w:val="19"/>
          <w:szCs w:val="19"/>
        </w:rPr>
        <w:t xml:space="preserve">Prepared</w:t>
      </w:r>
      <w:r>
        <w:rPr>
          <w:color w:val="9CA3AF"/>
          <w:sz w:val="19"/>
          <w:szCs w:val="19"/>
        </w:rPr>
        <w:t xml:space="preserve"> · Aug 31, 2026</w:t>
      </w:r>
    </w:p>
    <w:p>
      <w:pPr>
        <w:pStyle w:val="Heading2"/>
        <w:keepNext/>
        <w:pBdr>
          <w:bottom w:val="single" w:color="E4E9F0" w:sz="6"/>
        </w:pBdr>
        <w:spacing w:after="140" w:before="380"/>
        <w:outlineLvl w:val="1"/>
      </w:pPr>
      <w:r>
        <w:rPr>
          <w:b/>
          <w:bCs/>
          <w:color w:val="0F172A"/>
          <w:sz w:val="25"/>
          <w:szCs w:val="25"/>
        </w:rPr>
        <w:t xml:space="preserve">How to Use This</w:t>
      </w:r>
    </w:p>
    <w:p>
      <w:pPr>
        <w:spacing w:after="140" w:line="276"/>
      </w:pPr>
      <w:r>
        <w:rPr>
          <w:color w:val="374151"/>
          <w:sz w:val="21"/>
          <w:szCs w:val="21"/>
        </w:rPr>
        <w:t xml:space="preserve">The twenty-four items the specialist relies on in her first week, each with space to write the answer as Sarah gives it. Work down it in conversation, fill the boxes, and it becomes the record the documents get drafted from — rather than an answer sitting in an email thread that has to be found again later.</w:t>
      </w:r>
    </w:p>
    <w:p>
      <w:pPr>
        <w:spacing w:after="140" w:line="276"/>
      </w:pPr>
      <w:r>
        <w:rPr>
          <w:color w:val="374151"/>
          <w:sz w:val="21"/>
          <w:szCs w:val="21"/>
        </w:rPr>
        <w:t xml:space="preserve">Questions are grouped by topic rather than by document, so the conversation runs in a sensible order. Where an answer settles the same open item in more than one document, the sources line says so.</w:t>
      </w:r>
    </w:p>
    <w:p>
      <w:pPr>
        <w:spacing w:after="140" w:line="276"/>
      </w:pPr>
      <w:r>
        <w:rPr>
          <w:b/>
          <w:bCs/>
          <w:color w:val="0F172A"/>
          <w:sz w:val="21"/>
          <w:szCs w:val="21"/>
        </w:rPr>
        <w:t xml:space="preserve">Two items are marked ATTORNEY. </w:t>
      </w:r>
      <w:r>
        <w:rPr>
          <w:color w:val="374151"/>
          <w:sz w:val="21"/>
          <w:szCs w:val="21"/>
        </w:rPr>
        <w:t xml:space="preserve">Those are not Sarah's to answer off the top of her head — capture her position, then flag it for counsel.</w:t>
      </w:r>
    </w:p>
    <w:p>
      <w:pPr>
        <w:spacing w:after="180"/>
      </w:pPr>
    </w:p>
    <w:p>
      <w:pPr>
        <w:pStyle w:val="Heading2"/>
        <w:keepNext/>
        <w:pBdr>
          <w:bottom w:val="single" w:color="E4E9F0" w:sz="6"/>
        </w:pBdr>
        <w:spacing w:after="40" w:before="380"/>
        <w:outlineLvl w:val="1"/>
      </w:pPr>
      <w:r>
        <w:rPr>
          <w:b/>
          <w:bCs/>
          <w:color w:val="0F172A"/>
          <w:sz w:val="25"/>
          <w:szCs w:val="25"/>
        </w:rPr>
        <w:t xml:space="preserve">A · Safety and escalation</w:t>
      </w:r>
    </w:p>
    <w:p>
      <w:pPr>
        <w:keepNext/>
        <w:spacing w:after="140" w:before="90" w:line="270"/>
      </w:pPr>
      <w:r>
        <w:rPr>
          <w:i/>
          <w:iCs/>
          <w:color w:val="6B7280"/>
          <w:sz w:val="19"/>
          <w:szCs w:val="19"/>
        </w:rPr>
        <w:t xml:space="preserve">Flagged as the highest priority in three separate documents. A person taking live sessions needs an answer before she takes the first one.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01   </w:t>
            </w:r>
            <w:r>
              <w:rPr>
                <w:b/>
                <w:bCs/>
                <w:color w:val="0F172A"/>
                <w:sz w:val="22"/>
                <w:szCs w:val="22"/>
              </w:rPr>
              <w:t xml:space="preserve">What is the protocol if a client discloses a self-harm or safety concern during a session?</w:t>
            </w:r>
          </w:p>
          <w:p>
            <w:pPr>
              <w:keepNext/>
              <w:spacing w:after="80"/>
              <w:ind w:left="340"/>
            </w:pPr>
            <w:r>
              <w:rPr>
                <w:b w:val="false"/>
                <w:bCs w:val="false"/>
                <w:color w:val="9CA3AF"/>
                <w:spacing w:val="6"/>
                <w:sz w:val="17"/>
                <w:szCs w:val="17"/>
              </w:rPr>
              <w:t xml:space="preserve">EMPLOYEE HANDBOOK §10  ·  EMPLOYEE REFERENCE SHEET  ·  INTERNAL REFERENCE SHEET</w:t>
            </w:r>
          </w:p>
          <w:p>
            <w:pPr>
              <w:keepNext/>
              <w:spacing w:after="120" w:line="272"/>
              <w:ind w:left="340"/>
            </w:pPr>
            <w:r>
              <w:rPr>
                <w:color w:val="6B7280"/>
                <w:sz w:val="20"/>
                <w:szCs w:val="20"/>
              </w:rPr>
              <w:t xml:space="preserve">The Handbook carries a proposed two-tier protocol: active intent with a plan or means — don't leave the client, call 911, contact the parent for a minor, call Sarah once the immediate danger is addressed. Passive ideation — don't promise confidentiality, contact Sarah the same day. Confirm as written, or correct it.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9F1239"/>
                <w:sz w:val="21"/>
                <w:szCs w:val="21"/>
              </w:rPr>
              <w:t xml:space="preserve">02   </w:t>
            </w:r>
            <w:r>
              <w:rPr>
                <w:b/>
                <w:bCs/>
                <w:color w:val="0F172A"/>
                <w:sz w:val="22"/>
                <w:szCs w:val="22"/>
              </w:rPr>
              <w:t xml:space="preserve">Is the specialist a mandated reporter under Maryland law?</w:t>
            </w:r>
          </w:p>
          <w:p>
            <w:pPr>
              <w:keepNext/>
              <w:spacing w:after="80"/>
              <w:ind w:left="340"/>
            </w:pPr>
            <w:r>
              <w:rPr>
                <w:b/>
                <w:bCs/>
                <w:color w:val="9F1239"/>
                <w:spacing w:val="6"/>
                <w:sz w:val="17"/>
                <w:szCs w:val="17"/>
              </w:rPr>
              <w:t xml:space="preserve">ATTORNEY  ·  EMPLOYEE HANDBOOK §10</w:t>
            </w:r>
          </w:p>
          <w:p>
            <w:pPr>
              <w:keepNext/>
              <w:spacing w:after="120" w:line="272"/>
              <w:ind w:left="340"/>
            </w:pPr>
            <w:r>
              <w:rPr>
                <w:color w:val="6B7280"/>
                <w:sz w:val="20"/>
                <w:szCs w:val="20"/>
              </w:rPr>
              <w:t xml:space="preserve">Turns on licensure and role. The Handbook is explicit that this needs a lawyer's answer, not an assumption in either direction.</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03   </w:t>
            </w:r>
            <w:r>
              <w:rPr>
                <w:b/>
                <w:bCs/>
                <w:color w:val="0F172A"/>
                <w:sz w:val="22"/>
                <w:szCs w:val="22"/>
              </w:rPr>
              <w:t xml:space="preserve">Has the safety protocol been reviewed by a licensed mental-health consultant — or should one be brought in first?</w:t>
            </w:r>
          </w:p>
          <w:p>
            <w:pPr>
              <w:keepNext/>
              <w:spacing w:after="80"/>
              <w:ind w:left="340"/>
            </w:pPr>
            <w:r>
              <w:rPr>
                <w:b w:val="false"/>
                <w:bCs w:val="false"/>
                <w:color w:val="9CA3AF"/>
                <w:spacing w:val="6"/>
                <w:sz w:val="17"/>
                <w:szCs w:val="17"/>
              </w:rPr>
              <w:t xml:space="preserve">EMPLOYEE HANDBOOK §10</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04   </w:t>
            </w:r>
            <w:r>
              <w:rPr>
                <w:b/>
                <w:bCs/>
                <w:color w:val="0F172A"/>
                <w:sz w:val="22"/>
                <w:szCs w:val="22"/>
              </w:rPr>
              <w:t xml:space="preserve">What happens after “tell Sarah immediately” in a data breach?</w:t>
            </w:r>
          </w:p>
          <w:p>
            <w:pPr>
              <w:keepNext/>
              <w:spacing w:after="80"/>
              <w:ind w:left="340"/>
            </w:pPr>
            <w:r>
              <w:rPr>
                <w:b w:val="false"/>
                <w:bCs w:val="false"/>
                <w:color w:val="9CA3AF"/>
                <w:spacing w:val="6"/>
                <w:sz w:val="17"/>
                <w:szCs w:val="17"/>
              </w:rPr>
              <w:t xml:space="preserve">CONFIDENTIALITY &amp; DATA-HANDLING AGREEMENT</w:t>
            </w:r>
          </w:p>
          <w:p>
            <w:pPr>
              <w:keepNext/>
              <w:spacing w:after="120" w:line="272"/>
              <w:ind w:left="340"/>
            </w:pPr>
            <w:r>
              <w:rPr>
                <w:color w:val="6B7280"/>
                <w:sz w:val="20"/>
                <w:szCs w:val="20"/>
              </w:rPr>
              <w:t xml:space="preserve">Is there a client-notification step, an insurance carrier to call, a regulator? The agreement stops at the first step.</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p>
      <w:pPr>
        <w:pStyle w:val="Heading2"/>
        <w:keepNext/>
        <w:pBdr>
          <w:bottom w:val="single" w:color="E4E9F0" w:sz="6"/>
        </w:pBdr>
        <w:spacing w:after="40" w:before="380"/>
        <w:outlineLvl w:val="1"/>
      </w:pPr>
      <w:r>
        <w:rPr>
          <w:b/>
          <w:bCs/>
          <w:color w:val="0F172A"/>
          <w:sz w:val="25"/>
          <w:szCs w:val="25"/>
        </w:rPr>
        <w:t xml:space="preserve">B · Accounts, access and where things live</w:t>
      </w:r>
    </w:p>
    <w:p>
      <w:pPr>
        <w:keepNext/>
        <w:spacing w:after="140" w:before="90" w:line="270"/>
      </w:pPr>
      <w:r>
        <w:rPr>
          <w:i/>
          <w:iCs/>
          <w:color w:val="6B7280"/>
          <w:sz w:val="19"/>
          <w:szCs w:val="19"/>
        </w:rPr>
        <w:t xml:space="preserve">All four are pre-day-one provisioning items in the Week-One Onboarding Schedule.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05   </w:t>
            </w:r>
            <w:r>
              <w:rPr>
                <w:b/>
                <w:bCs/>
                <w:color w:val="0F172A"/>
                <w:sz w:val="22"/>
                <w:szCs w:val="22"/>
              </w:rPr>
              <w:t xml:space="preserve">What is the specialist's company email address?</w:t>
            </w:r>
          </w:p>
          <w:p>
            <w:pPr>
              <w:keepNext/>
              <w:spacing w:after="80"/>
              <w:ind w:left="340"/>
            </w:pPr>
            <w:r>
              <w:rPr>
                <w:b w:val="false"/>
                <w:bCs w:val="false"/>
                <w:color w:val="9CA3AF"/>
                <w:spacing w:val="6"/>
                <w:sz w:val="17"/>
                <w:szCs w:val="17"/>
              </w:rPr>
              <w:t xml:space="preserve">EMPLOYEE HANDBOOK §11  ·  WEEK-ONE SCHEDULE  ·  BOTH REFERENCE SHEETS</w:t>
            </w:r>
          </w:p>
          <w:p>
            <w:pPr>
              <w:keepNext/>
              <w:spacing w:after="120" w:line="272"/>
              <w:ind w:left="340"/>
            </w:pPr>
            <w:r>
              <w:rPr>
                <w:color w:val="6B7280"/>
                <w:sz w:val="20"/>
                <w:szCs w:val="20"/>
              </w:rPr>
              <w:t xml:space="preserve">The Gmail auto-signature and the whole labelling convention depend on it.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06   </w:t>
            </w:r>
            <w:r>
              <w:rPr>
                <w:b/>
                <w:bCs/>
                <w:color w:val="0F172A"/>
                <w:sz w:val="22"/>
                <w:szCs w:val="22"/>
              </w:rPr>
              <w:t xml:space="preserve">What is the business phone line — company handset, forwarding number, or VoIP?</w:t>
            </w:r>
          </w:p>
          <w:p>
            <w:pPr>
              <w:keepNext/>
              <w:spacing w:after="80"/>
              <w:ind w:left="340"/>
            </w:pPr>
            <w:r>
              <w:rPr>
                <w:b w:val="false"/>
                <w:bCs w:val="false"/>
                <w:color w:val="9CA3AF"/>
                <w:spacing w:val="6"/>
                <w:sz w:val="17"/>
                <w:szCs w:val="17"/>
              </w:rPr>
              <w:t xml:space="preserve">EMPLOYEE HANDBOOK §11  ·  ROLE DEFINITION</w:t>
            </w:r>
          </w:p>
          <w:p>
            <w:pPr>
              <w:keepNext/>
              <w:spacing w:after="120" w:line="272"/>
              <w:ind w:left="340"/>
            </w:pPr>
            <w:r>
              <w:rPr>
                <w:color w:val="6B7280"/>
                <w:sz w:val="20"/>
                <w:szCs w:val="20"/>
              </w:rPr>
              <w:t xml:space="preserve">The Role Definition requires the specialist to keep phone contact with clients and families. There is no business line for her to do it from today.</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07   </w:t>
            </w:r>
            <w:r>
              <w:rPr>
                <w:b/>
                <w:bCs/>
                <w:color w:val="0F172A"/>
                <w:sz w:val="22"/>
                <w:szCs w:val="22"/>
              </w:rPr>
              <w:t xml:space="preserve">Where do client files and records actually live right now — which folders, which tools?</w:t>
            </w:r>
          </w:p>
          <w:p>
            <w:pPr>
              <w:keepNext/>
              <w:spacing w:after="80"/>
              <w:ind w:left="340"/>
            </w:pPr>
            <w:r>
              <w:rPr>
                <w:b w:val="false"/>
                <w:bCs w:val="false"/>
                <w:color w:val="9CA3AF"/>
                <w:spacing w:val="6"/>
                <w:sz w:val="17"/>
                <w:szCs w:val="17"/>
              </w:rPr>
              <w:t xml:space="preserve">EMPLOYEE REFERENCE SHEET  ·  INTERNAL REFERENCE SHEET  ·  CONFIDENTIALITY AGREEMENT §3</w:t>
            </w:r>
          </w:p>
          <w:p>
            <w:pPr>
              <w:keepNext/>
              <w:spacing w:after="120" w:line="272"/>
              <w:ind w:left="340"/>
            </w:pPr>
            <w:r>
              <w:rPr>
                <w:color w:val="6B7280"/>
                <w:sz w:val="20"/>
                <w:szCs w:val="20"/>
              </w:rPr>
              <w:t xml:space="preserve">She needs today's real answer on day one, not the answer the platform decision produces in the autumn.</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08   </w:t>
            </w:r>
            <w:r>
              <w:rPr>
                <w:b/>
                <w:bCs/>
                <w:color w:val="0F172A"/>
                <w:sz w:val="22"/>
                <w:szCs w:val="22"/>
              </w:rPr>
              <w:t xml:space="preserve">Is there any backup of client data the specialist should know about?</w:t>
            </w:r>
          </w:p>
          <w:p>
            <w:pPr>
              <w:keepNext/>
              <w:spacing w:after="80"/>
              <w:ind w:left="340"/>
            </w:pPr>
            <w:r>
              <w:rPr>
                <w:b w:val="false"/>
                <w:bCs w:val="false"/>
                <w:color w:val="9CA3AF"/>
                <w:spacing w:val="6"/>
                <w:sz w:val="17"/>
                <w:szCs w:val="17"/>
              </w:rPr>
              <w:t xml:space="preserve">DATA-HANDLING POLICY §2  ·  BOTH REFERENCE SHEETS</w:t>
            </w:r>
          </w:p>
          <w:p>
            <w:pPr>
              <w:keepNext/>
              <w:spacing w:after="120" w:line="272"/>
              <w:ind w:left="340"/>
            </w:pPr>
            <w:r>
              <w:rPr>
                <w:color w:val="6B7280"/>
                <w:sz w:val="20"/>
                <w:szCs w:val="20"/>
              </w:rPr>
              <w:t xml:space="preserve">The Data-Handling Policy states plainly that everything sits on cloud sync with no independent, tested backup. If that is still true on day one, she should be told rather than left to assume otherwise.</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p>
      <w:pPr>
        <w:pStyle w:val="Heading2"/>
        <w:keepNext/>
        <w:pBdr>
          <w:bottom w:val="single" w:color="E4E9F0" w:sz="6"/>
        </w:pBdr>
        <w:spacing w:after="40" w:before="380"/>
        <w:outlineLvl w:val="1"/>
      </w:pPr>
      <w:r>
        <w:rPr>
          <w:b/>
          <w:bCs/>
          <w:color w:val="0F172A"/>
          <w:sz w:val="25"/>
          <w:szCs w:val="25"/>
        </w:rPr>
        <w:t xml:space="preserve">C · Caseload and week one</w:t>
      </w:r>
    </w:p>
    <w:p>
      <w:pPr>
        <w:keepNext/>
        <w:spacing w:after="140" w:before="90" w:line="270"/>
      </w:pPr>
      <w:r>
        <w:rPr>
          <w:i/>
          <w:iCs/>
          <w:color w:val="6B7280"/>
          <w:sz w:val="19"/>
          <w:szCs w:val="19"/>
        </w:rPr>
        <w:t xml:space="preserve">Without these three, the first week has content but no shape.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09   </w:t>
            </w:r>
            <w:r>
              <w:rPr>
                <w:b/>
                <w:bCs/>
                <w:color w:val="0F172A"/>
                <w:sz w:val="22"/>
                <w:szCs w:val="22"/>
              </w:rPr>
              <w:t xml:space="preserve">What are the target billable hours for weeks 1 through 7?</w:t>
            </w:r>
          </w:p>
          <w:p>
            <w:pPr>
              <w:keepNext/>
              <w:spacing w:after="80"/>
              <w:ind w:left="340"/>
            </w:pPr>
            <w:r>
              <w:rPr>
                <w:b w:val="false"/>
                <w:bCs w:val="false"/>
                <w:color w:val="9CA3AF"/>
                <w:spacing w:val="6"/>
                <w:sz w:val="17"/>
                <w:szCs w:val="17"/>
              </w:rPr>
              <w:t xml:space="preserve">WEEK-ONE SCHEDULE  ·  ROLE DEFINITION</w:t>
            </w:r>
          </w:p>
          <w:p>
            <w:pPr>
              <w:keepNext/>
              <w:spacing w:after="120" w:line="272"/>
              <w:ind w:left="340"/>
            </w:pPr>
            <w:r>
              <w:rPr>
                <w:color w:val="6B7280"/>
                <w:sz w:val="20"/>
                <w:szCs w:val="20"/>
              </w:rPr>
              <w:t xml:space="preserve">Eight rows in the ramp table, seven of them blank. Only week 8 is agreed at ~30 hours. Weeks 1 and 2 carry mock sessions and shadowing, so the curve can't run straight from zero.</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10   </w:t>
            </w:r>
            <w:r>
              <w:rPr>
                <w:b/>
                <w:bCs/>
                <w:color w:val="0F172A"/>
                <w:sz w:val="22"/>
                <w:szCs w:val="22"/>
              </w:rPr>
              <w:t xml:space="preserve">Which clients get handed off, and in which week?</w:t>
            </w:r>
          </w:p>
          <w:p>
            <w:pPr>
              <w:keepNext/>
              <w:spacing w:after="80"/>
              <w:ind w:left="340"/>
            </w:pPr>
            <w:r>
              <w:rPr>
                <w:b w:val="false"/>
                <w:bCs w:val="false"/>
                <w:color w:val="9CA3AF"/>
                <w:spacing w:val="6"/>
                <w:sz w:val="17"/>
                <w:szCs w:val="17"/>
              </w:rPr>
              <w:t xml:space="preserve">WEEK-ONE SCHEDULE</w:t>
            </w:r>
          </w:p>
          <w:p>
            <w:pPr>
              <w:keepNext/>
              <w:spacing w:after="120" w:line="272"/>
              <w:ind w:left="340"/>
            </w:pPr>
            <w:r>
              <w:rPr>
                <w:color w:val="6B7280"/>
                <w:sz w:val="20"/>
                <w:szCs w:val="20"/>
              </w:rPr>
              <w:t xml:space="preserve">The ramp is only a number until it is attached to named clients. Who and when isn't written down anywhere yet.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11   </w:t>
            </w:r>
            <w:r>
              <w:rPr>
                <w:b/>
                <w:bCs/>
                <w:color w:val="0F172A"/>
                <w:sz w:val="22"/>
                <w:szCs w:val="22"/>
              </w:rPr>
              <w:t xml:space="preserve">Day 2 of week one trains on “the session notetaker” — which won't exist by Sep 8.</w:t>
            </w:r>
          </w:p>
          <w:p>
            <w:pPr>
              <w:keepNext/>
              <w:spacing w:after="80"/>
              <w:ind w:left="340"/>
            </w:pPr>
            <w:r>
              <w:rPr>
                <w:b w:val="false"/>
                <w:bCs w:val="false"/>
                <w:color w:val="9CA3AF"/>
                <w:spacing w:val="6"/>
                <w:sz w:val="17"/>
                <w:szCs w:val="17"/>
              </w:rPr>
              <w:t xml:space="preserve">WEEK-ONE SCHEDULE  ·  ROLE DEFINITION</w:t>
            </w:r>
          </w:p>
          <w:p>
            <w:pPr>
              <w:keepNext/>
              <w:spacing w:after="120" w:line="272"/>
              <w:ind w:left="340"/>
            </w:pPr>
            <w:r>
              <w:rPr>
                <w:color w:val="6B7280"/>
                <w:sz w:val="20"/>
                <w:szCs w:val="20"/>
              </w:rPr>
              <w:t xml:space="preserve">Notetaking moved to the Zoho build sprint. Day 2 needs to train on the current note process instead, with the AI notetaker introduced later. What is the current process she should be taught?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p>
      <w:pPr>
        <w:pStyle w:val="Heading2"/>
        <w:keepNext/>
        <w:pBdr>
          <w:bottom w:val="single" w:color="E4E9F0" w:sz="6"/>
        </w:pBdr>
        <w:spacing w:after="40" w:before="380"/>
        <w:outlineLvl w:val="1"/>
      </w:pPr>
      <w:r>
        <w:rPr>
          <w:b/>
          <w:bCs/>
          <w:color w:val="0F172A"/>
          <w:sz w:val="25"/>
          <w:szCs w:val="25"/>
        </w:rPr>
        <w:t xml:space="preserve">D · Time off and employment terms</w:t>
      </w:r>
    </w:p>
    <w:p>
      <w:pPr>
        <w:keepNext/>
        <w:spacing w:after="140" w:before="90" w:line="270"/>
      </w:pPr>
      <w:r>
        <w:rPr>
          <w:i/>
          <w:iCs/>
          <w:color w:val="6B7280"/>
          <w:sz w:val="19"/>
          <w:szCs w:val="19"/>
        </w:rPr>
        <w:t xml:space="preserve">Seven answers that finish Sections 4 and 12 of the Employee Handbook.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12   </w:t>
            </w:r>
            <w:r>
              <w:rPr>
                <w:b/>
                <w:bCs/>
                <w:color w:val="0F172A"/>
                <w:sz w:val="22"/>
                <w:szCs w:val="22"/>
              </w:rPr>
              <w:t xml:space="preserve">Sick and safe leave — paid, or unpaid?</w:t>
            </w:r>
          </w:p>
          <w:p>
            <w:pPr>
              <w:keepNext/>
              <w:spacing w:after="80"/>
              <w:ind w:left="340"/>
            </w:pPr>
            <w:r>
              <w:rPr>
                <w:b w:val="false"/>
                <w:bCs w:val="false"/>
                <w:color w:val="9CA3AF"/>
                <w:spacing w:val="6"/>
                <w:sz w:val="17"/>
                <w:szCs w:val="17"/>
              </w:rPr>
              <w:t xml:space="preserve">EMPLOYEE HANDBOOK §4</w:t>
            </w:r>
          </w:p>
          <w:p>
            <w:pPr>
              <w:keepNext/>
              <w:spacing w:after="120" w:line="272"/>
              <w:ind w:left="340"/>
            </w:pPr>
            <w:r>
              <w:rPr>
                <w:color w:val="6B7280"/>
                <w:sz w:val="20"/>
                <w:szCs w:val="20"/>
              </w:rPr>
              <w:t xml:space="preserve">The Handbook summarizes the Maryland Healthy Working Families Act but flags that the thresholds and the employee-count trigger need verifying before it is treated as policy. At one employee, unpaid may be all that is required — paying it is a choice.</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13   </w:t>
            </w:r>
            <w:r>
              <w:rPr>
                <w:b/>
                <w:bCs/>
                <w:color w:val="0F172A"/>
                <w:sz w:val="22"/>
                <w:szCs w:val="22"/>
              </w:rPr>
              <w:t xml:space="preserve">How many paid vacation days per year, if any?</w:t>
            </w:r>
          </w:p>
          <w:p>
            <w:pPr>
              <w:keepNext/>
              <w:spacing w:after="80"/>
              <w:ind w:left="340"/>
            </w:pPr>
            <w:r>
              <w:rPr>
                <w:b w:val="false"/>
                <w:bCs w:val="false"/>
                <w:color w:val="9CA3AF"/>
                <w:spacing w:val="6"/>
                <w:sz w:val="17"/>
                <w:szCs w:val="17"/>
              </w:rPr>
              <w:t xml:space="preserve">EMPLOYEE HANDBOOK §4</w:t>
            </w:r>
          </w:p>
          <w:p>
            <w:pPr>
              <w:keepNext/>
              <w:spacing w:after="120" w:line="272"/>
              <w:ind w:left="340"/>
            </w:pPr>
            <w:r>
              <w:rPr>
                <w:color w:val="6B7280"/>
                <w:sz w:val="20"/>
                <w:szCs w:val="20"/>
              </w:rPr>
              <w:t xml:space="preserve">Nothing requires it. Listed as proposed, not decided. Accruing from the start date, or granted at hire?</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14   </w:t>
            </w:r>
            <w:r>
              <w:rPr>
                <w:b/>
                <w:bCs/>
                <w:color w:val="0F172A"/>
                <w:sz w:val="22"/>
                <w:szCs w:val="22"/>
              </w:rPr>
              <w:t xml:space="preserve">Which holidays does the practice observe as paid days off?</w:t>
            </w:r>
          </w:p>
          <w:p>
            <w:pPr>
              <w:keepNext/>
              <w:spacing w:after="80"/>
              <w:ind w:left="340"/>
            </w:pPr>
            <w:r>
              <w:rPr>
                <w:b w:val="false"/>
                <w:bCs w:val="false"/>
                <w:color w:val="9CA3AF"/>
                <w:spacing w:val="6"/>
                <w:sz w:val="17"/>
                <w:szCs w:val="17"/>
              </w:rPr>
              <w:t xml:space="preserve">EMPLOYEE HANDBOOK §4</w:t>
            </w:r>
          </w:p>
          <w:p>
            <w:pPr>
              <w:keepNext/>
              <w:spacing w:after="120" w:line="272"/>
              <w:ind w:left="340"/>
            </w:pPr>
            <w:r>
              <w:rPr>
                <w:color w:val="6B7280"/>
                <w:sz w:val="20"/>
                <w:szCs w:val="20"/>
              </w:rPr>
              <w:t xml:space="preserve">Worth matching to how the practice actually operates around school breaks rather than defaulting to the federal list.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15   </w:t>
            </w:r>
            <w:r>
              <w:rPr>
                <w:b/>
                <w:bCs/>
                <w:color w:val="0F172A"/>
                <w:sz w:val="22"/>
                <w:szCs w:val="22"/>
              </w:rPr>
              <w:t xml:space="preserve">How much notice for a planned absence, and who covers the caseload?</w:t>
            </w:r>
          </w:p>
          <w:p>
            <w:pPr>
              <w:keepNext/>
              <w:spacing w:after="80"/>
              <w:ind w:left="340"/>
            </w:pPr>
            <w:r>
              <w:rPr>
                <w:b w:val="false"/>
                <w:bCs w:val="false"/>
                <w:color w:val="9CA3AF"/>
                <w:spacing w:val="6"/>
                <w:sz w:val="17"/>
                <w:szCs w:val="17"/>
              </w:rPr>
              <w:t xml:space="preserve">EMPLOYEE HANDBOOK §4</w:t>
            </w:r>
          </w:p>
          <w:p>
            <w:pPr>
              <w:keepNext/>
              <w:spacing w:after="120" w:line="272"/>
              <w:ind w:left="340"/>
            </w:pPr>
            <w:r>
              <w:rPr>
                <w:color w:val="6B7280"/>
                <w:sz w:val="20"/>
                <w:szCs w:val="20"/>
              </w:rPr>
              <w:t xml:space="preserve">With one specialist and one founder, coverage isn't a formality — it's Sarah.</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16   </w:t>
            </w:r>
            <w:r>
              <w:rPr>
                <w:b/>
                <w:bCs/>
                <w:color w:val="0F172A"/>
                <w:sz w:val="22"/>
                <w:szCs w:val="22"/>
              </w:rPr>
              <w:t xml:space="preserve">Is 90 days the right probationary period, and does anything change when it ends?</w:t>
            </w:r>
          </w:p>
          <w:p>
            <w:pPr>
              <w:keepNext/>
              <w:spacing w:after="80"/>
              <w:ind w:left="340"/>
            </w:pPr>
            <w:r>
              <w:rPr>
                <w:b w:val="false"/>
                <w:bCs w:val="false"/>
                <w:color w:val="9CA3AF"/>
                <w:spacing w:val="6"/>
                <w:sz w:val="17"/>
                <w:szCs w:val="17"/>
              </w:rPr>
              <w:t xml:space="preserve">EMPLOYEE HANDBOOK §12</w:t>
            </w:r>
          </w:p>
          <w:p>
            <w:pPr>
              <w:keepNext/>
              <w:spacing w:after="120" w:line="272"/>
              <w:ind w:left="340"/>
            </w:pPr>
            <w:r>
              <w:rPr>
                <w:color w:val="6B7280"/>
                <w:sz w:val="20"/>
                <w:szCs w:val="20"/>
              </w:rPr>
              <w:t xml:space="preserve">Roughly aligns with reaching the steady-state caseload target in week eight.</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17   </w:t>
            </w:r>
            <w:r>
              <w:rPr>
                <w:b/>
                <w:bCs/>
                <w:color w:val="0F172A"/>
                <w:sz w:val="22"/>
                <w:szCs w:val="22"/>
              </w:rPr>
              <w:t xml:space="preserve">What is the formal review cadence after probation — annual, semi-annual, something else?</w:t>
            </w:r>
          </w:p>
          <w:p>
            <w:pPr>
              <w:keepNext/>
              <w:spacing w:after="80"/>
              <w:ind w:left="340"/>
            </w:pPr>
            <w:r>
              <w:rPr>
                <w:b w:val="false"/>
                <w:bCs w:val="false"/>
                <w:color w:val="9CA3AF"/>
                <w:spacing w:val="6"/>
                <w:sz w:val="17"/>
                <w:szCs w:val="17"/>
              </w:rPr>
              <w:t xml:space="preserve">EMPLOYEE HANDBOOK §12</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18   </w:t>
            </w:r>
            <w:r>
              <w:rPr>
                <w:b/>
                <w:bCs/>
                <w:color w:val="0F172A"/>
                <w:sz w:val="22"/>
                <w:szCs w:val="22"/>
              </w:rPr>
              <w:t xml:space="preserve">Does OptiMind support continuing education, certifications or conference attendance?</w:t>
            </w:r>
          </w:p>
          <w:p>
            <w:pPr>
              <w:keepNext/>
              <w:spacing w:after="80"/>
              <w:ind w:left="340"/>
            </w:pPr>
            <w:r>
              <w:rPr>
                <w:b w:val="false"/>
                <w:bCs w:val="false"/>
                <w:color w:val="9CA3AF"/>
                <w:spacing w:val="6"/>
                <w:sz w:val="17"/>
                <w:szCs w:val="17"/>
              </w:rPr>
              <w:t xml:space="preserve">EMPLOYEE HANDBOOK §12</w:t>
            </w:r>
          </w:p>
          <w:p>
            <w:pPr>
              <w:keepNext/>
              <w:spacing w:after="120" w:line="272"/>
              <w:ind w:left="340"/>
            </w:pPr>
            <w:r>
              <w:rPr>
                <w:color w:val="6B7280"/>
                <w:sz w:val="20"/>
                <w:szCs w:val="20"/>
              </w:rPr>
              <w:t xml:space="preserve">Not yet discussed at all — and a reasonable thing for a candidate to ask about in week one.</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p>
      <w:pPr>
        <w:pStyle w:val="Heading2"/>
        <w:keepNext/>
        <w:pBdr>
          <w:bottom w:val="single" w:color="E4E9F0" w:sz="6"/>
        </w:pBdr>
        <w:spacing w:after="140" w:before="380"/>
        <w:outlineLvl w:val="1"/>
      </w:pPr>
      <w:r>
        <w:rPr>
          <w:b/>
          <w:bCs/>
          <w:color w:val="0F172A"/>
          <w:sz w:val="25"/>
          <w:szCs w:val="25"/>
        </w:rPr>
        <w:t xml:space="preserve">E · Communication norms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19   </w:t>
            </w:r>
            <w:r>
              <w:rPr>
                <w:b/>
                <w:bCs/>
                <w:color w:val="0F172A"/>
                <w:sz w:val="22"/>
                <w:szCs w:val="22"/>
              </w:rPr>
              <w:t xml:space="preserve">Is there a shared internal communication tool beyond email and text?</w:t>
            </w:r>
          </w:p>
          <w:p>
            <w:pPr>
              <w:keepNext/>
              <w:spacing w:after="80"/>
              <w:ind w:left="340"/>
            </w:pPr>
            <w:r>
              <w:rPr>
                <w:b w:val="false"/>
                <w:bCs w:val="false"/>
                <w:color w:val="9CA3AF"/>
                <w:spacing w:val="6"/>
                <w:sz w:val="17"/>
                <w:szCs w:val="17"/>
              </w:rPr>
              <w:t xml:space="preserve">EMPLOYEE HANDBOOK §6</w:t>
            </w:r>
          </w:p>
          <w:p>
            <w:pPr>
              <w:keepNext/>
              <w:spacing w:after="120" w:line="272"/>
              <w:ind w:left="340"/>
            </w:pPr>
            <w:r>
              <w:rPr>
                <w:color w:val="6B7280"/>
                <w:sz w:val="20"/>
                <w:szCs w:val="20"/>
              </w:rPr>
              <w:t xml:space="preserve">A shared calendar, Slack, something else — or does everything run through email and phone today?</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20   </w:t>
            </w:r>
            <w:r>
              <w:rPr>
                <w:b/>
                <w:bCs/>
                <w:color w:val="0F172A"/>
                <w:sz w:val="22"/>
                <w:szCs w:val="22"/>
              </w:rPr>
              <w:t xml:space="preserve">Is same business day the right response-time expectation for client-facing messages?</w:t>
            </w:r>
          </w:p>
          <w:p>
            <w:pPr>
              <w:keepNext/>
              <w:spacing w:after="80"/>
              <w:ind w:left="340"/>
            </w:pPr>
            <w:r>
              <w:rPr>
                <w:b w:val="false"/>
                <w:bCs w:val="false"/>
                <w:color w:val="9CA3AF"/>
                <w:spacing w:val="6"/>
                <w:sz w:val="17"/>
                <w:szCs w:val="17"/>
              </w:rPr>
              <w:t xml:space="preserve">EMPLOYEE HANDBOOK §6</w:t>
            </w:r>
          </w:p>
          <w:p>
            <w:pPr>
              <w:keepNext/>
              <w:spacing w:after="120" w:line="272"/>
              <w:ind w:left="340"/>
            </w:pPr>
            <w:r>
              <w:rPr>
                <w:color w:val="6B7280"/>
                <w:sz w:val="20"/>
                <w:szCs w:val="20"/>
              </w:rPr>
              <w:t xml:space="preserve">Proposed, not confirmed.</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p>
      <w:pPr>
        <w:pStyle w:val="Heading2"/>
        <w:keepNext/>
        <w:pBdr>
          <w:bottom w:val="single" w:color="E4E9F0" w:sz="6"/>
        </w:pBdr>
        <w:spacing w:after="40" w:before="380"/>
        <w:outlineLvl w:val="1"/>
      </w:pPr>
      <w:r>
        <w:rPr>
          <w:b/>
          <w:bCs/>
          <w:color w:val="0F172A"/>
          <w:sz w:val="25"/>
          <w:szCs w:val="25"/>
        </w:rPr>
        <w:t xml:space="preserve">F · Spotting advocacy and college-counseling needs</w:t>
      </w:r>
    </w:p>
    <w:p>
      <w:pPr>
        <w:keepNext/>
        <w:spacing w:after="140" w:before="90" w:line="270"/>
      </w:pPr>
      <w:r>
        <w:rPr>
          <w:i/>
          <w:iCs/>
          <w:color w:val="6B7280"/>
          <w:sz w:val="19"/>
          <w:szCs w:val="19"/>
        </w:rPr>
        <w:t xml:space="preserve">Section 9 of the Handbook is a placeholder, not a working procedure — the document says so itself.</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21   </w:t>
            </w:r>
            <w:r>
              <w:rPr>
                <w:b/>
                <w:bCs/>
                <w:color w:val="0F172A"/>
                <w:sz w:val="22"/>
                <w:szCs w:val="22"/>
              </w:rPr>
              <w:t xml:space="preserve">What are the actual in-session signals that a client needs Special Education Advocacy or College Counseling?</w:t>
            </w:r>
          </w:p>
          <w:p>
            <w:pPr>
              <w:keepNext/>
              <w:spacing w:after="80"/>
              <w:ind w:left="340"/>
            </w:pPr>
            <w:r>
              <w:rPr>
                <w:b w:val="false"/>
                <w:bCs w:val="false"/>
                <w:color w:val="9CA3AF"/>
                <w:spacing w:val="6"/>
                <w:sz w:val="17"/>
                <w:szCs w:val="17"/>
              </w:rPr>
              <w:t xml:space="preserve">EMPLOYEE HANDBOOK §9</w:t>
            </w:r>
          </w:p>
          <w:p>
            <w:pPr>
              <w:keepNext/>
              <w:spacing w:after="120" w:line="272"/>
              <w:ind w:left="340"/>
            </w:pPr>
            <w:r>
              <w:rPr>
                <w:color w:val="6B7280"/>
                <w:sz w:val="20"/>
                <w:szCs w:val="20"/>
              </w:rPr>
              <w:t xml:space="preserve">These are two of OptiMind's three service lines. This needs a concrete set of questions or prompts the specialist can use in session — an upcoming IEP or 504 meeting, a school dispute, application-season timelines — not an instinct call.</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p>
                  <w:pPr>
                    <w:spacing w:after="0" w:line="340"/>
                  </w:pPr>
                </w:p>
                <w:p>
                  <w:pPr>
                    <w:spacing w:after="0" w:line="340"/>
                  </w:pPr>
                </w:p>
              </w:tc>
            </w:tr>
          </w:tbl>
          <w:p/>
        </w:tc>
      </w:tr>
    </w:tbl>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22   </w:t>
            </w:r>
            <w:r>
              <w:rPr>
                <w:b/>
                <w:bCs/>
                <w:color w:val="0F172A"/>
                <w:sz w:val="22"/>
                <w:szCs w:val="22"/>
              </w:rPr>
              <w:t xml:space="preserve">Once a need is flagged, how does the specialist tell Sarah — the weekly one-to-one, or something faster?</w:t>
            </w:r>
          </w:p>
          <w:p>
            <w:pPr>
              <w:keepNext/>
              <w:spacing w:after="80"/>
              <w:ind w:left="340"/>
            </w:pPr>
            <w:r>
              <w:rPr>
                <w:b w:val="false"/>
                <w:bCs w:val="false"/>
                <w:color w:val="9CA3AF"/>
                <w:spacing w:val="6"/>
                <w:sz w:val="17"/>
                <w:szCs w:val="17"/>
              </w:rPr>
              <w:t xml:space="preserve">EMPLOYEE HANDBOOK §9</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tc>
            </w:tr>
          </w:tbl>
          <w:p/>
        </w:tc>
      </w:tr>
    </w:tbl>
    <w:p>
      <w:pPr>
        <w:spacing w:after="160"/>
      </w:pPr>
    </w:p>
    <w:p>
      <w:pPr>
        <w:pStyle w:val="Heading2"/>
        <w:keepNext/>
        <w:pBdr>
          <w:bottom w:val="single" w:color="E4E9F0" w:sz="6"/>
        </w:pBdr>
        <w:spacing w:after="40" w:before="380"/>
        <w:outlineLvl w:val="1"/>
      </w:pPr>
      <w:r>
        <w:rPr>
          <w:b/>
          <w:bCs/>
          <w:color w:val="0F172A"/>
          <w:sz w:val="25"/>
          <w:szCs w:val="25"/>
        </w:rPr>
        <w:t xml:space="preserve">G · Decision authority</w:t>
      </w:r>
    </w:p>
    <w:p>
      <w:pPr>
        <w:keepNext/>
        <w:spacing w:after="140" w:before="90" w:line="270"/>
      </w:pPr>
      <w:r>
        <w:rPr>
          <w:i/>
          <w:iCs/>
          <w:color w:val="6B7280"/>
          <w:sz w:val="19"/>
          <w:szCs w:val="19"/>
        </w:rPr>
        <w:t xml:space="preserve">The New Hire Decision List is reviewed together on Day 1, so these need answers before then.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1D4ED8"/>
                <w:sz w:val="21"/>
                <w:szCs w:val="21"/>
              </w:rPr>
              <w:t xml:space="preserve">23   </w:t>
            </w:r>
            <w:r>
              <w:rPr>
                <w:b/>
                <w:bCs/>
                <w:color w:val="0F172A"/>
                <w:sz w:val="22"/>
                <w:szCs w:val="22"/>
              </w:rPr>
              <w:t xml:space="preserve">Five authority questions on the New Hire Decision List.</w:t>
            </w:r>
          </w:p>
          <w:p>
            <w:pPr>
              <w:keepNext/>
              <w:spacing w:after="80"/>
              <w:ind w:left="340"/>
            </w:pPr>
            <w:r>
              <w:rPr>
                <w:b w:val="false"/>
                <w:bCs w:val="false"/>
                <w:color w:val="9CA3AF"/>
                <w:spacing w:val="6"/>
                <w:sz w:val="17"/>
                <w:szCs w:val="17"/>
              </w:rPr>
              <w:t xml:space="preserve">NEW HIRE DECISION LIST</w:t>
            </w:r>
          </w:p>
          <w:p>
            <w:pPr>
              <w:keepNext/>
              <w:spacing w:after="60" w:line="268"/>
              <w:ind w:left="520"/>
            </w:pPr>
            <w:r>
              <w:rPr>
                <w:color w:val="374151"/>
                <w:sz w:val="20"/>
                <w:szCs w:val="20"/>
              </w:rPr>
              <w:t xml:space="preserve">— Can the specialist reschedule or cancel a session unilaterally, or does that always need your sign-off?</w:t>
            </w:r>
          </w:p>
          <w:p>
            <w:pPr>
              <w:keepNext/>
              <w:spacing w:after="60" w:line="268"/>
              <w:ind w:left="520"/>
            </w:pPr>
            <w:r>
              <w:rPr>
                <w:color w:val="374151"/>
                <w:sz w:val="20"/>
                <w:szCs w:val="20"/>
              </w:rPr>
              <w:t xml:space="preserve">— At what point does a client's request to pause or reduce sessions need your involvement?</w:t>
            </w:r>
          </w:p>
          <w:p>
            <w:pPr>
              <w:keepNext/>
              <w:spacing w:after="60" w:line="268"/>
              <w:ind w:left="520"/>
            </w:pPr>
            <w:r>
              <w:rPr>
                <w:color w:val="374151"/>
                <w:sz w:val="20"/>
                <w:szCs w:val="20"/>
              </w:rPr>
              <w:t xml:space="preserve">— Is there a spending threshold above which purchases (materials, tools) need your approval?</w:t>
            </w:r>
          </w:p>
          <w:p>
            <w:pPr>
              <w:keepNext/>
              <w:spacing w:after="60" w:line="268"/>
              <w:ind w:left="520"/>
            </w:pPr>
            <w:r>
              <w:rPr>
                <w:color w:val="374151"/>
                <w:sz w:val="20"/>
                <w:szCs w:val="20"/>
              </w:rPr>
              <w:t xml:space="preserve">— Does the specialist have standing authority to act immediately in a true safety emergency, without waiting for you?</w:t>
            </w:r>
          </w:p>
          <w:p>
            <w:pPr>
              <w:keepNext/>
              <w:spacing w:after="60" w:line="268"/>
              <w:ind w:left="520"/>
            </w:pPr>
            <w:r>
              <w:rPr>
                <w:color w:val="374151"/>
                <w:sz w:val="20"/>
                <w:szCs w:val="20"/>
              </w:rPr>
              <w:t xml:space="preserve">— Is anything on the list in the wrong tier?</w:t>
            </w:r>
          </w:p>
          <w:p>
            <w:pPr>
              <w:spacing w:after="80"/>
            </w:pP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p>
                  <w:pPr>
                    <w:spacing w:after="0" w:line="340"/>
                  </w:pPr>
                </w:p>
                <w:p>
                  <w:pPr>
                    <w:spacing w:after="0" w:line="340"/>
                  </w:pPr>
                </w:p>
                <w:p>
                  <w:pPr>
                    <w:spacing w:after="0" w:line="340"/>
                  </w:pPr>
                </w:p>
              </w:tc>
            </w:tr>
          </w:tbl>
          <w:p/>
        </w:tc>
      </w:tr>
    </w:tbl>
    <w:p>
      <w:pPr>
        <w:spacing w:after="160"/>
      </w:pPr>
    </w:p>
    <w:p>
      <w:pPr>
        <w:pStyle w:val="Heading2"/>
        <w:keepNext/>
        <w:pBdr>
          <w:bottom w:val="single" w:color="E4E9F0" w:sz="6"/>
        </w:pBdr>
        <w:spacing w:after="140" w:before="380"/>
        <w:outlineLvl w:val="1"/>
      </w:pPr>
      <w:r>
        <w:rPr>
          <w:b/>
          <w:bCs/>
          <w:color w:val="0F172A"/>
          <w:sz w:val="25"/>
          <w:szCs w:val="25"/>
        </w:rPr>
        <w:t xml:space="preserve">H · Employment law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Mar>
              <w:top w:type="dxa" w:w="0"/>
              <w:left w:type="dxa" w:w="0"/>
              <w:bottom w:type="dxa" w:w="0"/>
              <w:right w:type="dxa" w:w="0"/>
            </w:tcMar>
          </w:tcPr>
          <w:p>
            <w:pPr>
              <w:keepNext/>
              <w:spacing w:after="60" w:before="260" w:line="276"/>
            </w:pPr>
            <w:r>
              <w:rPr>
                <w:b/>
                <w:bCs/>
                <w:color w:val="9F1239"/>
                <w:sz w:val="21"/>
                <w:szCs w:val="21"/>
              </w:rPr>
              <w:t xml:space="preserve">24   </w:t>
            </w:r>
            <w:r>
              <w:rPr>
                <w:b/>
                <w:bCs/>
                <w:color w:val="0F172A"/>
                <w:sz w:val="22"/>
                <w:szCs w:val="22"/>
              </w:rPr>
              <w:t xml:space="preserve">Which federal and Maryland EEO provisions actually apply at one employee?</w:t>
            </w:r>
          </w:p>
          <w:p>
            <w:pPr>
              <w:keepNext/>
              <w:spacing w:after="80"/>
              <w:ind w:left="340"/>
            </w:pPr>
            <w:r>
              <w:rPr>
                <w:b/>
                <w:bCs/>
                <w:color w:val="9F1239"/>
                <w:spacing w:val="6"/>
                <w:sz w:val="17"/>
                <w:szCs w:val="17"/>
              </w:rPr>
              <w:t xml:space="preserve">ATTORNEY  ·  EMPLOYEE HANDBOOK §14</w:t>
            </w:r>
          </w:p>
          <w:p>
            <w:pPr>
              <w:keepNext/>
              <w:spacing w:after="120" w:line="272"/>
              <w:ind w:left="340"/>
            </w:pPr>
            <w:r>
              <w:rPr>
                <w:color w:val="6B7280"/>
                <w:sz w:val="20"/>
                <w:szCs w:val="20"/>
              </w:rPr>
              <w:t xml:space="preserve">Title VII and the ADA have minimum employee counts; Maryland's Fair Employment Practices Act has its own thresholds. The Handbook's position is that adopting the policy early is good practice — but the draft language needs sign-off rather than resting on itself.</w:t>
            </w:r>
          </w:p>
          <w:tbl>
            <w:tblPr>
              <w:tblW w:type="dxa" w:w="9020"/>
              <w:tblInd w:type="dxa" w:w="340"/>
              <w:tblBorders>
                <w:top w:val="single" w:color="CBD5E1" w:sz="4"/>
                <w:left w:val="single" w:color="CBD5E1" w:sz="4"/>
                <w:bottom w:val="single" w:color="CBD5E1" w:sz="4"/>
                <w:right w:val="single" w:color="CBD5E1" w:sz="4"/>
                <w:insideH w:val="single" w:color="CBD5E1" w:sz="4"/>
                <w:insideV w:val="single" w:color="CBD5E1" w:sz="4"/>
              </w:tblBorders>
            </w:tblPr>
            <w:tblGrid>
              <w:gridCol w:w="9020"/>
            </w:tblGrid>
            <w:tr>
              <w:tc>
                <w:tcPr>
                  <w:tcW w:type="dxa" w:w="9020"/>
                  <w:shd w:fill="FBFCFD" w:val="clear"/>
                  <w:tcMar>
                    <w:top w:type="dxa" w:w="120"/>
                    <w:left w:type="dxa" w:w="180"/>
                    <w:bottom w:type="dxa" w:w="140"/>
                    <w:right w:type="dxa" w:w="180"/>
                  </w:tcMar>
                </w:tcPr>
                <w:p>
                  <w:pPr>
                    <w:spacing w:after="60"/>
                  </w:pPr>
                  <w:r>
                    <w:rPr>
                      <w:b/>
                      <w:bCs/>
                      <w:color w:val="94A3B8"/>
                      <w:spacing w:val="14"/>
                      <w:sz w:val="15"/>
                      <w:szCs w:val="15"/>
                    </w:rPr>
                    <w:t xml:space="preserve">SARAH'S ANSWER</w:t>
                  </w:r>
                </w:p>
                <w:p>
                  <w:pPr>
                    <w:spacing w:after="0" w:line="340"/>
                  </w:pPr>
                </w:p>
                <w:p>
                  <w:pPr>
                    <w:spacing w:after="0" w:line="340"/>
                  </w:pPr>
                </w:p>
                <w:p>
                  <w:pPr>
                    <w:spacing w:after="0" w:line="340"/>
                  </w:pPr>
                </w:p>
              </w:tc>
            </w:tr>
          </w:tbl>
          <w:p/>
        </w:tc>
      </w:tr>
    </w:tbl>
    <w:p>
      <w:pPr>
        <w:spacing w:after="160"/>
      </w:pPr>
    </w:p>
    <w:p>
      <w:pPr>
        <w:spacing w:after="300"/>
      </w:pPr>
    </w:p>
    <w:tbl>
      <w:tblPr>
        <w:tblW w:type="dxa" w:w="9360"/>
        <w:tblBorders>
          <w:top w:val="single" w:color="FDE68A" w:sz="4"/>
          <w:left w:val="single" w:color="F59E0B" w:sz="18"/>
          <w:bottom w:val="single" w:color="FDE68A" w:sz="4"/>
          <w:right w:val="single" w:color="FDE68A" w:sz="4"/>
          <w:insideH w:val="none"/>
          <w:insideV w:val="none"/>
        </w:tblBorders>
      </w:tblPr>
      <w:tblGrid>
        <w:gridCol w:w="9360"/>
      </w:tblGrid>
      <w:tr>
        <w:tc>
          <w:tcPr>
            <w:tcW w:type="dxa" w:w="9360"/>
            <w:shd w:fill="FFFBEB" w:val="clear"/>
            <w:tcMar>
              <w:top w:type="dxa" w:w="200"/>
              <w:left w:type="dxa" w:w="240"/>
              <w:bottom w:type="dxa" w:w="180"/>
              <w:right w:type="dxa" w:w="240"/>
            </w:tcMar>
          </w:tcPr>
          <w:p>
            <w:pPr>
              <w:spacing w:after="120"/>
            </w:pPr>
            <w:r>
              <w:rPr>
                <w:b/>
                <w:bCs/>
                <w:color w:val="92400E"/>
                <w:sz w:val="24"/>
                <w:szCs w:val="24"/>
              </w:rPr>
              <w:t xml:space="preserve">After the conversation</w:t>
            </w:r>
          </w:p>
          <w:p>
            <w:pPr>
              <w:spacing w:after="0" w:line="272"/>
            </w:pPr>
            <w:r>
              <w:rPr>
                <w:color w:val="78350F"/>
                <w:sz w:val="21"/>
                <w:szCs w:val="21"/>
              </w:rPr>
              <w:t xml:space="preserve">Anything still blank when the documents are finalized stays visibly marked as open in the document itself, rather than left empty — so the specialist never reads a gap as a settled rule. The two attorney items can be parked with a date without holding up the first day.</w:t>
            </w:r>
          </w:p>
        </w:tc>
      </w:tr>
    </w:tbl>
    <w:p>
      <w:pPr>
        <w:pBdr>
          <w:top w:val="single" w:color="E4E9F0" w:sz="4"/>
        </w:pBdr>
        <w:spacing w:after="0" w:before="500"/>
      </w:pPr>
      <w:r>
        <w:rPr>
          <w:color w:val="9CA3AF"/>
          <w:sz w:val="17"/>
          <w:szCs w:val="17"/>
        </w:rPr>
        <w:t xml:space="preserve">OptiMind Educational Strategies · Prepared by Gemini Lane Consulting &amp; Acquisitions · Working document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5d708b512aa781fb7a590d0da6b5dd2b71539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Day One — Decisions Worksheet | OptiMind Educational Strategies</dc:title>
  <dc:creator>Gemini Lane Consulting &amp; Acquisitions</dc:creator>
  <dc:description>The twenty-four decisions needed before the new specialist's first day, with space to record Sarah's answers.</dc:description>
  <cp:lastModifiedBy>Un-named</cp:lastModifiedBy>
  <cp:revision>1</cp:revision>
  <dcterms:created xsi:type="dcterms:W3CDTF">2026-08-31T13:24:35.180Z</dcterms:created>
  <dcterms:modified xsi:type="dcterms:W3CDTF">2026-08-31T13:24:35.181Z</dcterms:modified>
</cp:coreProperties>
</file>

<file path=docProps/custom.xml><?xml version="1.0" encoding="utf-8"?>
<Properties xmlns="http://schemas.openxmlformats.org/officeDocument/2006/custom-properties" xmlns:vt="http://schemas.openxmlformats.org/officeDocument/2006/docPropsVTypes"/>
</file>