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2286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914400"/>
                    </a:xfrm>
                    <a:prstGeom prst="rect">
                      <a:avLst/>
                    </a:prstGeom>
                  </pic:spPr>
                </pic:pic>
              </a:graphicData>
            </a:graphic>
          </wp:inline>
        </w:drawing>
      </w:r>
    </w:p>
    <w:p>
      <w:pPr>
        <w:spacing w:after="100"/>
      </w:pPr>
      <w:r>
        <w:rPr>
          <w:b/>
          <w:bCs/>
          <w:color w:val="9F1239"/>
          <w:spacing w:val="14"/>
          <w:sz w:val="16"/>
          <w:szCs w:val="16"/>
        </w:rPr>
        <w:t xml:space="preserve">FOR SARAH RITTER · DECISIONS REQUIRED</w:t>
      </w:r>
    </w:p>
    <w:p>
      <w:pPr>
        <w:pStyle w:val="Heading1"/>
        <w:spacing w:after="60"/>
        <w:outlineLvl w:val="0"/>
      </w:pPr>
      <w:r>
        <w:rPr>
          <w:b/>
          <w:bCs/>
          <w:color w:val="0F172A"/>
          <w:sz w:val="40"/>
          <w:szCs w:val="40"/>
        </w:rPr>
        <w:t xml:space="preserve">Offer Package — Open Decisions</w:t>
      </w:r>
    </w:p>
    <w:p>
      <w:pPr>
        <w:spacing w:after="100"/>
      </w:pPr>
      <w:r>
        <w:rPr>
          <w:i/>
          <w:iCs/>
          <w:color w:val="6B7280"/>
          <w:sz w:val="21"/>
          <w:szCs w:val="21"/>
        </w:rPr>
        <w:t xml:space="preserve">OptiMind Educational Strategies — prepared by Ruby Groves, Gemini Lane</w:t>
      </w:r>
    </w:p>
    <w:p>
      <w:pPr>
        <w:pBdr>
          <w:top w:val="single" w:color="E4E9F0" w:sz="4"/>
          <w:bottom w:val="single" w:color="E4E9F0" w:sz="4"/>
        </w:pBdr>
        <w:spacing w:after="300" w:before="120"/>
      </w:pPr>
      <w:r>
        <w:rPr>
          <w:b/>
          <w:bCs/>
          <w:color w:val="0F172A"/>
          <w:sz w:val="19"/>
          <w:szCs w:val="19"/>
        </w:rPr>
        <w:t xml:space="preserve">Covers</w:t>
      </w:r>
      <w:r>
        <w:rPr>
          <w:color w:val="9CA3AF"/>
          <w:sz w:val="19"/>
          <w:szCs w:val="19"/>
        </w:rPr>
        <w:t xml:space="preserve"> · Offer Letter, Employment Agreement, Confidentiality Agreement    </w:t>
      </w:r>
      <w:r>
        <w:rPr>
          <w:b/>
          <w:bCs/>
          <w:color w:val="0F172A"/>
          <w:sz w:val="19"/>
          <w:szCs w:val="19"/>
        </w:rPr>
        <w:t xml:space="preserve">Needed by</w:t>
      </w:r>
      <w:r>
        <w:rPr>
          <w:color w:val="9CA3AF"/>
          <w:sz w:val="19"/>
          <w:szCs w:val="19"/>
        </w:rPr>
        <w:t xml:space="preserve"> · Sep 4, 2026    </w:t>
      </w:r>
      <w:r>
        <w:rPr>
          <w:b/>
          <w:bCs/>
          <w:color w:val="0F172A"/>
          <w:sz w:val="19"/>
          <w:szCs w:val="19"/>
        </w:rPr>
        <w:t xml:space="preserve">Prepared</w:t>
      </w:r>
      <w:r>
        <w:rPr>
          <w:color w:val="9CA3AF"/>
          <w:sz w:val="19"/>
          <w:szCs w:val="19"/>
        </w:rPr>
        <w:t xml:space="preserve"> · Aug 31, 2026</w:t>
      </w:r>
    </w:p>
    <w:p>
      <w:pPr>
        <w:pStyle w:val="Heading2"/>
        <w:pBdr>
          <w:bottom w:val="single" w:color="E4E9F0" w:sz="6"/>
        </w:pBdr>
        <w:spacing w:after="160" w:before="400"/>
        <w:outlineLvl w:val="1"/>
      </w:pPr>
      <w:r>
        <w:rPr>
          <w:b/>
          <w:bCs/>
          <w:color w:val="0F172A"/>
          <w:sz w:val="26"/>
          <w:szCs w:val="26"/>
        </w:rPr>
        <w:t xml:space="preserve">What This Is</w:t>
      </w:r>
    </w:p>
    <w:p>
      <w:pPr>
        <w:spacing w:after="140" w:line="276"/>
      </w:pPr>
      <w:r>
        <w:rPr>
          <w:color w:val="374151"/>
          <w:sz w:val="21"/>
          <w:szCs w:val="21"/>
        </w:rPr>
        <w:t xml:space="preserve">Fourteen questions the three hiring documents cannot be finished without. Each one is currently sitting in the drafts as a bracketed placeholder — the Offer Letter, Employment Agreement and Confidentiality Agreement carry twenty-seven of them between them, and none of the three can go to a candidate until they are filled with real terms.</w:t>
      </w:r>
    </w:p>
    <w:p>
      <w:pPr>
        <w:spacing w:after="140" w:line="276"/>
      </w:pPr>
      <w:r>
        <w:rPr>
          <w:color w:val="374151"/>
          <w:sz w:val="21"/>
          <w:szCs w:val="21"/>
        </w:rPr>
        <w:t xml:space="preserve">These are your decisions, not ours. What follows is the question, where it appears, and what turns on the answer — so the drafting can be finished once you have decided, and so your attorney conversation covers everything it needs to in one pass rather than several.</w:t>
      </w:r>
    </w:p>
    <w:p>
      <w:pPr>
        <w:spacing w:after="140" w:line="276"/>
      </w:pPr>
      <w:r>
        <w:rPr>
          <w:color w:val="374151"/>
          <w:sz w:val="21"/>
          <w:szCs w:val="21"/>
        </w:rPr>
        <w:t xml:space="preserve">The sections map to how the decisions actually get made: the business terms you set yourself, the terms you choose but should confirm with counsel, the one clause that is your attorney's call outright, and two decisions that reach beyond the hiring documents into how client data is handled.</w:t>
      </w:r>
    </w:p>
    <w:p>
      <w:pPr>
        <w:spacing w:after="200"/>
      </w:pPr>
    </w:p>
    <w:tbl>
      <w:tblPr>
        <w:tblW w:type="dxa" w:w="9360"/>
        <w:tblBorders>
          <w:top w:val="single" w:color="FECDD3" w:sz="4"/>
          <w:left w:val="single" w:color="BE123C" w:sz="18"/>
          <w:bottom w:val="single" w:color="FECDD3" w:sz="4"/>
          <w:right w:val="single" w:color="FECDD3" w:sz="4"/>
          <w:insideH w:val="none"/>
          <w:insideV w:val="none"/>
        </w:tblBorders>
      </w:tblPr>
      <w:tblGrid>
        <w:gridCol w:w="9360"/>
      </w:tblGrid>
      <w:tr>
        <w:tc>
          <w:tcPr>
            <w:tcW w:type="dxa" w:w="9360"/>
            <w:shd w:fill="FFF1F2" w:val="clear"/>
            <w:tcMar>
              <w:top w:type="dxa" w:w="200"/>
              <w:left w:type="dxa" w:w="240"/>
              <w:bottom w:type="dxa" w:w="180"/>
              <w:right w:type="dxa" w:w="240"/>
            </w:tcMar>
          </w:tcPr>
          <w:p>
            <w:pPr>
              <w:spacing w:after="120"/>
            </w:pPr>
            <w:r>
              <w:rPr>
                <w:b/>
                <w:bCs/>
                <w:color w:val="9F1239"/>
                <w:sz w:val="24"/>
                <w:szCs w:val="24"/>
              </w:rPr>
              <w:t xml:space="preserve">The offer is dated Sep 4</w:t>
            </w:r>
          </w:p>
          <w:p>
            <w:pPr>
              <w:spacing w:after="110" w:line="272"/>
            </w:pPr>
            <w:r>
              <w:rPr>
                <w:color w:val="78350F"/>
                <w:sz w:val="21"/>
                <w:szCs w:val="21"/>
              </w:rPr>
              <w:t xml:space="preserve">Questions 1 through 7 are what stands between you and a sendable offer. They need no legal input — they are your terms. Questions 8 through 11 can be decided now and confirmed with your attorney before signature. Question 12 should not go out at all in its current state; questions 13 and 14 are needed before the specialist's first day, since the Confidentiality Agreement is signed before then.</w:t>
            </w:r>
          </w:p>
        </w:tc>
      </w:tr>
    </w:tbl>
    <w:p>
      <w:pPr>
        <w:pStyle w:val="Heading2"/>
        <w:pBdr>
          <w:bottom w:val="single" w:color="E4E9F0" w:sz="6"/>
        </w:pBdr>
        <w:spacing w:after="40" w:before="400"/>
        <w:outlineLvl w:val="1"/>
      </w:pPr>
      <w:r>
        <w:rPr>
          <w:b/>
          <w:bCs/>
          <w:color w:val="0F172A"/>
          <w:sz w:val="26"/>
          <w:szCs w:val="26"/>
        </w:rPr>
        <w:t xml:space="preserve">Part 1 · Business terms — your decisions</w:t>
      </w:r>
    </w:p>
    <w:p>
      <w:pPr>
        <w:spacing w:after="180" w:before="100" w:line="270"/>
      </w:pPr>
      <w:r>
        <w:rPr>
          <w:i/>
          <w:iCs/>
          <w:color w:val="6B7280"/>
          <w:sz w:val="20"/>
          <w:szCs w:val="20"/>
        </w:rPr>
        <w:t xml:space="preserve">No legal input needed. These seven answers fill most of the placeholders in the Offer Letter and the Employment Agreement.</w:t>
      </w:r>
    </w:p>
    <w:p>
      <w:pPr>
        <w:keepNext/>
        <w:spacing w:after="60" w:before="240" w:line="276"/>
      </w:pPr>
      <w:r>
        <w:rPr>
          <w:b/>
          <w:bCs/>
          <w:color w:val="1D4ED8"/>
          <w:sz w:val="21"/>
          <w:szCs w:val="21"/>
        </w:rPr>
        <w:t xml:space="preserve">01   </w:t>
      </w:r>
      <w:r>
        <w:rPr>
          <w:b/>
          <w:bCs/>
          <w:color w:val="0F172A"/>
          <w:sz w:val="22"/>
          <w:szCs w:val="22"/>
        </w:rPr>
        <w:t xml:space="preserve">Who is the candidate?</w:t>
      </w:r>
    </w:p>
    <w:p>
      <w:pPr>
        <w:keepNext/>
        <w:spacing w:after="90"/>
        <w:ind w:left="340"/>
      </w:pPr>
      <w:r>
        <w:rPr>
          <w:color w:val="9CA3AF"/>
          <w:spacing w:val="6"/>
          <w:sz w:val="18"/>
          <w:szCs w:val="18"/>
        </w:rPr>
        <w:t xml:space="preserve">OFFER LETTER  ·  EMPLOYMENT AGREEMENT  ·  CONFIDENTIALITY AGREEMENT</w:t>
      </w:r>
    </w:p>
    <w:p>
      <w:pPr>
        <w:spacing w:after="200" w:line="276"/>
        <w:ind w:left="340"/>
      </w:pPr>
      <w:r>
        <w:rPr>
          <w:color w:val="374151"/>
          <w:sz w:val="21"/>
          <w:szCs w:val="21"/>
        </w:rPr>
        <w:t xml:space="preserve">The name appears in the Offer Letter summary table, the salutation, and as a defined party in both agreements. Everything else in this list assumes one named person.</w:t>
      </w:r>
    </w:p>
    <w:p>
      <w:pPr>
        <w:keepNext/>
        <w:spacing w:after="60" w:before="240" w:line="276"/>
      </w:pPr>
      <w:r>
        <w:rPr>
          <w:b/>
          <w:bCs/>
          <w:color w:val="1D4ED8"/>
          <w:sz w:val="21"/>
          <w:szCs w:val="21"/>
        </w:rPr>
        <w:t xml:space="preserve">02   </w:t>
      </w:r>
      <w:r>
        <w:rPr>
          <w:b/>
          <w:bCs/>
          <w:color w:val="0F172A"/>
          <w:sz w:val="22"/>
          <w:szCs w:val="22"/>
        </w:rPr>
        <w:t xml:space="preserve">Compensation: hourly or salaried, and how much?</w:t>
      </w:r>
    </w:p>
    <w:p>
      <w:pPr>
        <w:keepNext/>
        <w:spacing w:after="90"/>
        <w:ind w:left="340"/>
      </w:pPr>
      <w:r>
        <w:rPr>
          <w:color w:val="9CA3AF"/>
          <w:spacing w:val="6"/>
          <w:sz w:val="18"/>
          <w:szCs w:val="18"/>
        </w:rPr>
        <w:t xml:space="preserve">OFFER LETTER  ·  EMPLOYMENT AGREEMENT §3</w:t>
      </w:r>
    </w:p>
    <w:p>
      <w:pPr>
        <w:spacing w:after="200" w:line="276"/>
        <w:ind w:left="340"/>
      </w:pPr>
      <w:r>
        <w:rPr>
          <w:color w:val="374151"/>
          <w:sz w:val="21"/>
          <w:szCs w:val="21"/>
        </w:rPr>
        <w:t xml:space="preserve">This is the single largest gap. It appears in three separate places across two documents, so one answer closes all three. It also has a bearing on question 12 — the enforceability of a non-compete depends in part on what the employee is being paid.</w:t>
      </w:r>
    </w:p>
    <w:p>
      <w:pPr>
        <w:keepNext/>
        <w:spacing w:after="60" w:before="240" w:line="276"/>
      </w:pPr>
      <w:r>
        <w:rPr>
          <w:b/>
          <w:bCs/>
          <w:color w:val="1D4ED8"/>
          <w:sz w:val="21"/>
          <w:szCs w:val="21"/>
        </w:rPr>
        <w:t xml:space="preserve">03   </w:t>
      </w:r>
      <w:r>
        <w:rPr>
          <w:b/>
          <w:bCs/>
          <w:color w:val="0F172A"/>
          <w:sz w:val="22"/>
          <w:szCs w:val="22"/>
        </w:rPr>
        <w:t xml:space="preserve">How often is she paid — weekly, biweekly, semi-monthly?</w:t>
      </w:r>
    </w:p>
    <w:p>
      <w:pPr>
        <w:keepNext/>
        <w:spacing w:after="90"/>
        <w:ind w:left="340"/>
      </w:pPr>
      <w:r>
        <w:rPr>
          <w:color w:val="9CA3AF"/>
          <w:spacing w:val="6"/>
          <w:sz w:val="18"/>
          <w:szCs w:val="18"/>
        </w:rPr>
        <w:t xml:space="preserve">EMPLOYMENT AGREEMENT §3</w:t>
      </w:r>
    </w:p>
    <w:p>
      <w:pPr>
        <w:spacing w:after="200" w:line="276"/>
        <w:ind w:left="340"/>
      </w:pPr>
      <w:r>
        <w:rPr>
          <w:color w:val="374151"/>
          <w:sz w:val="21"/>
          <w:szCs w:val="21"/>
        </w:rPr>
        <w:t xml:space="preserve">Needs to match whatever your payroll provider is actually set up to run, so this is worth confirming with your CPA at the same time as the unemployment insurance and workers' comp registration.</w:t>
      </w:r>
    </w:p>
    <w:p>
      <w:pPr>
        <w:keepNext/>
        <w:spacing w:after="60" w:before="240" w:line="276"/>
      </w:pPr>
      <w:r>
        <w:rPr>
          <w:b/>
          <w:bCs/>
          <w:color w:val="1D4ED8"/>
          <w:sz w:val="21"/>
          <w:szCs w:val="21"/>
        </w:rPr>
        <w:t xml:space="preserve">04   </w:t>
      </w:r>
      <w:r>
        <w:rPr>
          <w:b/>
          <w:bCs/>
          <w:color w:val="0F172A"/>
          <w:sz w:val="22"/>
          <w:szCs w:val="22"/>
        </w:rPr>
        <w:t xml:space="preserve">What is the expected schedule — which days, which hours?</w:t>
      </w:r>
    </w:p>
    <w:p>
      <w:pPr>
        <w:keepNext/>
        <w:spacing w:after="90"/>
        <w:ind w:left="340"/>
      </w:pPr>
      <w:r>
        <w:rPr>
          <w:color w:val="9CA3AF"/>
          <w:spacing w:val="6"/>
          <w:sz w:val="18"/>
          <w:szCs w:val="18"/>
        </w:rPr>
        <w:t xml:space="preserve">OFFER LETTER  ·  EMPLOYMENT AGREEMENT §3  ·  ROLE DEFINITION</w:t>
      </w:r>
    </w:p>
    <w:p>
      <w:pPr>
        <w:spacing w:after="200" w:line="276"/>
        <w:ind w:left="340"/>
      </w:pPr>
      <w:r>
        <w:rPr>
          <w:color w:val="374151"/>
          <w:sz w:val="21"/>
          <w:szCs w:val="21"/>
        </w:rPr>
        <w:t xml:space="preserve">The Role Definition already states 9am–7pm ET Monday to Thursday and 9am–4pm ET Friday. If that is the contracted schedule, it can go straight into both documents. If it is not, the Role Definition needs changing too — otherwise the specialist reads two documents that disagree on her hours in her first week.</w:t>
      </w:r>
    </w:p>
    <w:p>
      <w:pPr>
        <w:keepNext/>
        <w:spacing w:after="60" w:before="240" w:line="276"/>
      </w:pPr>
      <w:r>
        <w:rPr>
          <w:b/>
          <w:bCs/>
          <w:color w:val="1D4ED8"/>
          <w:sz w:val="21"/>
          <w:szCs w:val="21"/>
        </w:rPr>
        <w:t xml:space="preserve">05   </w:t>
      </w:r>
      <w:r>
        <w:rPr>
          <w:b/>
          <w:bCs/>
          <w:color w:val="0F172A"/>
          <w:sz w:val="22"/>
          <w:szCs w:val="22"/>
        </w:rPr>
        <w:t xml:space="preserve">What is the start date?</w:t>
      </w:r>
    </w:p>
    <w:p>
      <w:pPr>
        <w:keepNext/>
        <w:spacing w:after="90"/>
        <w:ind w:left="340"/>
      </w:pPr>
      <w:r>
        <w:rPr>
          <w:color w:val="9CA3AF"/>
          <w:spacing w:val="6"/>
          <w:sz w:val="18"/>
          <w:szCs w:val="18"/>
        </w:rPr>
        <w:t xml:space="preserve">OFFER LETTER  ·  EMPLOYMENT AGREEMENT  ·  CONFIDENTIALITY AGREEMENT</w:t>
      </w:r>
    </w:p>
    <w:p>
      <w:pPr>
        <w:spacing w:after="200" w:line="276"/>
        <w:ind w:left="340"/>
      </w:pPr>
      <w:r>
        <w:rPr>
          <w:color w:val="374151"/>
          <w:sz w:val="21"/>
          <w:szCs w:val="21"/>
        </w:rPr>
        <w:t xml:space="preserve">It is the effective date on both agreements and the anchor for the caseload ramp. The current plan assumes onboarding the week of Sep 8, with the ~30 billable hours per week target reached by week eight.</w:t>
      </w:r>
    </w:p>
    <w:p>
      <w:pPr>
        <w:keepNext/>
        <w:spacing w:after="60" w:before="240" w:line="276"/>
      </w:pPr>
      <w:r>
        <w:rPr>
          <w:b/>
          <w:bCs/>
          <w:color w:val="1D4ED8"/>
          <w:sz w:val="21"/>
          <w:szCs w:val="21"/>
        </w:rPr>
        <w:t xml:space="preserve">06   </w:t>
      </w:r>
      <w:r>
        <w:rPr>
          <w:b/>
          <w:bCs/>
          <w:color w:val="0F172A"/>
          <w:sz w:val="22"/>
          <w:szCs w:val="22"/>
        </w:rPr>
        <w:t xml:space="preserve">By when must she sign and return the offer?</w:t>
      </w:r>
    </w:p>
    <w:p>
      <w:pPr>
        <w:keepNext/>
        <w:spacing w:after="90"/>
        <w:ind w:left="340"/>
      </w:pPr>
      <w:r>
        <w:rPr>
          <w:color w:val="9CA3AF"/>
          <w:spacing w:val="6"/>
          <w:sz w:val="18"/>
          <w:szCs w:val="18"/>
        </w:rPr>
        <w:t xml:space="preserve">OFFER LETTER</w:t>
      </w:r>
    </w:p>
    <w:p>
      <w:pPr>
        <w:spacing w:after="200" w:line="276"/>
        <w:ind w:left="340"/>
      </w:pPr>
      <w:r>
        <w:rPr>
          <w:color w:val="374151"/>
          <w:sz w:val="21"/>
          <w:szCs w:val="21"/>
        </w:rPr>
        <w:t xml:space="preserve">A stated deadline is what makes an offer an offer rather than an open invitation. It also sets the date by which the pre-day-one provisioning — email, Calendly, Zoom, calendar sync — has to be underway.</w:t>
      </w:r>
    </w:p>
    <w:p>
      <w:pPr>
        <w:keepNext/>
        <w:spacing w:after="60" w:before="240" w:line="276"/>
      </w:pPr>
      <w:r>
        <w:rPr>
          <w:b/>
          <w:bCs/>
          <w:color w:val="1D4ED8"/>
          <w:sz w:val="21"/>
          <w:szCs w:val="21"/>
        </w:rPr>
        <w:t xml:space="preserve">07   </w:t>
      </w:r>
      <w:r>
        <w:rPr>
          <w:b/>
          <w:bCs/>
          <w:color w:val="0F172A"/>
          <w:sz w:val="22"/>
          <w:szCs w:val="22"/>
        </w:rPr>
        <w:t xml:space="preserve">Is the job title “Executive Function (EF) Specialist”?</w:t>
      </w:r>
    </w:p>
    <w:p>
      <w:pPr>
        <w:keepNext/>
        <w:spacing w:after="90"/>
        <w:ind w:left="340"/>
      </w:pPr>
      <w:r>
        <w:rPr>
          <w:color w:val="9CA3AF"/>
          <w:spacing w:val="6"/>
          <w:sz w:val="18"/>
          <w:szCs w:val="18"/>
        </w:rPr>
        <w:t xml:space="preserve">OFFER LETTER  ·  ROLE DEFINITION  ·  EMPLOYEE HANDBOOK</w:t>
      </w:r>
    </w:p>
    <w:p>
      <w:pPr>
        <w:spacing w:after="200" w:line="276"/>
        <w:ind w:left="340"/>
      </w:pPr>
      <w:r>
        <w:rPr>
          <w:color w:val="374151"/>
          <w:sz w:val="21"/>
          <w:szCs w:val="21"/>
        </w:rPr>
        <w:t xml:space="preserve">This is the working title throughout the document set, but it is marked unconfirmed in the Offer Letter. Whatever it is, it should read the same on the offer, the website bio and the email signature.</w:t>
      </w:r>
    </w:p>
    <w:p>
      <w:pPr>
        <w:pStyle w:val="Heading2"/>
        <w:pBdr>
          <w:bottom w:val="single" w:color="E4E9F0" w:sz="6"/>
        </w:pBdr>
        <w:spacing w:after="40" w:before="400"/>
        <w:outlineLvl w:val="1"/>
      </w:pPr>
      <w:r>
        <w:rPr>
          <w:b/>
          <w:bCs/>
          <w:color w:val="0F172A"/>
          <w:sz w:val="26"/>
          <w:szCs w:val="26"/>
        </w:rPr>
        <w:t xml:space="preserve">Part 2 · Terms to decide, then confirm with your attorney</w:t>
      </w:r>
    </w:p>
    <w:p>
      <w:pPr>
        <w:spacing w:after="180" w:before="100" w:line="270"/>
      </w:pPr>
      <w:r>
        <w:rPr>
          <w:i/>
          <w:iCs/>
          <w:color w:val="6B7280"/>
          <w:sz w:val="20"/>
          <w:szCs w:val="20"/>
        </w:rPr>
        <w:t xml:space="preserve">You choose these; counsel should look at the wording before signature. They are worth deciding first so the attorney conversation is a review rather than a blank page.</w:t>
      </w:r>
    </w:p>
    <w:p>
      <w:pPr>
        <w:keepNext/>
        <w:spacing w:after="60" w:before="240" w:line="276"/>
      </w:pPr>
      <w:r>
        <w:rPr>
          <w:b/>
          <w:bCs/>
          <w:color w:val="1D4ED8"/>
          <w:sz w:val="21"/>
          <w:szCs w:val="21"/>
        </w:rPr>
        <w:t xml:space="preserve">08   </w:t>
      </w:r>
      <w:r>
        <w:rPr>
          <w:b/>
          <w:bCs/>
          <w:color w:val="0F172A"/>
          <w:sz w:val="22"/>
          <w:szCs w:val="22"/>
        </w:rPr>
        <w:t xml:space="preserve">How long should the non-solicitation period run after employment ends?</w:t>
      </w:r>
    </w:p>
    <w:p>
      <w:pPr>
        <w:keepNext/>
        <w:spacing w:after="90"/>
        <w:ind w:left="340"/>
      </w:pPr>
      <w:r>
        <w:rPr>
          <w:color w:val="9CA3AF"/>
          <w:spacing w:val="6"/>
          <w:sz w:val="18"/>
          <w:szCs w:val="18"/>
        </w:rPr>
        <w:t xml:space="preserve">EMPLOYMENT AGREEMENT §5</w:t>
      </w:r>
    </w:p>
    <w:p>
      <w:pPr>
        <w:spacing w:after="200" w:line="276"/>
        <w:ind w:left="340"/>
      </w:pPr>
      <w:r>
        <w:rPr>
          <w:color w:val="374151"/>
          <w:sz w:val="21"/>
          <w:szCs w:val="21"/>
        </w:rPr>
        <w:t xml:space="preserve">The draft uses twelve months as a placeholder. The clause covers OptiMind clients, client families and referral sources the specialist had material contact with. Given that ninety percent of closed business currently comes through referral relationships, this clause is doing more protective work for you than the non-compete is.</w:t>
      </w:r>
    </w:p>
    <w:p>
      <w:pPr>
        <w:keepNext/>
        <w:spacing w:after="60" w:before="240" w:line="276"/>
      </w:pPr>
      <w:r>
        <w:rPr>
          <w:b/>
          <w:bCs/>
          <w:color w:val="1D4ED8"/>
          <w:sz w:val="21"/>
          <w:szCs w:val="21"/>
        </w:rPr>
        <w:t xml:space="preserve">09   </w:t>
      </w:r>
      <w:r>
        <w:rPr>
          <w:b/>
          <w:bCs/>
          <w:color w:val="0F172A"/>
          <w:sz w:val="22"/>
          <w:szCs w:val="22"/>
        </w:rPr>
        <w:t xml:space="preserve">What notice period applies to termination, if any?</w:t>
      </w:r>
    </w:p>
    <w:p>
      <w:pPr>
        <w:keepNext/>
        <w:spacing w:after="90"/>
        <w:ind w:left="340"/>
      </w:pPr>
      <w:r>
        <w:rPr>
          <w:color w:val="9CA3AF"/>
          <w:spacing w:val="6"/>
          <w:sz w:val="18"/>
          <w:szCs w:val="18"/>
        </w:rPr>
        <w:t xml:space="preserve">EMPLOYMENT AGREEMENT §9</w:t>
      </w:r>
    </w:p>
    <w:p>
      <w:pPr>
        <w:spacing w:after="200" w:line="276"/>
        <w:ind w:left="340"/>
      </w:pPr>
      <w:r>
        <w:rPr>
          <w:color w:val="374151"/>
          <w:sz w:val="21"/>
          <w:szCs w:val="21"/>
        </w:rPr>
        <w:t xml:space="preserve">Either party can terminate; the draft leaves the notice blank. Worth thinking about in terms of client continuity — a specialist leaving with no notice means an unplanned caseload handover back to you.</w:t>
      </w:r>
    </w:p>
    <w:p>
      <w:pPr>
        <w:keepNext/>
        <w:spacing w:after="60" w:before="240" w:line="276"/>
      </w:pPr>
      <w:r>
        <w:rPr>
          <w:b/>
          <w:bCs/>
          <w:color w:val="1D4ED8"/>
          <w:sz w:val="21"/>
          <w:szCs w:val="21"/>
        </w:rPr>
        <w:t xml:space="preserve">10   </w:t>
      </w:r>
      <w:r>
        <w:rPr>
          <w:b/>
          <w:bCs/>
          <w:color w:val="0F172A"/>
          <w:sz w:val="22"/>
          <w:szCs w:val="22"/>
        </w:rPr>
        <w:t xml:space="preserve">Should disputes go to arbitration, or through the courts?</w:t>
      </w:r>
    </w:p>
    <w:p>
      <w:pPr>
        <w:keepNext/>
        <w:spacing w:after="90"/>
        <w:ind w:left="340"/>
      </w:pPr>
      <w:r>
        <w:rPr>
          <w:color w:val="9CA3AF"/>
          <w:spacing w:val="6"/>
          <w:sz w:val="18"/>
          <w:szCs w:val="18"/>
        </w:rPr>
        <w:t xml:space="preserve">EMPLOYMENT AGREEMENT §10</w:t>
      </w:r>
    </w:p>
    <w:p>
      <w:pPr>
        <w:spacing w:after="200" w:line="276"/>
        <w:ind w:left="340"/>
      </w:pPr>
      <w:r>
        <w:rPr>
          <w:color w:val="374151"/>
          <w:sz w:val="21"/>
          <w:szCs w:val="21"/>
        </w:rPr>
        <w:t xml:space="preserve">The agreement is governed by Maryland law but leaves the mechanism open. This is a genuine trade-off rather than a formality, and it is a reasonable thing to put to your attorney directly.</w:t>
      </w:r>
    </w:p>
    <w:p>
      <w:pPr>
        <w:keepNext/>
        <w:spacing w:after="60" w:before="240" w:line="276"/>
      </w:pPr>
      <w:r>
        <w:rPr>
          <w:b/>
          <w:bCs/>
          <w:color w:val="1D4ED8"/>
          <w:sz w:val="21"/>
          <w:szCs w:val="21"/>
        </w:rPr>
        <w:t xml:space="preserve">11   </w:t>
      </w:r>
      <w:r>
        <w:rPr>
          <w:b/>
          <w:bCs/>
          <w:color w:val="0F172A"/>
          <w:sz w:val="22"/>
          <w:szCs w:val="22"/>
        </w:rPr>
        <w:t xml:space="preserve">Should post-employment confidentiality run indefinitely, or for a stated number of years?</w:t>
      </w:r>
    </w:p>
    <w:p>
      <w:pPr>
        <w:keepNext/>
        <w:spacing w:after="90"/>
        <w:ind w:left="340"/>
      </w:pPr>
      <w:r>
        <w:rPr>
          <w:color w:val="9CA3AF"/>
          <w:spacing w:val="6"/>
          <w:sz w:val="18"/>
          <w:szCs w:val="18"/>
        </w:rPr>
        <w:t xml:space="preserve">CONFIDENTIALITY &amp; DATA-HANDLING AGREEMENT §4</w:t>
      </w:r>
    </w:p>
    <w:p>
      <w:pPr>
        <w:spacing w:after="200" w:line="276"/>
        <w:ind w:left="340"/>
      </w:pPr>
      <w:r>
        <w:rPr>
          <w:color w:val="374151"/>
          <w:sz w:val="21"/>
          <w:szCs w:val="21"/>
        </w:rPr>
        <w:t xml:space="preserve">The obligations continue after employment ends; the draft does not say for how long. Given the neuropsychological reports, IEP and 504 documents and health information the role touches, this is not boilerplate — it is worth a deliberate answer.</w:t>
      </w:r>
    </w:p>
    <w:p>
      <w:pPr>
        <w:pStyle w:val="Heading2"/>
        <w:pBdr>
          <w:bottom w:val="single" w:color="E4E9F0" w:sz="6"/>
        </w:pBdr>
        <w:spacing w:after="40" w:before="400"/>
        <w:outlineLvl w:val="1"/>
      </w:pPr>
      <w:r>
        <w:rPr>
          <w:b/>
          <w:bCs/>
          <w:color w:val="0F172A"/>
          <w:sz w:val="26"/>
          <w:szCs w:val="26"/>
        </w:rPr>
        <w:t xml:space="preserve">Part 3 · For your attorney</w:t>
      </w:r>
    </w:p>
    <w:p>
      <w:pPr>
        <w:spacing w:after="180" w:before="100" w:line="270"/>
      </w:pPr>
      <w:r>
        <w:rPr>
          <w:i/>
          <w:iCs/>
          <w:color w:val="6B7280"/>
          <w:sz w:val="20"/>
          <w:szCs w:val="20"/>
        </w:rPr>
        <w:t xml:space="preserve">One clause that should not go out in its current form.</w:t>
      </w:r>
    </w:p>
    <w:p>
      <w:pPr>
        <w:keepNext/>
        <w:spacing w:after="60" w:before="240" w:line="276"/>
      </w:pPr>
      <w:r>
        <w:rPr>
          <w:b/>
          <w:bCs/>
          <w:color w:val="1D4ED8"/>
          <w:sz w:val="21"/>
          <w:szCs w:val="21"/>
        </w:rPr>
        <w:t xml:space="preserve">12   </w:t>
      </w:r>
      <w:r>
        <w:rPr>
          <w:b/>
          <w:bCs/>
          <w:color w:val="0F172A"/>
          <w:sz w:val="22"/>
          <w:szCs w:val="22"/>
        </w:rPr>
        <w:t xml:space="preserve">Should the employment agreement contain a non-compete at all?</w:t>
      </w:r>
    </w:p>
    <w:p>
      <w:pPr>
        <w:keepNext/>
        <w:spacing w:after="90"/>
        <w:ind w:left="340"/>
      </w:pPr>
      <w:r>
        <w:rPr>
          <w:color w:val="9CA3AF"/>
          <w:spacing w:val="6"/>
          <w:sz w:val="18"/>
          <w:szCs w:val="18"/>
        </w:rPr>
        <w:t xml:space="preserve">EMPLOYMENT AGREEMENT §6</w:t>
      </w:r>
    </w:p>
    <w:p>
      <w:pPr>
        <w:spacing w:after="200" w:line="276"/>
        <w:ind w:left="340"/>
      </w:pPr>
      <w:r>
        <w:rPr>
          <w:color w:val="374151"/>
          <w:sz w:val="21"/>
          <w:szCs w:val="21"/>
        </w:rPr>
        <w:t xml:space="preserve">Section 6 is a placeholder that says, in the draft itself, not to rely on it as written. Duration, geographic scope and the substantive restriction are all blank. Two questions for counsel: whether a non-compete is enforceable at all against an employee at this compensation level under Maryland law, and whether it is worth including given that the non-solicitation clause in question 8 may already do the protective work. If the answer does not arrive before Sep 4, the clause should be removed from the version that goes to the candidate rather than sent as it stands.</w:t>
      </w:r>
    </w:p>
    <w:p>
      <w:pPr>
        <w:pStyle w:val="Heading2"/>
        <w:pBdr>
          <w:bottom w:val="single" w:color="E4E9F0" w:sz="6"/>
        </w:pBdr>
        <w:spacing w:after="40" w:before="400"/>
        <w:outlineLvl w:val="1"/>
      </w:pPr>
      <w:r>
        <w:rPr>
          <w:b/>
          <w:bCs/>
          <w:color w:val="0F172A"/>
          <w:sz w:val="26"/>
          <w:szCs w:val="26"/>
        </w:rPr>
        <w:t xml:space="preserve">Part 4 · Two decisions that reach beyond the hiring documents</w:t>
      </w:r>
    </w:p>
    <w:p>
      <w:pPr>
        <w:spacing w:after="180" w:before="100" w:line="270"/>
      </w:pPr>
      <w:r>
        <w:rPr>
          <w:i/>
          <w:iCs/>
          <w:color w:val="6B7280"/>
          <w:sz w:val="20"/>
          <w:szCs w:val="20"/>
        </w:rPr>
        <w:t xml:space="preserve">Both are signed before day one, and both settle the same question in more than one place.</w:t>
      </w:r>
    </w:p>
    <w:p>
      <w:pPr>
        <w:keepNext/>
        <w:spacing w:after="60" w:before="240" w:line="276"/>
      </w:pPr>
      <w:r>
        <w:rPr>
          <w:b/>
          <w:bCs/>
          <w:color w:val="1D4ED8"/>
          <w:sz w:val="21"/>
          <w:szCs w:val="21"/>
        </w:rPr>
        <w:t xml:space="preserve">13   </w:t>
      </w:r>
      <w:r>
        <w:rPr>
          <w:b/>
          <w:bCs/>
          <w:color w:val="0F172A"/>
          <w:sz w:val="22"/>
          <w:szCs w:val="22"/>
        </w:rPr>
        <w:t xml:space="preserve">Which systems count as “OptiMind-approved” for storing client information?</w:t>
      </w:r>
    </w:p>
    <w:p>
      <w:pPr>
        <w:keepNext/>
        <w:spacing w:after="90"/>
        <w:ind w:left="340"/>
      </w:pPr>
      <w:r>
        <w:rPr>
          <w:color w:val="9CA3AF"/>
          <w:spacing w:val="6"/>
          <w:sz w:val="18"/>
          <w:szCs w:val="18"/>
        </w:rPr>
        <w:t xml:space="preserve">CONFIDENTIALITY AGREEMENT §3  ·  DATA-HANDLING POLICY §2</w:t>
      </w:r>
    </w:p>
    <w:p>
      <w:pPr>
        <w:spacing w:after="200" w:line="276"/>
        <w:ind w:left="340"/>
      </w:pPr>
      <w:r>
        <w:rPr>
          <w:color w:val="374151"/>
          <w:sz w:val="21"/>
          <w:szCs w:val="21"/>
        </w:rPr>
        <w:t xml:space="preserve">The agreement obliges the employee to store client information only in approved systems, then does not name them. Because the practice-management platform decision does not land until later in the autumn, the answer for now has to describe what is actually in use today — the specific folders — rather than point forward to a system that does not exist yet.</w:t>
      </w:r>
    </w:p>
    <w:p>
      <w:pPr>
        <w:keepNext/>
        <w:spacing w:after="60" w:before="240" w:line="276"/>
      </w:pPr>
      <w:r>
        <w:rPr>
          <w:b/>
          <w:bCs/>
          <w:color w:val="1D4ED8"/>
          <w:sz w:val="21"/>
          <w:szCs w:val="21"/>
        </w:rPr>
        <w:t xml:space="preserve">14   </w:t>
      </w:r>
      <w:r>
        <w:rPr>
          <w:b/>
          <w:bCs/>
          <w:color w:val="0F172A"/>
          <w:sz w:val="22"/>
          <w:szCs w:val="22"/>
        </w:rPr>
        <w:t xml:space="preserve">Personal devices, or company-issued only, for client-related work?</w:t>
      </w:r>
    </w:p>
    <w:p>
      <w:pPr>
        <w:keepNext/>
        <w:spacing w:after="90"/>
        <w:ind w:left="340"/>
      </w:pPr>
      <w:r>
        <w:rPr>
          <w:color w:val="9CA3AF"/>
          <w:spacing w:val="6"/>
          <w:sz w:val="18"/>
          <w:szCs w:val="18"/>
        </w:rPr>
        <w:t xml:space="preserve">CONFIDENTIALITY AGREEMENT §3  ·  EMPLOYEE HANDBOOK §11  ·  DATA-HANDLING POLICY</w:t>
      </w:r>
    </w:p>
    <w:p>
      <w:pPr>
        <w:spacing w:after="200" w:line="276"/>
        <w:ind w:left="340"/>
      </w:pPr>
      <w:r>
        <w:rPr>
          <w:color w:val="374151"/>
          <w:sz w:val="21"/>
          <w:szCs w:val="21"/>
        </w:rPr>
        <w:t xml:space="preserve">A single yes or no that closes the same open item in three documents. It is on this list rather than a later one because the Confidentiality Agreement is signed before the first day.</w:t>
      </w:r>
    </w:p>
    <w:p>
      <w:pPr>
        <w:spacing w:after="360"/>
      </w:pPr>
    </w:p>
    <w:tbl>
      <w:tblPr>
        <w:tblW w:type="dxa" w:w="9360"/>
        <w:tblBorders>
          <w:top w:val="single" w:color="FDE68A" w:sz="4"/>
          <w:left w:val="single" w:color="F59E0B" w:sz="18"/>
          <w:bottom w:val="single" w:color="FDE68A" w:sz="4"/>
          <w:right w:val="single" w:color="FDE68A" w:sz="4"/>
          <w:insideH w:val="none"/>
          <w:insideV w:val="none"/>
        </w:tblBorders>
      </w:tblPr>
      <w:tblGrid>
        <w:gridCol w:w="9360"/>
      </w:tblGrid>
      <w:tr>
        <w:tc>
          <w:tcPr>
            <w:tcW w:type="dxa" w:w="9360"/>
            <w:shd w:fill="FFFBEB" w:val="clear"/>
            <w:tcMar>
              <w:top w:type="dxa" w:w="200"/>
              <w:left w:type="dxa" w:w="240"/>
              <w:bottom w:type="dxa" w:w="180"/>
              <w:right w:type="dxa" w:w="240"/>
            </w:tcMar>
          </w:tcPr>
          <w:p>
            <w:pPr>
              <w:spacing w:after="120"/>
            </w:pPr>
            <w:r>
              <w:rPr>
                <w:b/>
                <w:bCs/>
                <w:color w:val="92400E"/>
                <w:sz w:val="24"/>
                <w:szCs w:val="24"/>
              </w:rPr>
              <w:t xml:space="preserve">What happens once you have answered</w:t>
            </w:r>
          </w:p>
          <w:p>
            <w:pPr>
              <w:spacing w:after="110" w:line="272"/>
            </w:pPr>
            <w:r>
              <w:rPr>
                <w:color w:val="78350F"/>
                <w:sz w:val="21"/>
                <w:szCs w:val="21"/>
              </w:rPr>
              <w:t xml:space="preserve">Questions 1–7 and 13–14 can be drafted straight into the documents and the offer released. Questions 8–11 go into the drafts as your preferred terms and then to your attorney as a review. Question 12 is the only one that can hold up the package, and removing the clause is a legitimate way to unblock it.</w:t>
            </w:r>
          </w:p>
          <w:p>
            <w:pPr>
              <w:spacing w:after="110" w:line="272"/>
            </w:pPr>
            <w:r>
              <w:rPr>
                <w:color w:val="78350F"/>
                <w:sz w:val="21"/>
                <w:szCs w:val="21"/>
              </w:rPr>
              <w:t xml:space="preserve">Anything still open when the documents are finalized stays visibly marked as open, rather than left blank — so nobody reads a gap as a settled answer.</w:t>
            </w:r>
          </w:p>
        </w:tc>
      </w:tr>
    </w:tbl>
    <w:p>
      <w:pPr>
        <w:pBdr>
          <w:top w:val="single" w:color="E4E9F0" w:sz="4"/>
        </w:pBdr>
        <w:spacing w:after="0" w:before="500"/>
      </w:pPr>
      <w:r>
        <w:rPr>
          <w:color w:val="9CA3AF"/>
          <w:sz w:val="17"/>
          <w:szCs w:val="17"/>
        </w:rPr>
        <w:t xml:space="preserve">OptiMind Educational Strategies · Prepared by Gemini Lane Consulting &amp; Acquisitions · Confidential</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5d708b512aa781fb7a590d0da6b5dd2b71539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Package — Open Decisions | OptiMind Educational Strategies</dc:title>
  <dc:creator>Gemini Lane Consulting &amp; Acquisitions</dc:creator>
  <dc:description>The fourteen decisions the Offer Letter, Employment Agreement and Confidentiality Agreement cannot be finished without.</dc:description>
  <cp:lastModifiedBy>Un-named</cp:lastModifiedBy>
  <cp:revision>1</cp:revision>
  <dcterms:created xsi:type="dcterms:W3CDTF">2026-08-31T13:22:19.833Z</dcterms:created>
  <dcterms:modified xsi:type="dcterms:W3CDTF">2026-08-31T13:22:19.833Z</dcterms:modified>
</cp:coreProperties>
</file>

<file path=docProps/custom.xml><?xml version="1.0" encoding="utf-8"?>
<Properties xmlns="http://schemas.openxmlformats.org/officeDocument/2006/custom-properties" xmlns:vt="http://schemas.openxmlformats.org/officeDocument/2006/docPropsVTypes"/>
</file>