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drawing>
          <wp:inline distB="0" distT="0" distL="0" distR="0">
            <wp:extent cx="2286000" cy="91294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0" cy="912940"/>
                    </a:xfrm>
                    <a:prstGeom prst="rect"/>
                    <a:ln/>
                  </pic:spPr>
                </pic:pic>
              </a:graphicData>
            </a:graphic>
          </wp:inline>
        </w:drawing>
      </w:r>
      <w:r w:rsidDel="00000000" w:rsidR="00000000" w:rsidRPr="00000000">
        <w:rPr>
          <w:rtl w:val="0"/>
        </w:rPr>
      </w:r>
    </w:p>
    <w:p>
      <w:pPr>
        <w:spacing w:after="80" w:lineRule="auto"/>
        <w:rPr/>
      </w:pPr>
      <w:r>
        <w:rPr>
          <w:b w:val="1"/>
          <w:bCs w:val="1"/>
          <w:color w:val="6b7280"/>
          <w:sz w:val="18"/>
          <w:szCs w:val="18"/>
          <w:rtl w:val="0"/>
        </w:rPr>
        <w:t xml:space="preserve">DRAFT — INTERNAL SOP</w:t>
      </w:r>
    </w:p>
    <w:p>
      <w:pPr>
        <w:pStyle w:val="Heading1"/>
        <w:rPr/>
      </w:pPr>
      <w:r>
        <w:rPr>
          <w:b w:val="0"/>
          <w:bCs w:val="0"/>
          <w:rtl w:val="0"/>
        </w:rPr>
        <w:t xml:space="preserve">Add-On Services — Identification &amp; Referral Process</w:t>
      </w:r>
    </w:p>
    <w:p>
      <w:pPr>
        <w:rPr/>
      </w:pPr>
      <w:r>
        <w:rPr>
          <w:i w:val="1"/>
          <w:iCs w:val="1"/>
          <w:color w:val="6b7280"/>
          <w:rtl w:val="0"/>
        </w:rPr>
        <w:t xml:space="preserve">OptiMind Educational Strategies</w:t>
      </w:r>
    </w:p>
    <w:p>
      <w:pPr>
        <w:pBdr>
          <w:top w:color="e4e9f0" w:space="6" w:sz="6" w:val="single"/>
        </w:pBdr>
        <w:spacing w:after="280" w:lineRule="auto"/>
        <w:rPr/>
      </w:pPr>
      <w:r>
        <w:rPr>
          <w:b w:val="1"/>
          <w:bCs w:val="1"/>
          <w:color w:val="6b7280"/>
          <w:sz w:val="18"/>
          <w:szCs w:val="18"/>
          <w:rtl w:val="0"/>
        </w:rPr>
        <w:t xml:space="preserve">Applies to</w:t>
      </w:r>
      <w:r>
        <w:rPr>
          <w:color w:val="6b7280"/>
          <w:sz w:val="18"/>
          <w:szCs w:val="18"/>
          <w:rtl w:val="0"/>
        </w:rPr>
        <w:t xml:space="preserve"> · EF Specialist and Sarah</w:t>
      </w:r>
      <w:r>
        <w:rPr>
          <w:color w:val="6b7280"/>
          <w:sz w:val="18"/>
          <w:szCs w:val="18"/>
          <w:rtl w:val="0"/>
        </w:rPr>
        <w:t xml:space="preserve">    |    </w:t>
      </w:r>
      <w:r>
        <w:rPr>
          <w:b w:val="1"/>
          <w:bCs w:val="1"/>
          <w:color w:val="6b7280"/>
          <w:sz w:val="18"/>
          <w:szCs w:val="18"/>
          <w:rtl w:val="0"/>
        </w:rPr>
        <w:t xml:space="preserve">Status</w:t>
      </w:r>
      <w:r>
        <w:rPr>
          <w:color w:val="6b7280"/>
          <w:sz w:val="18"/>
          <w:szCs w:val="18"/>
          <w:rtl w:val="0"/>
        </w:rPr>
        <w:t xml:space="preserve"> · Draft — half built</w:t>
      </w:r>
      <w:r>
        <w:rPr>
          <w:color w:val="6b7280"/>
          <w:sz w:val="18"/>
          <w:szCs w:val="18"/>
          <w:rtl w:val="0"/>
        </w:rPr>
        <w:t xml:space="preserve">    |    </w:t>
      </w:r>
      <w:r>
        <w:rPr>
          <w:b w:val="1"/>
          <w:bCs w:val="1"/>
          <w:color w:val="6b7280"/>
          <w:sz w:val="18"/>
          <w:szCs w:val="18"/>
          <w:rtl w:val="0"/>
        </w:rPr>
        <w:t xml:space="preserve">Last updated</w:t>
      </w:r>
      <w:r>
        <w:rPr>
          <w:color w:val="6b7280"/>
          <w:sz w:val="18"/>
          <w:szCs w:val="18"/>
          <w:rtl w:val="0"/>
        </w:rPr>
        <w:t xml:space="preserve"> · Aug 31, 2026</w:t>
      </w:r>
    </w:p>
    <w:p>
      <w:pPr>
        <w:pBdr>
          <w:left w:color="f59e0b" w:space="8" w:sz="18" w:val="single"/>
        </w:pBdr>
        <w:shd w:fill="fffbeb" w:val="clear"/>
        <w:spacing w:before="200" w:after="200" w:lineRule="auto"/>
        <w:rPr/>
      </w:pPr>
      <w:r>
        <w:rPr>
          <w:b w:val="1"/>
          <w:bCs w:val="1"/>
          <w:rtl w:val="0"/>
        </w:rPr>
        <w:t xml:space="preserve">Half of this is settled, half is not. </w:t>
      </w:r>
      <w:r>
        <w:rPr>
          <w:rtl w:val="0"/>
        </w:rPr>
        <w:t xml:space="preserve">How a need gets spotted, recorded, and passed to Sarah is written below and can be used from day one. How the service is then presented and sold to the family — the script, the pricing conversation, and who has it — has not been built yet, and is listed in Section 8.</w:t>
      </w:r>
    </w:p>
    <w:p>
      <w:pPr>
        <w:pStyle w:val="Heading2"/>
        <w:rPr/>
      </w:pPr>
      <w:r>
        <w:rPr>
          <w:rtl w:val="0"/>
        </w:rPr>
        <w:t xml:space="preserve">1. </w:t>
      </w:r>
      <w:r>
        <w:rPr>
          <w:b w:val="0"/>
          <w:bCs w:val="0"/>
          <w:rtl w:val="0"/>
        </w:rPr>
        <w:t xml:space="preserve">Why This Exists</w:t>
      </w:r>
    </w:p>
    <w:p>
      <w:pPr>
        <w:rPr/>
      </w:pPr>
      <w:r>
        <w:rPr>
          <w:rtl w:val="0"/>
        </w:rPr>
        <w:t xml:space="preserve">Special Education Advocacy and College Counseling are the other two service lines in the Services Agreement. The clients who need them are, in many cases, already in EF sessions — a junior with no college plan, a family heading into an IEP meeting they are not prepared for. Until now nothing written down said how that gets noticed, who notices it, or what happens next, so it depended on whoever happened to be in the room.</w:t>
      </w:r>
    </w:p>
    <w:p>
      <w:pPr>
        <w:pStyle w:val="Heading2"/>
        <w:rPr/>
      </w:pPr>
      <w:r>
        <w:rPr>
          <w:rtl w:val="0"/>
        </w:rPr>
        <w:t xml:space="preserve">2. </w:t>
      </w:r>
      <w:r>
        <w:rPr>
          <w:b w:val="0"/>
          <w:bCs w:val="0"/>
          <w:rtl w:val="0"/>
        </w:rPr>
        <w:t xml:space="preserve">Who Does What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New clients — Sarah, at intake. </w:t>
      </w:r>
      <w:r>
        <w:rPr>
          <w:rtl w:val="0"/>
        </w:rPr>
        <w:t xml:space="preserve">The specialist is not responsible for raising advocacy or college-counseling questions with a new client. These belong in the intake conversation, before the EF work starts.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Existing clients — the specialist flags, Sarah acts. </w:t>
      </w:r>
      <w:r>
        <w:rPr>
          <w:rtl w:val="0"/>
        </w:rPr>
        <w:t xml:space="preserve">The specialist is the one in the room week to week, so a change in a current client's situation is theirs to spot and raise.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Delivery and pricing — always Sarah. </w:t>
      </w:r>
      <w:r>
        <w:rPr>
          <w:rtl w:val="0"/>
        </w:rPr>
        <w:t xml:space="preserve">The specialist identifies and flags. They do not perform the advocacy or college-counseling work, quote a price, or promise the service.</w:t>
      </w:r>
    </w:p>
    <w:p>
      <w:pPr>
        <w:pStyle w:val="Heading2"/>
        <w:rPr/>
      </w:pPr>
      <w:r>
        <w:rPr>
          <w:rtl w:val="0"/>
        </w:rPr>
        <w:t xml:space="preserve">3. </w:t>
      </w:r>
      <w:r>
        <w:rPr>
          <w:b w:val="0"/>
          <w:bCs w:val="0"/>
          <w:rtl w:val="0"/>
        </w:rPr>
        <w:t xml:space="preserve">College Counseling — Identification</w:t>
      </w:r>
    </w:p>
    <w:p>
      <w:pPr>
        <w:spacing w:before="200" w:lineRule="auto"/>
        <w:rPr/>
      </w:pPr>
      <w:r>
        <w:rPr>
          <w:b w:val="1"/>
          <w:bCs w:val="1"/>
          <w:rtl w:val="0"/>
        </w:rPr>
        <w:t xml:space="preserve">The Standing Question</w:t>
      </w:r>
    </w:p>
    <w:p>
      <w:pPr>
        <w:rPr/>
      </w:pPr>
      <w:r>
        <w:rPr>
          <w:rtl w:val="0"/>
        </w:rPr>
        <w:t xml:space="preserve">Every client who is a </w:t>
      </w:r>
      <w:r>
        <w:rPr>
          <w:b w:val="1"/>
          <w:bCs w:val="1"/>
          <w:rtl w:val="0"/>
        </w:rPr>
        <w:t xml:space="preserve">high-school junior or senior</w:t>
      </w:r>
      <w:r>
        <w:rPr>
          <w:rtl w:val="0"/>
        </w:rPr>
        <w:t xml:space="preserve"> gets asked, once, whether they are already working with someone for college counseling. Record the answer in the client record — including a "yes," so nobody asks again next term.</w:t>
      </w:r>
    </w:p>
    <w:p>
      <w:pPr>
        <w:spacing w:before="200" w:lineRule="auto"/>
        <w:rPr/>
      </w:pPr>
      <w:r>
        <w:rPr>
          <w:b w:val="1"/>
          <w:bCs w:val="1"/>
          <w:rtl w:val="0"/>
        </w:rPr>
        <w:t xml:space="preserve">What Counts as a Flag</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A junior or senior with no college-counseling support in place.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A parent raising the college process — applications, essays, testing, deadlines — inside an EF session.</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tl w:val="0"/>
        </w:rPr>
        <w:t xml:space="preserve">Application-season timelines showing up in the EF work itself: a client using session time to manage college deadlines rather than school ones.</w:t>
      </w:r>
    </w:p>
    <w:p>
      <w:pPr>
        <w:pStyle w:val="Heading2"/>
        <w:rPr/>
      </w:pPr>
      <w:r>
        <w:rPr>
          <w:rtl w:val="0"/>
        </w:rPr>
        <w:t xml:space="preserve">4. </w:t>
      </w:r>
      <w:r>
        <w:rPr>
          <w:b w:val="0"/>
          <w:bCs w:val="0"/>
          <w:rtl w:val="0"/>
        </w:rPr>
        <w:t xml:space="preserve">Special Education Advocacy — Identification</w:t>
      </w:r>
    </w:p>
    <w:p>
      <w:pPr>
        <w:spacing w:before="200" w:lineRule="auto"/>
        <w:rPr/>
      </w:pPr>
      <w:r>
        <w:rPr>
          <w:b w:val="1"/>
          <w:bCs w:val="1"/>
          <w:rtl w:val="0"/>
        </w:rPr>
        <w:t xml:space="preserve">For Existing Clients — Watch for Change</w:t>
      </w:r>
    </w:p>
    <w:p>
      <w:pPr>
        <w:rPr/>
      </w:pPr>
      <w:r>
        <w:rPr>
          <w:rtl w:val="0"/>
        </w:rPr>
        <w:t xml:space="preserve">Advocacy needs usually announce themselves as a change in an existing client's school picture, not as a question the family asks directly:</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A new or upcoming IEP or 504 meeting.</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A dispute with the school, or a request the school has declined.</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A change in the supports the school is providing, or a placement change.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A parent describing a school problem the client's current plan does not cover.</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tl w:val="0"/>
        </w:rPr>
        <w:t xml:space="preserve">Anything that comes back from provider coordination — teacher or therapist — that raises a new concern. This already sits on the Employee Decision List under "Needs a Conversation."</w:t>
      </w:r>
    </w:p>
    <w:p>
      <w:pPr>
        <w:spacing w:before="200" w:lineRule="auto"/>
        <w:rPr/>
      </w:pPr>
      <w:r>
        <w:rPr>
          <w:b w:val="1"/>
          <w:bCs w:val="1"/>
          <w:rtl w:val="0"/>
        </w:rPr>
        <w:t xml:space="preserve">For New Clients — Intake</w:t>
      </w:r>
    </w:p>
    <w:p>
      <w:pPr>
        <w:rPr/>
      </w:pPr>
      <w:r>
        <w:rPr>
          <w:b w:val="1"/>
          <w:bCs w:val="1"/>
          <w:rtl w:val="0"/>
        </w:rPr>
        <w:t xml:space="preserve">[TBD] </w:t>
      </w:r>
      <w:r>
        <w:rPr>
          <w:rtl w:val="0"/>
        </w:rPr>
        <w:t xml:space="preserve">The intake form does not currently ask the questions that would surface an advocacy need. Which questions get added — current IEP or 504 status, recent evaluations, any open dispute with the school, upcoming meetings — needs to be decided and built into the form.</w:t>
      </w:r>
    </w:p>
    <w:p>
      <w:pPr>
        <w:pStyle w:val="Heading2"/>
        <w:rPr/>
      </w:pPr>
      <w:r>
        <w:rPr>
          <w:rtl w:val="0"/>
        </w:rPr>
        <w:t xml:space="preserve">5. </w:t>
      </w:r>
      <w:r>
        <w:rPr>
          <w:b w:val="0"/>
          <w:bCs w:val="0"/>
          <w:rtl w:val="0"/>
        </w:rPr>
        <w:t xml:space="preserve">Recording a Flag</w:t>
      </w:r>
    </w:p>
    <w:p>
      <w:pPr>
        <w:pBdr>
          <w:left w:color="f59e0b" w:space="8" w:sz="18" w:val="single"/>
        </w:pBdr>
        <w:shd w:fill="fffbeb" w:val="clear"/>
        <w:spacing w:before="200" w:after="200" w:lineRule="auto"/>
        <w:rPr/>
      </w:pPr>
      <w:r>
        <w:rPr>
          <w:b w:val="1"/>
          <w:bCs w:val="1"/>
          <w:rtl w:val="0"/>
        </w:rPr>
        <w:t xml:space="preserve">[TO BUILD] </w:t>
      </w:r>
      <w:r>
        <w:rPr>
          <w:rtl w:val="0"/>
        </w:rPr>
        <w:t xml:space="preserve">The session record needs two checkboxes the specialist ticks when a need is identified — "College Counseling — flag" and "IEP / Advocacy — flag" — so a flag is captured in the record rather than living only in an email thread. Add them to the session note template now, and to the operational dashboard when it is built. Until they exist, the flag is written into the session note in plain words.</w:t>
      </w:r>
    </w:p>
    <w:p>
      <w:pPr>
        <w:pStyle w:val="Heading2"/>
        <w:rPr/>
      </w:pPr>
      <w:r>
        <w:rPr>
          <w:rtl w:val="0"/>
        </w:rPr>
        <w:t xml:space="preserve">6. </w:t>
      </w:r>
      <w:r>
        <w:rPr>
          <w:b w:val="0"/>
          <w:bCs w:val="0"/>
          <w:rtl w:val="0"/>
        </w:rPr>
        <w:t xml:space="preserve">Telling Sarah</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Routine flag: </w:t>
      </w:r>
      <w:r>
        <w:rPr>
          <w:rtl w:val="0"/>
        </w:rPr>
        <w:t xml:space="preserve">email Sarah, or raise it in the weekly one-to-one. Either is fine.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Anything with a date attached: email the same day. </w:t>
      </w:r>
      <w:r>
        <w:rPr>
          <w:rtl w:val="0"/>
        </w:rPr>
        <w:t xml:space="preserve">A scheduled IEP or 504 meeting, an application deadline, a school meeting the parent has already been asked to attend. The one-to-one is too slow for these — by the time it comes around the date may have passed.</w:t>
      </w:r>
    </w:p>
    <w:p>
      <w:pPr>
        <w:pStyle w:val="Heading2"/>
        <w:rPr/>
      </w:pPr>
      <w:r>
        <w:rPr>
          <w:rtl w:val="0"/>
        </w:rPr>
        <w:t xml:space="preserve">7. </w:t>
      </w:r>
      <w:r>
        <w:rPr>
          <w:b w:val="0"/>
          <w:bCs w:val="0"/>
          <w:rtl w:val="0"/>
        </w:rPr>
        <w:t xml:space="preserve">What Happens Next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Sarah takes the conversation with the client and family from there.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Advocacy and college-counseling work runs in additional, dedicated sessions. </w:t>
      </w:r>
      <w:r>
        <w:rPr>
          <w:rtl w:val="0"/>
        </w:rPr>
        <w:t xml:space="preserve">It is not folded into the regular EF session time — that protects both the EF work and the billing.</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tl w:val="0"/>
        </w:rPr>
        <w:t xml:space="preserve">The flag, and how it was handled, are documented in the client file per Employee Handbook Section 8.</w:t>
      </w:r>
    </w:p>
    <w:p>
      <w:pPr>
        <w:pStyle w:val="Heading2"/>
        <w:rPr/>
      </w:pPr>
      <w:r>
        <w:rPr>
          <w:rtl w:val="0"/>
        </w:rPr>
        <w:t xml:space="preserve">8. </w:t>
      </w:r>
      <w:r>
        <w:rPr>
          <w:b w:val="0"/>
          <w:bCs w:val="0"/>
          <w:rtl w:val="0"/>
        </w:rPr>
        <w:t xml:space="preserve">Still To Build</w:t>
      </w:r>
    </w:p>
    <w:p>
      <w:pPr>
        <w:rPr/>
      </w:pPr>
      <w:r>
        <w:rPr>
          <w:rtl w:val="0"/>
        </w:rPr>
        <w:t xml:space="preserve">The identification half above is usable now. These are the pieces that are not: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How an add-on service is presented and sold </w:t>
      </w:r>
      <w:r>
        <w:rPr>
          <w:rtl w:val="0"/>
        </w:rPr>
        <w:t xml:space="preserve">to an existing family. Who has the conversation, what is actually said, when it happens relative to the flag, and how price is introduced. This is the biggest gap — a flag with no conversation behind it converts nothing.</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The advocacy questions added to the intake form </w:t>
      </w:r>
      <w:r>
        <w:rPr>
          <w:rtl w:val="0"/>
        </w:rPr>
        <w:t xml:space="preserve">(Section 4).</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The flag checkboxes </w:t>
      </w:r>
      <w:r>
        <w:rPr>
          <w:rtl w:val="0"/>
        </w:rPr>
        <w:t xml:space="preserve">in the session note template and the dashboard (Section 5).</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Whether flagged conversions affect the specialist's compensation </w:t>
      </w:r>
      <w:r>
        <w:rPr>
          <w:rtl w:val="0"/>
        </w:rPr>
        <w:t xml:space="preserve">in any way, or whether flagging is simply part of the role. Worth settling before the first conversion rather than after.</w:t>
      </w:r>
    </w:p>
    <w:p>
      <w:pPr>
        <w:pBdr>
          <w:top w:color="e4e9f0" w:space="8" w:sz="6" w:val="single"/>
        </w:pBdr>
        <w:spacing w:before="280" w:lineRule="auto"/>
        <w:rPr/>
      </w:pPr>
      <w:r>
        <w:rPr>
          <w:i w:val="1"/>
          <w:iCs w:val="1"/>
          <w:color w:val="6b7280"/>
          <w:sz w:val="18"/>
          <w:szCs w:val="18"/>
          <w:rtl w:val="0"/>
        </w:rPr>
        <w:t xml:space="preserve">OptiMind Educational Strategies · Internal SOP — not for client distribution.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urbcUABUajsJjvQORvAyhHnfPg==">CgMxLjA4AHIhMXRRMnZXVXVDVHVWbjhmT1pzYjcycjcwVF9kbGc0enNC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