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0" distT="0" distL="0" distR="0">
            <wp:extent cx="2286000" cy="9129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912940"/>
                    </a:xfrm>
                    <a:prstGeom prst="rect"/>
                    <a:ln/>
                  </pic:spPr>
                </pic:pic>
              </a:graphicData>
            </a:graphic>
          </wp:inline>
        </w:drawing>
      </w:r>
      <w:r w:rsidDel="00000000" w:rsidR="00000000" w:rsidRPr="00000000">
        <w:rPr>
          <w:rtl w:val="0"/>
        </w:rPr>
      </w:r>
    </w:p>
    <w:p>
      <w:pPr>
        <w:spacing w:after="80" w:lineRule="auto"/>
        <w:rPr/>
      </w:pPr>
      <w:r>
        <w:rPr>
          <w:b w:val="1"/>
          <w:bCs w:val="1"/>
          <w:color w:val="6b7280"/>
          <w:sz w:val="18"/>
          <w:szCs w:val="18"/>
          <w:rtl w:val="0"/>
        </w:rPr>
        <w:t xml:space="preserve">INTERNAL — FOR SARAH &amp; COUNSEL</w:t>
      </w:r>
    </w:p>
    <w:p>
      <w:pPr>
        <w:pStyle w:val="Heading1"/>
        <w:rPr/>
      </w:pPr>
      <w:r>
        <w:rPr>
          <w:b w:val="0"/>
          <w:bCs w:val="0"/>
          <w:rtl w:val="0"/>
        </w:rPr>
        <w:t xml:space="preserve">Attorney Review Checklist</w:t>
      </w:r>
    </w:p>
    <w:p>
      <w:pPr>
        <w:rPr/>
      </w:pPr>
      <w:r>
        <w:rPr>
          <w:i w:val="1"/>
          <w:iCs w:val="1"/>
          <w:color w:val="6b7280"/>
          <w:rtl w:val="0"/>
        </w:rPr>
        <w:t xml:space="preserve">OptiMind Educational Strategies</w:t>
      </w:r>
    </w:p>
    <w:p>
      <w:pPr>
        <w:pBdr>
          <w:top w:color="e4e9f0" w:space="6" w:sz="6" w:val="single"/>
        </w:pBdr>
        <w:spacing w:after="280" w:lineRule="auto"/>
        <w:rPr/>
      </w:pPr>
      <w:r>
        <w:rPr>
          <w:b w:val="1"/>
          <w:bCs w:val="1"/>
          <w:color w:val="6b7280"/>
          <w:sz w:val="18"/>
          <w:szCs w:val="18"/>
          <w:rtl w:val="0"/>
        </w:rPr>
        <w:t xml:space="preserve">Applies to</w:t>
      </w:r>
      <w:r>
        <w:rPr>
          <w:color w:val="6b7280"/>
          <w:sz w:val="18"/>
          <w:szCs w:val="18"/>
          <w:rtl w:val="0"/>
        </w:rPr>
        <w:t xml:space="preserve"> · Sarah and employment/education counsel</w:t>
      </w:r>
      <w:r>
        <w:rPr>
          <w:color w:val="6b7280"/>
          <w:sz w:val="18"/>
          <w:szCs w:val="18"/>
          <w:rtl w:val="0"/>
        </w:rPr>
        <w:t xml:space="preserve">    |    </w:t>
      </w:r>
      <w:r>
        <w:rPr>
          <w:b w:val="1"/>
          <w:bCs w:val="1"/>
          <w:color w:val="6b7280"/>
          <w:sz w:val="18"/>
          <w:szCs w:val="18"/>
          <w:rtl w:val="0"/>
        </w:rPr>
        <w:t xml:space="preserve">Status</w:t>
      </w:r>
      <w:r>
        <w:rPr>
          <w:color w:val="6b7280"/>
          <w:sz w:val="18"/>
          <w:szCs w:val="18"/>
          <w:rtl w:val="0"/>
        </w:rPr>
        <w:t xml:space="preserve"> · Open</w:t>
      </w:r>
      <w:r>
        <w:rPr>
          <w:color w:val="6b7280"/>
          <w:sz w:val="18"/>
          <w:szCs w:val="18"/>
          <w:rtl w:val="0"/>
        </w:rPr>
        <w:t xml:space="preserve">    |    </w:t>
      </w:r>
      <w:r>
        <w:rPr>
          <w:b w:val="1"/>
          <w:bCs w:val="1"/>
          <w:color w:val="6b7280"/>
          <w:sz w:val="18"/>
          <w:szCs w:val="18"/>
          <w:rtl w:val="0"/>
        </w:rPr>
        <w:t xml:space="preserve">Last updated</w:t>
      </w:r>
      <w:r>
        <w:rPr>
          <w:color w:val="6b7280"/>
          <w:sz w:val="18"/>
          <w:szCs w:val="18"/>
          <w:rtl w:val="0"/>
        </w:rPr>
        <w:t xml:space="preserve"> · Aug 31, 2026</w:t>
      </w:r>
    </w:p>
    <w:p>
      <w:pPr>
        <w:pBdr>
          <w:left w:color="2563eb" w:space="8" w:sz="18" w:val="single"/>
        </w:pBdr>
        <w:shd w:fill="eff6ff" w:val="clear"/>
        <w:spacing w:before="200" w:after="200" w:lineRule="auto"/>
        <w:rPr/>
      </w:pPr>
      <w:r>
        <w:rPr>
          <w:b w:val="1"/>
          <w:bCs w:val="1"/>
          <w:rtl w:val="0"/>
        </w:rPr>
        <w:t xml:space="preserve">One conversation, not fifteen. </w:t>
      </w:r>
      <w:r>
        <w:rPr>
          <w:rtl w:val="0"/>
        </w:rPr>
        <w:t xml:space="preserve">Every item across the SOP and onboarding set that is currently waiting on a lawyer, in one place — with the document and section it blocks, and OptiMind's current working position. The working position is what the documents say today. The point of the review is to confirm or correct it, not to start from a blank page.</w:t>
      </w:r>
    </w:p>
    <w:p>
      <w:pPr>
        <w:rPr/>
      </w:pPr>
      <w:r>
        <w:rPr>
          <w:rtl w:val="0"/>
        </w:rPr>
        <w:t xml:space="preserve">Each item below is flagged </w:t>
      </w:r>
      <w:r>
        <w:rPr>
          <w:b w:val="1"/>
          <w:bCs w:val="1"/>
          <w:rtl w:val="0"/>
        </w:rPr>
        <w:t xml:space="preserve">ATTORNEY REVIEW</w:t>
      </w:r>
      <w:r>
        <w:rPr>
          <w:rtl w:val="0"/>
        </w:rPr>
        <w:t xml:space="preserve"> in the document it comes from. When an answer comes back, update that section and remove the flag — otherwise the documents and this list drift apart.</w:t>
      </w:r>
    </w:p>
    <w:p>
      <w:pPr>
        <w:pStyle w:val="Heading2"/>
        <w:rPr/>
      </w:pPr>
      <w:r>
        <w:rPr>
          <w:rtl w:val="0"/>
        </w:rPr>
        <w:t xml:space="preserve">A. </w:t>
      </w:r>
      <w:r>
        <w:rPr>
          <w:b w:val="0"/>
          <w:bCs w:val="0"/>
          <w:rtl w:val="0"/>
        </w:rPr>
        <w:t xml:space="preserve">Employment Terms</w:t>
      </w:r>
    </w:p>
    <w:p>
      <w:pPr>
        <w:spacing w:before="200" w:lineRule="auto"/>
        <w:rPr/>
      </w:pPr>
      <w:r>
        <w:rPr>
          <w:b w:val="1"/>
          <w:bCs w:val="1"/>
          <w:rtl w:val="0"/>
        </w:rPr>
        <w:t xml:space="preserve">1. Sick and safe leave — paid or unpaid?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§4; Holiday, Vacation &amp; Leave Policy §5.</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At fewer than 15 employees the leave is only required to be unpaid. Sarah is willing to pay it as a benefit but wants a recommendation first.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Should OptiMind pay it? And confirm the current Healthy Working Families Act thresholds, accrual rules, and carryover caps as they apply at this employee count.</w:t>
      </w:r>
    </w:p>
    <w:p>
      <w:pPr>
        <w:spacing w:before="200" w:lineRule="auto"/>
        <w:rPr/>
      </w:pPr>
      <w:r>
        <w:rPr>
          <w:b w:val="1"/>
          <w:bCs w:val="1"/>
          <w:rtl w:val="0"/>
        </w:rPr>
        <w:t xml:space="preserve">2. Probationary period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§12; Offer Letter.</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90 days, roughly aligned with reaching the steady-state caseload target.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Is 90 days appropriate, what should change when it ends, and what wording should the Handbook and Offer Letter use so the period does not read as a promise of continued employment afterward?</w:t>
      </w:r>
    </w:p>
    <w:p>
      <w:pPr>
        <w:spacing w:before="200" w:lineRule="auto"/>
        <w:rPr/>
      </w:pPr>
      <w:r>
        <w:rPr>
          <w:b w:val="1"/>
          <w:bCs w:val="1"/>
          <w:rtl w:val="0"/>
        </w:rPr>
        <w:t xml:space="preserve">3. Formal review cadence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§12.</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A review at the end of probation, then a set recurring cadence — annual or semi-annual, undecided.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Recommended cadence, and the wording that goes with it, consistent with the probationary-period language above.</w:t>
      </w:r>
    </w:p>
    <w:p>
      <w:pPr>
        <w:spacing w:before="200" w:lineRule="auto"/>
        <w:rPr/>
      </w:pPr>
      <w:r>
        <w:rPr>
          <w:b w:val="1"/>
          <w:bCs w:val="1"/>
          <w:rtl w:val="0"/>
        </w:rPr>
        <w:t xml:space="preserve">4. Unused vacation at termination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Holiday, Vacation &amp; Leave Policy §3.</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No paid vacation allowance has been set yet, so nothing accrues today.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Does Maryland treat accrued unused vacation as earned wages payable at termination? The answer shapes whether the allowance should accrue or be granted, and whether carryover is wise.</w:t>
      </w:r>
    </w:p>
    <w:p>
      <w:pPr>
        <w:spacing w:before="200" w:lineRule="auto"/>
        <w:rPr/>
      </w:pPr>
      <w:r>
        <w:rPr>
          <w:b w:val="1"/>
          <w:bCs w:val="1"/>
          <w:rtl w:val="0"/>
        </w:rPr>
        <w:t xml:space="preserve">5. EEO and ADA statement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Adopt Equal Employment Opportunity and Americans with Disabilities Act policy now, ahead of when it is legally required.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The exact protected-class list for Maryland, the correct ADA language, and whether adopting the policy at one employee creates obligations that would not otherwise attach.</w:t>
      </w:r>
    </w:p>
    <w:p>
      <w:pPr>
        <w:spacing w:before="200" w:lineRule="auto"/>
        <w:rPr/>
      </w:pPr>
      <w:r>
        <w:rPr>
          <w:b w:val="1"/>
          <w:bCs w:val="1"/>
          <w:rtl w:val="0"/>
        </w:rPr>
        <w:t xml:space="preserve">6. At-will and handbook acknowledgment language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(whole); Offer Letter; Employment Agreement.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At-will, W-2, with a signed handbook acknowledgment.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Does anything in the Handbook read as a contractual commitment that undercuts at-will status — particularly the progressive language in Sections 4 and 12?</w:t>
      </w:r>
    </w:p>
    <w:p>
      <w:pPr>
        <w:pStyle w:val="Heading2"/>
        <w:rPr/>
      </w:pPr>
      <w:r>
        <w:rPr>
          <w:rtl w:val="0"/>
        </w:rPr>
        <w:t xml:space="preserve">B. </w:t>
      </w:r>
      <w:r>
        <w:rPr>
          <w:b w:val="0"/>
          <w:bCs w:val="0"/>
          <w:rtl w:val="0"/>
        </w:rPr>
        <w:t xml:space="preserve">Safety, Reporting &amp; Duty of Care</w:t>
      </w:r>
    </w:p>
    <w:p>
      <w:pPr>
        <w:spacing w:before="200" w:lineRule="auto"/>
        <w:rPr/>
      </w:pPr>
      <w:r>
        <w:rPr>
          <w:b w:val="1"/>
          <w:bCs w:val="1"/>
          <w:rtl w:val="0"/>
        </w:rPr>
        <w:t xml:space="preserve">7. Mandated reporter status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§10; Employee Decision List.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Yes — the practice is operating as though the specialist is a mandated reporter under Maryland law, pending confirmation.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Given the specialist's licensure and role, is she a mandated reporter for suspected child abuse or neglect? If yes, what does the obligation actually require — who reports, to whom, in what window, and what is documented?</w:t>
      </w:r>
    </w:p>
    <w:p>
      <w:pPr>
        <w:spacing w:before="200" w:lineRule="auto"/>
        <w:rPr/>
      </w:pPr>
      <w:r>
        <w:rPr>
          <w:b w:val="1"/>
          <w:bCs w:val="1"/>
          <w:rtl w:val="0"/>
        </w:rPr>
        <w:t xml:space="preserve">8. Clinical review of the safety protocol</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§10.</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The protocol is written and in use. No licensed mental-health consultant has reviewed it.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Should a licensed mental-health consultant review Section 10 before it is issued, and does relying on it unreviewed create exposure for the practice?</w:t>
      </w:r>
    </w:p>
    <w:p>
      <w:pPr>
        <w:spacing w:before="200" w:lineRule="auto"/>
        <w:rPr/>
      </w:pPr>
      <w:r>
        <w:rPr>
          <w:b w:val="1"/>
          <w:bCs w:val="1"/>
          <w:rtl w:val="0"/>
        </w:rPr>
        <w:t xml:space="preserve">9. Contacting a therapist about a safety concern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§10 ("email the therapist"); Services Agreement; any release on file.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Where a client has a therapist, the specialist emails them so they can address the concern too.</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What consent is needed before OptiMind contacts a client's outside therapist about a safety concern, and does the current Services Agreement or Exhibit C release cover it? If not, what language is needed?</w:t>
      </w:r>
    </w:p>
    <w:p>
      <w:pPr>
        <w:spacing w:before="200" w:lineRule="auto"/>
        <w:rPr/>
      </w:pPr>
      <w:r>
        <w:rPr>
          <w:b w:val="1"/>
          <w:bCs w:val="1"/>
          <w:rtl w:val="0"/>
        </w:rPr>
        <w:t xml:space="preserve">10. Contacting a parent or guardian for an adult client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§10.</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The protocol calls for contacting parents for students and minors. Adult clients are also served.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For an adult client in crisis, whom may OptiMind contact, and on what basis? An emergency contact provision may need to be added to the adult intake.</w:t>
      </w:r>
    </w:p>
    <w:p>
      <w:pPr>
        <w:pStyle w:val="Heading2"/>
        <w:rPr/>
      </w:pPr>
      <w:r>
        <w:rPr>
          <w:rtl w:val="0"/>
        </w:rPr>
        <w:t xml:space="preserve">C. </w:t>
      </w:r>
      <w:r>
        <w:rPr>
          <w:b w:val="0"/>
          <w:bCs w:val="0"/>
          <w:rtl w:val="0"/>
        </w:rPr>
        <w:t xml:space="preserve">Data, Records &amp; Compliance</w:t>
      </w:r>
    </w:p>
    <w:p>
      <w:pPr>
        <w:spacing w:before="200" w:lineRule="auto"/>
        <w:rPr/>
      </w:pPr>
      <w:r>
        <w:rPr>
          <w:b w:val="1"/>
          <w:bCs w:val="1"/>
          <w:rtl w:val="0"/>
        </w:rPr>
        <w:t xml:space="preserve">11. Breach notification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Confidentiality &amp; Data-Handling Agreement §5A; Data-Handling Policy §6.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Internal sequence is written: tell Sarah, written summary same day, Sarah decides notification.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What do Maryland's breach-notification requirements oblige a practice of this size, holding educational and mental-health records, to do — and within what timeframe?</w:t>
      </w:r>
    </w:p>
    <w:p>
      <w:pPr>
        <w:spacing w:before="200" w:lineRule="auto"/>
        <w:rPr/>
      </w:pPr>
      <w:r>
        <w:rPr>
          <w:b w:val="1"/>
          <w:bCs w:val="1"/>
          <w:rtl w:val="0"/>
        </w:rPr>
        <w:t xml:space="preserve">12. Record retention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Data-Handling Policy §4.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No retention or destruction schedule is set.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How long must client records be retained after discharge, and is the minimum longer for records relating to minors or for educational and evaluation records?</w:t>
      </w:r>
    </w:p>
    <w:p>
      <w:pPr>
        <w:spacing w:before="200" w:lineRule="auto"/>
        <w:rPr/>
      </w:pPr>
      <w:r>
        <w:rPr>
          <w:b w:val="1"/>
          <w:bCs w:val="1"/>
          <w:rtl w:val="0"/>
        </w:rPr>
        <w:t xml:space="preserve">13. HIPAA and FERPA applicability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Data-Handling Policy §5. Likely an education attorney rather than employment counsel.</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Open — assumed not to apply, but never determined.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Does HIPAA apply to this practice? Which student-records obligations attach to a private provider holding IEPs, 504 plans, and evaluations?</w:t>
      </w:r>
    </w:p>
    <w:p>
      <w:pPr>
        <w:spacing w:before="200" w:lineRule="auto"/>
        <w:rPr/>
      </w:pPr>
      <w:r>
        <w:rPr>
          <w:b w:val="1"/>
          <w:bCs w:val="1"/>
          <w:rtl w:val="0"/>
        </w:rPr>
        <w:t xml:space="preserve">14. Post-employment confidentiality duration</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Confidentiality &amp; Data-Handling Agreement §4.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Blank — the term was never set.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Indefinite, or a stated number of years? Which is enforceable in Maryland for information of this kind?</w:t>
      </w:r>
    </w:p>
    <w:p>
      <w:pPr>
        <w:spacing w:before="200" w:lineRule="auto"/>
        <w:rPr/>
      </w:pPr>
      <w:r>
        <w:rPr>
          <w:b w:val="1"/>
          <w:bCs w:val="1"/>
          <w:rtl w:val="0"/>
        </w:rPr>
        <w:t xml:space="preserve">15. Personal devices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Confidentiality &amp; Data-Handling Agreement §3; Employee Handbook §11.</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Undecided. The specialist works remotely, so in practice a personal computer is in use.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Given the record types held, is company-issued equipment required, or is personal-device use defensible with controls? What controls would those be?</w:t>
      </w:r>
    </w:p>
    <w:p>
      <w:pPr>
        <w:pStyle w:val="Heading2"/>
        <w:rPr/>
      </w:pPr>
      <w:r>
        <w:rPr>
          <w:rtl w:val="0"/>
        </w:rPr>
        <w:t xml:space="preserve">D. </w:t>
      </w:r>
      <w:r>
        <w:rPr>
          <w:b w:val="0"/>
          <w:bCs w:val="0"/>
          <w:rtl w:val="0"/>
        </w:rPr>
        <w:t xml:space="preserve">Business Setup</w:t>
      </w:r>
    </w:p>
    <w:p>
      <w:pPr>
        <w:spacing w:before="200" w:lineRule="auto"/>
        <w:rPr/>
      </w:pPr>
      <w:r>
        <w:rPr>
          <w:b w:val="1"/>
          <w:bCs w:val="1"/>
          <w:rtl w:val="0"/>
        </w:rPr>
        <w:t xml:space="preserve">16. Company phone line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Where: </w:t>
      </w:r>
      <w:r>
        <w:rPr>
          <w:rtl w:val="0"/>
        </w:rPr>
        <w:t xml:space="preserve">Employee Handbook §11; Role Definition &amp; Responsibilities.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Working position: </w:t>
      </w:r>
      <w:r>
        <w:rPr>
          <w:rtl w:val="0"/>
        </w:rPr>
        <w:t xml:space="preserve">No company line exists. Client phone contact currently routes through Sarah; personal numbers are prohibited.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Ask: </w:t>
      </w:r>
      <w:r>
        <w:rPr>
          <w:rtl w:val="0"/>
        </w:rPr>
        <w:t xml:space="preserve">What is the right structure for a business line given that client calls and texts are part of the client record — a company-issued handset, a forwarding number, or a VoIP line? Any recordkeeping obligations that follow from the choice?</w:t>
      </w:r>
    </w:p>
    <w:p>
      <w:pPr>
        <w:pStyle w:val="Heading2"/>
        <w:rPr/>
      </w:pPr>
      <w:r>
        <w:rPr>
          <w:rtl w:val="0"/>
        </w:rPr>
        <w:t xml:space="preserve"/>
      </w:r>
      <w:r>
        <w:rPr>
          <w:b w:val="0"/>
          <w:bCs w:val="0"/>
          <w:rtl w:val="0"/>
        </w:rPr>
        <w:t xml:space="preserve">Running the Review</w:t>
      </w:r>
    </w:p>
    <w:p>
      <w:pPr>
        <w:ind w:left="504" w:hanging="288"/>
        <w:spacing w:after="60" w:lineRule="auto"/>
        <w:rPr/>
      </w:pPr>
      <w:r>
        <w:rPr>
          <w:b w:val="1"/>
          <w:bCs w:val="1"/>
          <w:rtl w:val="0"/>
        </w:rPr>
        <w:t xml:space="preserve">1.  Bring the documents, not just the questions. </w:t>
      </w:r>
      <w:r>
        <w:rPr>
          <w:rtl w:val="0"/>
        </w:rPr>
        <w:t xml:space="preserve">The Employee Handbook, Confidentiality &amp; Data-Handling Agreement, Data-Handling Policy, and Offer Letter carry the language counsel needs to react to.</w:t>
      </w:r>
    </w:p>
    <w:p>
      <w:pPr>
        <w:ind w:left="504" w:hanging="288"/>
        <w:spacing w:after="60" w:lineRule="auto"/>
        <w:rPr/>
      </w:pPr>
      <w:r>
        <w:rPr>
          <w:b w:val="1"/>
          <w:bCs w:val="1"/>
          <w:rtl w:val="0"/>
        </w:rPr>
        <w:t xml:space="preserve">2.  Ask for wording, not only for answers. </w:t>
      </w:r>
      <w:r>
        <w:rPr>
          <w:rtl w:val="0"/>
        </w:rPr>
        <w:t xml:space="preserve">"Yes, she is a mandated reporter" leaves the Handbook section still to write. "Here is the sentence to use" closes it.</w:t>
      </w:r>
    </w:p>
    <w:p>
      <w:pPr>
        <w:ind w:left="504" w:hanging="288"/>
        <w:spacing w:after="60" w:lineRule="auto"/>
        <w:rPr/>
      </w:pPr>
      <w:r>
        <w:rPr>
          <w:b w:val="1"/>
          <w:bCs w:val="1"/>
          <w:rtl w:val="0"/>
        </w:rPr>
        <w:t xml:space="preserve">3.  Record the answers in the Legal &amp; Compliance folder </w:t>
      </w:r>
      <w:r>
        <w:rPr>
          <w:rtl w:val="0"/>
        </w:rPr>
        <w:t xml:space="preserve">(Internal Reference Sheet file structure) so the reasoning survives the conversation.</w:t>
      </w:r>
    </w:p>
    <w:p>
      <w:pPr>
        <w:ind w:left="504" w:hanging="288"/>
        <w:spacing w:after="200" w:lineRule="auto"/>
        <w:rPr/>
      </w:pPr>
      <w:r>
        <w:rPr>
          <w:b w:val="1"/>
          <w:bCs w:val="1"/>
          <w:rtl w:val="0"/>
        </w:rPr>
        <w:t xml:space="preserve">4.  Update each source section and remove its ATTORNEY REVIEW flag. </w:t>
      </w:r>
      <w:r>
        <w:rPr>
          <w:rtl w:val="0"/>
        </w:rPr>
        <w:t xml:space="preserve">An item answered here but left flagged in the Handbook will be re-asked in six months.</w:t>
      </w:r>
    </w:p>
    <w:p>
      <w:pPr>
        <w:pBdr>
          <w:top w:color="e4e9f0" w:space="8" w:sz="6" w:val="single"/>
        </w:pBdr>
        <w:spacing w:before="280" w:lineRule="auto"/>
        <w:rPr/>
      </w:pPr>
      <w:r>
        <w:rPr>
          <w:i w:val="1"/>
          <w:iCs w:val="1"/>
          <w:color w:val="6b7280"/>
          <w:sz w:val="18"/>
          <w:szCs w:val="18"/>
          <w:rtl w:val="0"/>
        </w:rPr>
        <w:t xml:space="preserve">OptiMind Educational Strategies · Internal — prepared for counsel, not legal advice in itself.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urbcUABUajsJjvQORvAyhHnfPg==">CgMxLjA4AHIhMXRRMnZXVXVDVHVWbjhmT1pzYjcycjcwVF9kbGc0enNC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