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912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cximg_440607409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color w:val="6B7280"/>
          <w:sz w:val="18"/>
        </w:rPr>
        <w:t>REFERENCE — INTERNAL CHECKLISTS</w:t>
      </w:r>
    </w:p>
    <w:p>
      <w:pPr>
        <w:pStyle w:val="Heading1"/>
      </w:pPr>
      <w:r>
        <w:rPr>
          <w:b w:val="0"/>
          <w:i w:val="0"/>
        </w:rPr>
        <w:t>Checklists</w:t>
      </w:r>
    </w:p>
    <w:p>
      <w:pPr>
        <w:spacing w:after="200"/>
      </w:pPr>
      <w:r>
        <w:rPr>
          <w:i/>
          <w:color w:val="6B7280"/>
        </w:rPr>
        <w:t>OptiMind Educational Strategies — SOP build and onboarding checklists</w:t>
      </w:r>
    </w:p>
    <w:p>
      <w:pPr>
        <w:spacing w:after="280"/>
        <w:pBdr>
          <w:top w:val="single" w:sz="6" w:space="6" w:color="E4E9F0"/>
        </w:pBdr>
      </w:pPr>
      <w:r>
        <w:rPr>
          <w:b/>
          <w:i w:val="0"/>
          <w:color w:val="6B7280"/>
          <w:sz w:val="18"/>
        </w:rPr>
        <w:t>Status</w:t>
      </w:r>
      <w:r>
        <w:rPr>
          <w:b w:val="0"/>
          <w:i w:val="0"/>
          <w:color w:val="6B7280"/>
          <w:sz w:val="18"/>
        </w:rPr>
        <w:t xml:space="preserve"> · Living document</w:t>
      </w:r>
      <w:r>
        <w:rPr>
          <w:color w:val="9CA3AF"/>
          <w:sz w:val="18"/>
        </w:rPr>
        <w:t xml:space="preserve">    |    </w:t>
      </w:r>
      <w:r>
        <w:rPr>
          <w:b/>
          <w:i w:val="0"/>
          <w:color w:val="6B7280"/>
          <w:sz w:val="18"/>
        </w:rPr>
        <w:t>Saves automatically</w:t>
      </w:r>
      <w:r>
        <w:rPr>
          <w:b w:val="0"/>
          <w:i w:val="0"/>
          <w:color w:val="6B7280"/>
          <w:sz w:val="18"/>
        </w:rPr>
        <w:t xml:space="preserve"> · Progress is kept in this browser</w:t>
      </w:r>
    </w:p>
    <w:p>
      <w:pPr>
        <w:pStyle w:val="Heading2"/>
      </w:pPr>
      <w:r>
        <w:rPr>
          <w:b w:val="0"/>
          <w:i w:val="0"/>
        </w:rPr>
        <w:t>SOP Checklist</w:t>
      </w:r>
    </w:p>
    <w:p>
      <w:r>
        <w:rPr>
          <w:b/>
        </w:rPr>
        <w:t>Minimum Viable Hire Package</w:t>
      </w:r>
    </w:p>
    <w:p>
      <w:pPr>
        <w:pStyle w:val="ListBullet"/>
      </w:pPr>
      <w:r>
        <w:t>☐ Role definition</w:t>
      </w:r>
    </w:p>
    <w:p>
      <w:pPr>
        <w:pStyle w:val="ListBullet"/>
      </w:pPr>
      <w:r>
        <w:t>☐ Client workflow written once</w:t>
      </w:r>
    </w:p>
    <w:p>
      <w:pPr>
        <w:pStyle w:val="ListBullet"/>
      </w:pPr>
      <w:r>
        <w:t>☐ Week-one schedule</w:t>
      </w:r>
    </w:p>
    <w:p>
      <w:pPr>
        <w:pStyle w:val="ListBullet"/>
      </w:pPr>
      <w:r>
        <w:t>☐ Reference sheet</w:t>
      </w:r>
    </w:p>
    <w:p>
      <w:pPr>
        <w:pStyle w:val="Heading2"/>
      </w:pPr>
      <w:r>
        <w:rPr>
          <w:b w:val="0"/>
          <w:i w:val="0"/>
        </w:rPr>
        <w:t>Onboarding Checklist</w:t>
      </w:r>
    </w:p>
    <w:p>
      <w:r>
        <w:rPr>
          <w:b/>
        </w:rPr>
        <w:t>Contracts &amp; Decisions</w:t>
      </w:r>
    </w:p>
    <w:p>
      <w:pPr>
        <w:pStyle w:val="ListBullet"/>
      </w:pPr>
      <w:r>
        <w:t>☐ Employment contracts</w:t>
      </w:r>
    </w:p>
    <w:p>
      <w:pPr>
        <w:pStyle w:val="ListBullet"/>
      </w:pPr>
      <w:r>
        <w:t>☐ Decision list</w:t>
      </w:r>
    </w:p>
    <w:p>
      <w:r>
        <w:rPr>
          <w:b/>
        </w:rPr>
        <w:t>Employment &amp; HR Paperwork</w:t>
      </w:r>
    </w:p>
    <w:p>
      <w:pPr>
        <w:pStyle w:val="ListBullet"/>
      </w:pPr>
      <w:r>
        <w:t>☐ Offer letter</w:t>
      </w:r>
    </w:p>
    <w:p>
      <w:pPr>
        <w:pStyle w:val="ListBullet"/>
      </w:pPr>
      <w:r>
        <w:t>☐ Background check completed</w:t>
      </w:r>
    </w:p>
    <w:p>
      <w:pPr>
        <w:ind w:left="720"/>
      </w:pPr>
      <w:r>
        <w:rPr>
          <w:i/>
          <w:color w:val="6B7280"/>
          <w:sz w:val="18"/>
        </w:rPr>
        <w:t>Required condition of employment — see the Offer Letter's Conditions of Employment section.</w:t>
      </w:r>
    </w:p>
    <w:p>
      <w:pPr>
        <w:pStyle w:val="ListBullet"/>
      </w:pPr>
      <w:r>
        <w:t>☐ Employment agreement</w:t>
      </w:r>
    </w:p>
    <w:p>
      <w:pPr>
        <w:pStyle w:val="ListBullet"/>
      </w:pPr>
      <w:r>
        <w:t>☐ Confidentiality / NDA</w:t>
      </w:r>
    </w:p>
    <w:p>
      <w:pPr>
        <w:pStyle w:val="ListBullet"/>
      </w:pPr>
      <w:r>
        <w:t>☐ IP assignment</w:t>
      </w:r>
    </w:p>
    <w:p>
      <w:pPr>
        <w:ind w:left="720"/>
      </w:pPr>
      <w:r>
        <w:rPr>
          <w:i/>
          <w:color w:val="6B7280"/>
          <w:sz w:val="18"/>
        </w:rPr>
        <w:t>Covered as a clause inside the Employment Agreement, not a standalone document.</w:t>
      </w:r>
    </w:p>
    <w:p>
      <w:pPr>
        <w:pStyle w:val="ListBullet"/>
      </w:pPr>
      <w:r>
        <w:t>☐ Non-solicit agreement</w:t>
      </w:r>
    </w:p>
    <w:p>
      <w:pPr>
        <w:ind w:left="720"/>
      </w:pPr>
      <w:r>
        <w:rPr>
          <w:i/>
          <w:color w:val="6B7280"/>
          <w:sz w:val="18"/>
        </w:rPr>
        <w:t>Covered as a clause inside the Employment Agreement, not a standalone document.</w:t>
      </w:r>
    </w:p>
    <w:p>
      <w:pPr>
        <w:pStyle w:val="ListBullet"/>
      </w:pPr>
      <w:r>
        <w:t>☐ Non-compete (attorney-reviewed)</w:t>
      </w:r>
    </w:p>
    <w:p>
      <w:pPr>
        <w:ind w:left="720"/>
      </w:pPr>
      <w:r>
        <w:rPr>
          <w:i/>
          <w:color w:val="6B7280"/>
          <w:sz w:val="18"/>
        </w:rPr>
        <w:t>Drafted as a clause inside the Employment Agreement — still needs actual attorney review before use.</w:t>
      </w:r>
    </w:p>
    <w:p>
      <w:pPr>
        <w:pStyle w:val="ListBullet"/>
      </w:pPr>
      <w:r>
        <w:t>☐ Employee handbook</w:t>
      </w:r>
    </w:p>
    <w:p>
      <w:pPr>
        <w:pStyle w:val="ListBullet"/>
      </w:pPr>
      <w:r>
        <w:t>☐ Data-handling policy acknowledgment</w:t>
      </w:r>
    </w:p>
    <w:p>
      <w:pPr>
        <w:pStyle w:val="ListBullet"/>
      </w:pPr>
      <w:r>
        <w:t>☐ Form I-9</w:t>
      </w:r>
    </w:p>
    <w:p>
      <w:pPr>
        <w:ind w:left="720"/>
      </w:pPr>
      <w:r>
        <w:rPr>
          <w:i/>
          <w:color w:val="6B7280"/>
          <w:sz w:val="18"/>
        </w:rPr>
        <w:t>Official USCIS form — sourced from the government, not drafted in-house.</w:t>
      </w:r>
    </w:p>
    <w:p>
      <w:pPr>
        <w:pStyle w:val="ListBullet"/>
      </w:pPr>
      <w:r>
        <w:t>☐ Form W-4</w:t>
      </w:r>
    </w:p>
    <w:p>
      <w:pPr>
        <w:ind w:left="720"/>
      </w:pPr>
      <w:r>
        <w:rPr>
          <w:i/>
          <w:color w:val="6B7280"/>
          <w:sz w:val="18"/>
        </w:rPr>
        <w:t>Official IRS form — sourced from the government, not drafted in-house.</w:t>
      </w:r>
    </w:p>
    <w:p>
      <w:pPr>
        <w:pStyle w:val="ListBullet"/>
      </w:pPr>
      <w:r>
        <w:t>☐ State new-hire reporting</w:t>
      </w:r>
    </w:p>
    <w:p>
      <w:pPr>
        <w:ind w:left="720"/>
      </w:pPr>
      <w:r>
        <w:rPr>
          <w:i/>
          <w:color w:val="6B7280"/>
          <w:sz w:val="18"/>
        </w:rPr>
        <w:t>A compliance action with your CPA/payroll provider, not a drafted document.</w:t>
      </w:r>
    </w:p>
    <w:p>
      <w:pPr>
        <w:pStyle w:val="ListBullet"/>
      </w:pPr>
      <w:r>
        <w:t>☐ Workers' comp coverage confirmed</w:t>
      </w:r>
    </w:p>
    <w:p>
      <w:pPr>
        <w:ind w:left="720"/>
      </w:pPr>
      <w:r>
        <w:rPr>
          <w:i/>
          <w:color w:val="6B7280"/>
          <w:sz w:val="18"/>
        </w:rPr>
        <w:t>A compliance action with your CPA, not a drafted document.</w:t>
      </w:r>
    </w:p>
    <w:p>
      <w:pPr>
        <w:pStyle w:val="ListBullet"/>
      </w:pPr>
      <w:r>
        <w:t>☐ Unemployment insurance registration</w:t>
      </w:r>
    </w:p>
    <w:p>
      <w:pPr>
        <w:ind w:left="720"/>
      </w:pPr>
      <w:r>
        <w:rPr>
          <w:i/>
          <w:color w:val="6B7280"/>
          <w:sz w:val="18"/>
        </w:rPr>
        <w:t>A compliance action with your CPA, not a drafted document.</w:t>
      </w:r>
    </w:p>
    <w:p>
      <w:pPr>
        <w:pStyle w:val="ListBullet"/>
      </w:pPr>
      <w:r>
        <w:t>☐ Direct deposit / payroll setup form</w:t>
      </w:r>
    </w:p>
    <w:p>
      <w:pPr>
        <w:ind w:left="720"/>
      </w:pPr>
      <w:r>
        <w:rPr>
          <w:i/>
          <w:color w:val="6B7280"/>
          <w:sz w:val="18"/>
        </w:rPr>
        <w:t>Provided by whichever payroll provider is chosen, not drafted in-house.</w:t>
      </w:r>
    </w:p>
    <w:p>
      <w:pPr>
        <w:spacing w:before="360"/>
        <w:pBdr>
          <w:top w:val="single" w:sz="6" w:space="6" w:color="E4E9F0"/>
        </w:pBdr>
      </w:pPr>
      <w:r>
        <w:rPr>
          <w:i/>
          <w:color w:val="9CA3AF"/>
          <w:sz w:val="18"/>
        </w:rPr>
        <w:t>OptiMind Educational Strategies · Internal SOP — not for client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