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2286000" cy="91294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12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b w:val="0"/>
          <w:bCs w:val="0"/>
          <w:rtl w:val="0"/>
        </w:rPr>
        <w:t xml:space="preserve">Employee Reference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OptiMind Educational Strategies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e4e9f0" w:space="6" w:sz="6" w:val="single"/>
        </w:pBdr>
        <w:spacing w:after="280" w:lineRule="auto"/>
        <w:rPr/>
      </w:pP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Applies to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New EF Specialist hire</w:t>
      </w:r>
      <w:r w:rsidDel="00000000" w:rsidR="00000000" w:rsidRPr="00000000">
        <w:rPr>
          <w:color w:val="9ca3af"/>
          <w:sz w:val="18"/>
          <w:szCs w:val="18"/>
          <w:rtl w:val="0"/>
        </w:rPr>
        <w:t xml:space="preserve">    |    </w:t>
      </w: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Status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Draft</w:t>
      </w:r>
      <w:r w:rsidDel="00000000" w:rsidR="00000000" w:rsidRPr="00000000">
        <w:rPr>
          <w:color w:val="9ca3af"/>
          <w:sz w:val="18"/>
          <w:szCs w:val="18"/>
          <w:rtl w:val="0"/>
        </w:rPr>
        <w:t xml:space="preserve">    |    </w:t>
      </w:r>
      <w:r w:rsidDel="00000000" w:rsidR="00000000" w:rsidRPr="00000000">
        <w:rPr>
          <w:b w:val="1"/>
          <w:bCs w:val="1"/>
          <w:color w:val="6b7280"/>
          <w:sz w:val="18"/>
          <w:szCs w:val="18"/>
          <w:rtl w:val="0"/>
        </w:rPr>
        <w:t xml:space="preserve">Last updated</w:t>
      </w:r>
      <w:r w:rsidDel="00000000" w:rsidR="00000000" w:rsidRPr="00000000">
        <w:rPr>
          <w:color w:val="6b7280"/>
          <w:sz w:val="18"/>
          <w:szCs w:val="18"/>
          <w:rtl w:val="0"/>
        </w:rPr>
        <w:t xml:space="preserve"> · Aug 31,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day-to-day quick reference — where to find forms, which tools are in use today, who to contact, and what to know about data handling.</w:t>
      </w:r>
    </w:p>
    <w:p w:rsidR="00000000" w:rsidDel="00000000" w:rsidP="00000000" w:rsidRDefault="00000000" w:rsidRPr="00000000" w14:paraId="00000007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Current Tools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Scheduling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Calendly, Zoom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agreements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PandaDoc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Legacy intake forms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JotForms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Session notetaking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Zoom AI Notes — in use today. A replacement AI notetaker is still to be selected; training repeats when it changes.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 file storage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Google Drive, shared by link — moving to OptiMind's operational database/dashboard once it is built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Company email / calendar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pPr>
              <w:rPr/>
            </w:pPr>
            <w:r>
              <w:rPr>
                <w:rtl w:val="0"/>
              </w:rPr>
              <w:t xml:space="preserve">Google Workspace — firstname@optimind-es.com; work calendar shared with Sarah</w:t>
            </w:r>
          </w:p>
        </w:tc>
      </w:tr>
    </w:tbl>
    <w:p>
      <w:pPr>
        <w:pStyle w:val="Heading2"/>
        <w:rPr/>
      </w:pPr>
      <w:r>
        <w:rPr>
          <w:rtl w:val="0"/>
        </w:rPr>
        <w:t xml:space="preserve"/>
      </w:r>
      <w:r>
        <w:rPr>
          <w:b w:val="0"/>
          <w:bCs w:val="0"/>
          <w:rtl w:val="0"/>
        </w:rPr>
        <w:t xml:space="preserve">Company Email &amp; Phone</w:t>
      </w:r>
    </w:p>
    <w:p>
      <w:pPr>
        <w:rPr/>
      </w:pPr>
      <w:r>
        <w:rPr>
          <w:b w:val="1"/>
          <w:bCs w:val="1"/>
          <w:rtl w:val="0"/>
        </w:rPr>
        <w:t xml:space="preserve">Company email: firstname@optimind-es.com</w:t>
      </w:r>
      <w:r>
        <w:rPr>
          <w:rtl w:val="0"/>
        </w:rPr>
        <w:t xml:space="preserve"> — provisioned by Sarah before day one. Every client email goes through it. Personal email is never used for client contact, with no exceptions.</w:t>
      </w:r>
    </w:p>
    <w:p>
      <w:pPr>
        <w:rPr/>
      </w:pPr>
      <w:r>
        <w:rPr>
          <w:b w:val="1"/>
          <w:bCs w:val="1"/>
          <w:rtl w:val="0"/>
        </w:rPr>
        <w:t xml:space="preserve">Company phone line: not yet set up. </w:t>
      </w:r>
      <w:r>
        <w:rPr>
          <w:rtl w:val="0"/>
        </w:rPr>
        <w:t xml:space="preserve">Until a dedicated business line exists, client phone contact routes through Sarah. Never use a personal phone number with a client, parent, school, or provider.</w:t>
      </w:r>
    </w:p>
    <w:p>
      <w:pPr>
        <w:pStyle w:val="Heading2"/>
        <w:rPr/>
      </w:pPr>
      <w:r>
        <w:rPr>
          <w:rtl w:val="0"/>
        </w:rPr>
        <w:t xml:space="preserve"/>
      </w:r>
      <w:r>
        <w:rPr>
          <w:b w:val="0"/>
          <w:bCs w:val="0"/>
          <w:rtl w:val="0"/>
        </w:rPr>
        <w:t xml:space="preserve">Response Times</w:t>
      </w:r>
    </w:p>
    <w:p>
      <w:pPr>
        <w:rPr/>
      </w:pPr>
      <w:r>
        <w:rPr>
          <w:b w:val="1"/>
          <w:bCs w:val="1"/>
          <w:rtl w:val="0"/>
        </w:rPr>
        <w:t xml:space="preserve">Client messages: within 24 hours.</w:t>
      </w:r>
      <w:r>
        <w:rPr>
          <w:rtl w:val="0"/>
        </w:rPr>
        <w:t xml:space="preserve"> That is the standard for email and text.</w:t>
      </w:r>
    </w:p>
    <w:p>
      <w:pPr>
        <w:rPr/>
      </w:pPr>
      <w:r>
        <w:rPr>
          <w:b w:val="1"/>
          <w:bCs w:val="1"/>
          <w:rtl w:val="0"/>
        </w:rPr>
        <w:t xml:space="preserve">No client email on weekends. </w:t>
      </w:r>
      <w:r>
        <w:rPr>
          <w:rtl w:val="0"/>
        </w:rPr>
        <w:t xml:space="preserve">Messages that arrive Friday evening or over the weekend are answered on the next business day. This is deliberate and applies to everyone — it is not something to work around.</w:t>
      </w:r>
    </w:p>
    <w:p>
      <w:pPr>
        <w:rPr/>
      </w:pPr>
      <w:r>
        <w:rPr>
          <w:b w:val="1"/>
          <w:bCs w:val="1"/>
          <w:rtl w:val="0"/>
        </w:rPr>
        <w:t xml:space="preserve">Safety matters are the only exception </w:t>
      </w:r>
      <w:r>
        <w:rPr>
          <w:rtl w:val="0"/>
        </w:rPr>
        <w:t xml:space="preserve">— any hour, any day. See the next section.</w:t>
      </w:r>
    </w:p>
    <w:p>
      <w:pPr>
        <w:pStyle w:val="Heading2"/>
        <w:rPr/>
      </w:pPr>
      <w:r>
        <w:rPr>
          <w:rtl w:val="0"/>
        </w:rPr>
        <w:t xml:space="preserve"/>
      </w:r>
      <w:r>
        <w:rPr>
          <w:b w:val="0"/>
          <w:bCs w:val="0"/>
          <w:rtl w:val="0"/>
        </w:rPr>
        <w:t xml:space="preserve">Safety &amp; Mental-Health Concerns — Quick Reference</w:t>
      </w:r>
    </w:p>
    <w:p>
      <w:pPr>
        <w:rPr/>
      </w:pPr>
      <w:r>
        <w:rPr>
          <w:rtl w:val="0"/>
        </w:rPr>
        <w:t xml:space="preserve">Full protocol: Employee Handbook, Section 10. This is the short version to have at hand during a session.</w:t>
      </w:r>
    </w:p>
    <w:p>
      <w:pPr>
        <w:spacing w:before="200" w:lineRule="auto"/>
        <w:rPr/>
      </w:pPr>
      <w:r>
        <w:rPr>
          <w:b w:val="1"/>
          <w:bCs w:val="1"/>
          <w:rtl w:val="0"/>
        </w:rPr>
        <w:t xml:space="preserve">Immediate emergency — the client is actively harming themselves, or you witness a dangerous situation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1.  Call 911. </w:t>
      </w:r>
      <w:r>
        <w:rPr>
          <w:rtl w:val="0"/>
        </w:rPr>
        <w:t xml:space="preserve">You have standing authority to do this without waiting for Sarah. Do not leave the client alone or end the call.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2.  If the client is a student or a minor, call the parent or guardian immediately </w:t>
      </w:r>
      <w:r>
        <w:rPr>
          <w:rtl w:val="0"/>
        </w:rPr>
        <w:t xml:space="preserve">after 911.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3.  Notify Sarah </w:t>
      </w:r>
      <w:r>
        <w:rPr>
          <w:rtl w:val="0"/>
        </w:rPr>
        <w:t xml:space="preserve">as soon as the immediate danger is addressed.</w:t>
      </w:r>
    </w:p>
    <w:p>
      <w:pPr>
        <w:ind w:left="504" w:hanging="288"/>
        <w:spacing w:after="200" w:lineRule="auto"/>
        <w:rPr/>
      </w:pPr>
      <w:r>
        <w:rPr>
          <w:b w:val="1"/>
          <w:bCs w:val="1"/>
          <w:rtl w:val="0"/>
        </w:rPr>
        <w:t xml:space="preserve">4.  Send a written summary the same day </w:t>
      </w:r>
      <w:r>
        <w:rPr>
          <w:rtl w:val="0"/>
        </w:rPr>
        <w:t xml:space="preserve">to the parent or guardian and Sarah.</w:t>
      </w:r>
    </w:p>
    <w:p>
      <w:pPr>
        <w:spacing w:before="200" w:lineRule="auto"/>
        <w:rPr/>
      </w:pPr>
      <w:r>
        <w:rPr>
          <w:b w:val="1"/>
          <w:bCs w:val="1"/>
          <w:rtl w:val="0"/>
        </w:rPr>
        <w:t xml:space="preserve">A concern, but no immediate danger — mental health comes up, or something worries you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1.  Call the parent or guardian immediately.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2.  Follow up with Sarah </w:t>
      </w:r>
      <w:r>
        <w:rPr>
          <w:rtl w:val="0"/>
        </w:rPr>
        <w:t xml:space="preserve">right after that call.</w:t>
      </w:r>
    </w:p>
    <w:p>
      <w:pPr>
        <w:ind w:left="504" w:hanging="288"/>
        <w:spacing w:after="60" w:lineRule="auto"/>
        <w:rPr/>
      </w:pPr>
      <w:r>
        <w:rPr>
          <w:b w:val="1"/>
          <w:bCs w:val="1"/>
          <w:rtl w:val="0"/>
        </w:rPr>
        <w:t xml:space="preserve">3.  Send a written summary the same day </w:t>
      </w:r>
      <w:r>
        <w:rPr>
          <w:rtl w:val="0"/>
        </w:rPr>
        <w:t xml:space="preserve">to the parent or guardian and Sarah.</w:t>
      </w:r>
    </w:p>
    <w:p>
      <w:pPr>
        <w:ind w:left="504" w:hanging="288"/>
        <w:spacing w:after="200" w:lineRule="auto"/>
        <w:rPr/>
      </w:pPr>
      <w:r>
        <w:rPr>
          <w:b w:val="1"/>
          <w:bCs w:val="1"/>
          <w:rtl w:val="0"/>
        </w:rPr>
        <w:t xml:space="preserve">4.  If the client has a therapist, email the therapist </w:t>
      </w:r>
      <w:r>
        <w:rPr>
          <w:rtl w:val="0"/>
        </w:rPr>
        <w:t xml:space="preserve">so they can address it too.</w:t>
      </w:r>
    </w:p>
    <w:p>
      <w:pPr>
        <w:rPr/>
      </w:pPr>
      <w:r>
        <w:rPr>
          <w:b w:val="1"/>
          <w:bCs w:val="1"/>
          <w:rtl w:val="0"/>
        </w:rPr>
        <w:t xml:space="preserve">Write the summary factually: </w:t>
      </w:r>
      <w:r>
        <w:rPr>
          <w:rtl w:val="0"/>
        </w:rPr>
        <w:t xml:space="preserve">what was said or observed, when, what you did, and who you contacted. That email is the record — it is what protects the client, the practice, and you.</w:t>
      </w:r>
    </w:p>
    <w:p>
      <w:pPr>
        <w:pStyle w:val="Heading2"/>
        <w:rPr/>
      </w:pPr>
      <w:r>
        <w:rPr>
          <w:rtl w:val="0"/>
        </w:rPr>
        <w:t xml:space="preserve"/>
      </w:r>
      <w:r>
        <w:rPr>
          <w:b w:val="0"/>
          <w:bCs w:val="0"/>
          <w:rtl w:val="0"/>
        </w:rPr>
        <w:t xml:space="preserve">Flagging Advocacy or College-Counseling Needs</w:t>
      </w:r>
    </w:p>
    <w:p>
      <w:pPr>
        <w:rPr/>
      </w:pPr>
      <w:r>
        <w:rPr>
          <w:rtl w:val="0"/>
        </w:rPr>
        <w:t xml:space="preserve">Your job is to identify and flag. Sarah does the advocacy and college-counseling work, and she decides what is offered and what it costs. Full detail: Handbook Section 9.</w:t>
      </w:r>
    </w:p>
    <w:p>
      <w:pPr>
        <w:rPr/>
      </w:pPr>
      <w:r>
        <w:rPr>
          <w:b w:val="1"/>
          <w:bCs w:val="1"/>
          <w:rtl w:val="0"/>
        </w:rPr>
        <w:t xml:space="preserve">High-school juniors and seniors: </w:t>
      </w:r>
      <w:r>
        <w:rPr>
          <w:rtl w:val="0"/>
        </w:rPr>
        <w:t xml:space="preserve">ask once whether they are already working with someone for college counseling, and record the answer.</w:t>
      </w:r>
    </w:p>
    <w:p>
      <w:pPr>
        <w:rPr/>
      </w:pPr>
      <w:r>
        <w:rPr>
          <w:b w:val="1"/>
          <w:bCs w:val="1"/>
          <w:rtl w:val="0"/>
        </w:rPr>
        <w:t xml:space="preserve">Existing clients: </w:t>
      </w:r>
      <w:r>
        <w:rPr>
          <w:rtl w:val="0"/>
        </w:rPr>
        <w:t xml:space="preserve">flag a change in the school picture — a new or upcoming IEP or 504 meeting, a dispute with the school, a change in supports, a placement change.</w:t>
      </w:r>
    </w:p>
    <w:p>
      <w:pPr>
        <w:rPr/>
      </w:pPr>
      <w:r>
        <w:rPr>
          <w:b w:val="1"/>
          <w:bCs w:val="1"/>
          <w:rtl w:val="0"/>
        </w:rPr>
        <w:t xml:space="preserve">New clients: </w:t>
      </w:r>
      <w:r>
        <w:rPr>
          <w:rtl w:val="0"/>
        </w:rPr>
        <w:t xml:space="preserve">not yours to ask. Sarah covers this at intake.</w:t>
      </w:r>
    </w:p>
    <w:p>
      <w:pPr>
        <w:rPr/>
      </w:pPr>
      <w:r>
        <w:rPr>
          <w:b w:val="1"/>
          <w:bCs w:val="1"/>
          <w:rtl w:val="0"/>
        </w:rPr>
        <w:t xml:space="preserve">How to tell Sarah: </w:t>
      </w:r>
      <w:r>
        <w:rPr>
          <w:rtl w:val="0"/>
        </w:rPr>
        <w:t xml:space="preserve">email or the weekly one-to-one. Anything with a date attached — a scheduled IEP meeting, an application deadline — goes by email the same day.</w:t>
      </w:r>
    </w:p>
    <w:p>
      <w:pPr>
        <w:pStyle w:val="Heading2"/>
        <w:rPr/>
      </w:pPr>
      <w:r>
        <w:rPr>
          <w:rtl w:val="0"/>
        </w:rPr>
        <w:t xml:space="preserve"/>
      </w:r>
      <w:r>
        <w:rPr>
          <w:b w:val="0"/>
          <w:bCs w:val="0"/>
          <w:rtl w:val="0"/>
        </w:rPr>
        <w:t xml:space="preserve">When a Client Asks to Pause or Cancel</w:t>
      </w:r>
    </w:p>
    <w:p>
      <w:pPr>
        <w:rPr/>
      </w:pPr>
      <w:r>
        <w:rPr>
          <w:b w:val="1"/>
          <w:bCs w:val="1"/>
          <w:rtl w:val="0"/>
        </w:rPr>
        <w:t xml:space="preserve">Email Sarah immediately with the subject line </w:t>
      </w:r>
      <w:r>
        <w:rPr>
          <w:b w:val="1"/>
          <w:bCs w:val="1"/>
          <w:rtl w:val="0"/>
        </w:rPr>
        <w:t xml:space="preserve">CLIENTS REQUEST TO CANCEL OR PAUSE</w:t>
      </w:r>
      <w:r>
        <w:rPr>
          <w:rtl w:val="0"/>
        </w:rPr>
        <w:t xml:space="preserve">. Do not confirm the pause or cancellation with the client first — Sarah meets with them to understand what is behind it.</w:t>
      </w:r>
    </w:p>
    <w:p>
      <w:pPr>
        <w:rPr/>
      </w:pPr>
      <w:r>
        <w:rPr>
          <w:rtl w:val="0"/>
        </w:rPr>
        <w:t xml:space="preserve">A routine single-session reschedule inside the agreed cadence is not this; that is yours to handle, and it is logged per the section below.</w:t>
      </w:r>
    </w:p>
    <w:p w:rsidR="00000000" w:rsidDel="00000000" w:rsidP="00000000" w:rsidRDefault="00000000" w:rsidRPr="00000000" w14:paraId="00000016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Cancellation &amp; No-Show Tracking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Early cancellations, late cancellations, and reschedules are logged as separate, distinct outcomes — not lumped into one "cancelled" bucket. See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No-Show &amp; Cancellation Policy</w:t>
        </w:r>
      </w:hyperlink>
      <w:r w:rsidDel="00000000" w:rsidR="00000000" w:rsidRPr="00000000">
        <w:rPr>
          <w:rtl w:val="0"/>
        </w:rPr>
        <w:t xml:space="preserve"> for the full protocol and billing terms.</w:t>
      </w:r>
    </w:p>
    <w:p w:rsidR="00000000" w:rsidDel="00000000" w:rsidP="00000000" w:rsidRDefault="00000000" w:rsidRPr="00000000" w14:paraId="00000018">
      <w:pPr>
        <w:pStyle w:val="Heading2"/>
        <w:rPr/>
      </w:pPr>
      <w:r w:rsidDel="00000000" w:rsidR="00000000" w:rsidRPr="00000000">
        <w:rPr>
          <w:b w:val="0"/>
          <w:bCs w:val="0"/>
          <w:rtl w:val="0"/>
        </w:rPr>
        <w:t xml:space="preserve">Key Contacts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1f5f9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1f5f9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Sarah Ritter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Founder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Gemini Lane, Consultant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Ruby Groves (ruby.groves@gemini-lane.com)</w:t>
            </w:r>
          </w:p>
        </w:tc>
      </w:tr>
    </w:tbl>
    <w:p w:rsidR="00000000" w:rsidDel="00000000" w:rsidP="00000000" w:rsidRDefault="00000000" w:rsidRPr="00000000" w14:paraId="0000001F">
      <w:pPr>
        <w:pBdr>
          <w:top w:color="e4e9f0" w:space="6" w:sz="6" w:val="single"/>
        </w:pBdr>
        <w:spacing w:before="360" w:lineRule="auto"/>
        <w:rPr/>
      </w:pPr>
      <w:r w:rsidDel="00000000" w:rsidR="00000000" w:rsidRPr="00000000">
        <w:rPr>
          <w:i w:val="1"/>
          <w:iCs w:val="1"/>
          <w:color w:val="9ca3af"/>
          <w:sz w:val="18"/>
          <w:szCs w:val="18"/>
          <w:rtl w:val="0"/>
        </w:rPr>
        <w:t xml:space="preserve">OptiMind Educational Strategies · Internal SOP — not for client distribution.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document/u/1/d/1S3qoG3ciDFd50hpZEMX_jgtO_uMqKZjP/ed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D2UFqYCYzpWP7ei8YG+NkpF6mQ==">CgMxLjA4AHIhMVAxZDlaMV9LcmtMYWNYeDFOMTQyZUV1VkVaSEp4N0E5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