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D989D8" w14:textId="77777777" w:rsidR="00536CC3" w:rsidRDefault="00000000">
      <w:r>
        <w:rPr>
          <w:noProof/>
        </w:rPr>
        <w:drawing>
          <wp:inline distT="0" distB="0" distL="0" distR="0" wp14:anchorId="67A03877" wp14:editId="08A31BE7">
            <wp:extent cx="2286000" cy="912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ocximg_4395147216_1.png"/>
                    <pic:cNvPicPr/>
                  </pic:nvPicPr>
                  <pic:blipFill>
                    <a:blip r:embed="rId6"/>
                    <a:stretch>
                      <a:fillRect/>
                    </a:stretch>
                  </pic:blipFill>
                  <pic:spPr>
                    <a:xfrm>
                      <a:off x="0" y="0"/>
                      <a:ext cx="2286000" cy="912940"/>
                    </a:xfrm>
                    <a:prstGeom prst="rect">
                      <a:avLst/>
                    </a:prstGeom>
                  </pic:spPr>
                </pic:pic>
              </a:graphicData>
            </a:graphic>
          </wp:inline>
        </w:drawing>
      </w:r>
    </w:p>
    <w:p w14:paraId="4C8A2758" w14:textId="77777777" w:rsidR="00536CC3" w:rsidRDefault="00000000">
      <w:pPr>
        <w:spacing w:after="80"/>
      </w:pPr>
      <w:r>
        <w:rPr>
          <w:b/>
          <w:color w:val="6B7280"/>
          <w:sz w:val="18"/>
        </w:rPr>
        <w:t>INTERNAL — SARAH ONLY</w:t>
      </w:r>
    </w:p>
    <w:p w14:paraId="6B1428D1" w14:textId="77777777" w:rsidR="00536CC3" w:rsidRDefault="00000000">
      <w:pPr>
        <w:pStyle w:val="Heading1"/>
      </w:pPr>
      <w:r>
        <w:rPr>
          <w:b w:val="0"/>
        </w:rPr>
        <w:t>Internal Reference Sheet</w:t>
      </w:r>
    </w:p>
    <w:p w14:paraId="7F6ECF8F" w14:textId="04ED6CCA" w:rsidR="00536CC3" w:rsidRDefault="00000000">
      <w:proofErr w:type="spellStart"/>
      <w:r>
        <w:rPr>
          <w:i/>
          <w:color w:val="6B7280"/>
        </w:rPr>
        <w:t>OptiMind</w:t>
      </w:r>
      <w:proofErr w:type="spellEnd"/>
      <w:r>
        <w:rPr>
          <w:i/>
          <w:color w:val="6B7280"/>
        </w:rPr>
        <w:t xml:space="preserve"> Educational Strategies</w:t>
      </w:r>
    </w:p>
    <w:p w14:paraId="591DA7E5" w14:textId="77777777" w:rsidR="00536CC3" w:rsidRDefault="00000000">
      <w:pPr>
        <w:pBdr>
          <w:top w:val="single" w:sz="6" w:space="6" w:color="E4E9F0"/>
        </w:pBdr>
        <w:spacing w:after="280"/>
      </w:pPr>
      <w:r>
        <w:rPr>
          <w:b/>
          <w:color w:val="6B7280"/>
          <w:sz w:val="18"/>
        </w:rPr>
        <w:t>Applies to</w:t>
      </w:r>
      <w:r>
        <w:rPr>
          <w:color w:val="6B7280"/>
          <w:sz w:val="18"/>
        </w:rPr>
        <w:t xml:space="preserve"> · Sarah only — not for the specialist</w:t>
      </w:r>
      <w:r>
        <w:rPr>
          <w:color w:val="9CA3AF"/>
          <w:sz w:val="18"/>
        </w:rPr>
        <w:t xml:space="preserve">    |    </w:t>
      </w:r>
      <w:r>
        <w:rPr>
          <w:b/>
          <w:color w:val="6B7280"/>
          <w:sz w:val="18"/>
        </w:rPr>
        <w:t>Status</w:t>
      </w:r>
      <w:r>
        <w:rPr>
          <w:color w:val="6B7280"/>
          <w:sz w:val="18"/>
        </w:rPr>
        <w:t xml:space="preserve"> · Draft</w:t>
      </w:r>
      <w:r>
        <w:rPr>
          <w:color w:val="9CA3AF"/>
          <w:sz w:val="18"/>
        </w:rPr>
        <w:t xml:space="preserve">    |    </w:t>
      </w:r>
      <w:r>
        <w:rPr>
          <w:b/>
          <w:color w:val="6B7280"/>
          <w:sz w:val="18"/>
        </w:rPr>
        <w:t>Last updated</w:t>
      </w:r>
      <w:r>
        <w:rPr>
          <w:color w:val="6B7280"/>
          <w:sz w:val="18"/>
        </w:rPr>
        <w:t xml:space="preserve"> · Aug 31, 2026</w:t>
      </w:r>
    </w:p>
    <w:p w14:paraId="61BEDB46" w14:textId="77777777" w:rsidR="00536CC3" w:rsidRDefault="00000000">
      <w:pPr>
        <w:pBdr>
          <w:left w:val="single" w:sz="18" w:space="8" w:color="EF4444"/>
        </w:pBdr>
        <w:shd w:val="clear" w:color="auto" w:fill="FEF2F2"/>
        <w:spacing w:before="200"/>
      </w:pPr>
      <w:r>
        <w:rPr>
          <w:b/>
        </w:rPr>
        <w:t>Not for employee distribution.</w:t>
      </w:r>
      <w:r>
        <w:t xml:space="preserve"> This version carries financial tools, external contacts, and business-development details the specialist doesn't need day to day. The </w:t>
      </w:r>
      <w:r>
        <w:rPr>
          <w:color w:val="1D4ED8"/>
        </w:rPr>
        <w:t>Employee Reference Sheet</w:t>
      </w:r>
      <w:r>
        <w:t xml:space="preserve"> is the trimmed version that gets handed over during onboarding.</w:t>
      </w:r>
    </w:p>
    <w:p w14:paraId="71EEF986" w14:textId="77777777" w:rsidR="00536CC3" w:rsidRDefault="00000000">
      <w:pPr>
        <w:pStyle w:val="Heading2"/>
      </w:pPr>
      <w:r>
        <w:rPr>
          <w:b w:val="0"/>
        </w:rPr>
        <w:t>Overview</w:t>
      </w:r>
    </w:p>
    <w:p w14:paraId="77E77580" w14:textId="77777777" w:rsidR="00536CC3" w:rsidRDefault="00000000">
      <w:r>
        <w:t>A day-to-day quick reference — where to find forms, which tools are in use today, who to contact, and what to know about data handling.</w:t>
      </w:r>
    </w:p>
    <w:p w14:paraId="05939807" w14:textId="77777777" w:rsidR="00536CC3" w:rsidRDefault="00000000">
      <w:pPr>
        <w:pStyle w:val="Heading2"/>
      </w:pPr>
      <w:r>
        <w:rPr>
          <w:b w:val="0"/>
        </w:rPr>
        <w:t>Current Tools</w:t>
      </w:r>
    </w:p>
    <w:p w14:paraId="0A3C0702" w14:textId="77777777" w:rsidR="00536CC3" w:rsidRDefault="00000000">
      <w:r>
        <w:t>The practice-management platform decision (Sprint 03) hasn't landed yet — this is what's actually in use right now.</w:t>
      </w:r>
    </w:p>
    <w:tbl>
      <w:tblPr>
        <w:tblStyle w:val="TableGrid"/>
        <w:tblW w:w="0" w:type="auto"/>
        <w:tblLook w:val="04A0" w:firstRow="1" w:lastRow="0" w:firstColumn="1" w:lastColumn="0" w:noHBand="0" w:noVBand="1"/>
      </w:tblPr>
      <w:tblGrid>
        <w:gridCol w:w="4680"/>
        <w:gridCol w:w="4680"/>
      </w:tblGrid>
      <w:tr w:rsidR="00536CC3" w14:paraId="1EDAA441" w14:textId="77777777">
        <w:tc>
          <w:tcPr>
            <w:tcW w:w="4680" w:type="dxa"/>
            <w:shd w:val="clear" w:color="auto" w:fill="F1F5F9"/>
          </w:tcPr>
          <w:p w14:paraId="3BE58FA0" w14:textId="77777777" w:rsidR="00536CC3" w:rsidRDefault="00000000">
            <w:r>
              <w:rPr>
                <w:b/>
              </w:rPr>
              <w:t>Need</w:t>
            </w:r>
          </w:p>
        </w:tc>
        <w:tc>
          <w:tcPr>
            <w:tcW w:w="4680" w:type="dxa"/>
            <w:shd w:val="clear" w:color="auto" w:fill="F1F5F9"/>
          </w:tcPr>
          <w:p w14:paraId="70C3B3EE" w14:textId="77777777" w:rsidR="00536CC3" w:rsidRDefault="00000000">
            <w:r>
              <w:rPr>
                <w:b/>
              </w:rPr>
              <w:t>Tool</w:t>
            </w:r>
          </w:p>
        </w:tc>
      </w:tr>
      <w:tr w:rsidR="00536CC3" w14:paraId="64016FA0" w14:textId="77777777">
        <w:tc>
          <w:tcPr>
            <w:tcW w:w="4680" w:type="dxa"/>
          </w:tcPr>
          <w:p w14:paraId="44DC0F94" w14:textId="77777777" w:rsidR="00536CC3" w:rsidRDefault="00000000">
            <w:r>
              <w:rPr>
                <w:b/>
              </w:rPr>
              <w:t>Scheduling</w:t>
            </w:r>
          </w:p>
        </w:tc>
        <w:tc>
          <w:tcPr>
            <w:tcW w:w="4680" w:type="dxa"/>
          </w:tcPr>
          <w:p w14:paraId="494E82EC" w14:textId="77777777" w:rsidR="00536CC3" w:rsidRDefault="00000000">
            <w:r>
              <w:t>Calendly, Zoom</w:t>
            </w:r>
          </w:p>
        </w:tc>
      </w:tr>
      <w:tr w:rsidR="00536CC3" w14:paraId="15582634" w14:textId="77777777">
        <w:tc>
          <w:tcPr>
            <w:tcW w:w="4680" w:type="dxa"/>
          </w:tcPr>
          <w:p w14:paraId="26242970" w14:textId="77777777" w:rsidR="00536CC3" w:rsidRDefault="00000000">
            <w:r>
              <w:rPr>
                <w:b/>
              </w:rPr>
              <w:t>Client agreements</w:t>
            </w:r>
          </w:p>
        </w:tc>
        <w:tc>
          <w:tcPr>
            <w:tcW w:w="4680" w:type="dxa"/>
          </w:tcPr>
          <w:p w14:paraId="54567F22" w14:textId="77777777" w:rsidR="00536CC3" w:rsidRDefault="00000000">
            <w:r>
              <w:t>PandaDoc</w:t>
            </w:r>
          </w:p>
        </w:tc>
      </w:tr>
      <w:tr w:rsidR="00536CC3" w14:paraId="41820B96" w14:textId="77777777">
        <w:tc>
          <w:tcPr>
            <w:tcW w:w="4680" w:type="dxa"/>
          </w:tcPr>
          <w:p w14:paraId="71BE4D1D" w14:textId="77777777" w:rsidR="00536CC3" w:rsidRDefault="00000000">
            <w:r>
              <w:rPr>
                <w:b/>
              </w:rPr>
              <w:t>Billing / bookkeeping</w:t>
            </w:r>
          </w:p>
        </w:tc>
        <w:tc>
          <w:tcPr>
            <w:tcW w:w="4680" w:type="dxa"/>
          </w:tcPr>
          <w:p w14:paraId="2CA14287" w14:textId="77777777" w:rsidR="00536CC3" w:rsidRDefault="00000000">
            <w:r>
              <w:t>QuickBooks, plus a separate billing spreadsheet</w:t>
            </w:r>
          </w:p>
        </w:tc>
      </w:tr>
      <w:tr w:rsidR="00536CC3" w14:paraId="04804D19" w14:textId="77777777">
        <w:tc>
          <w:tcPr>
            <w:tcW w:w="4680" w:type="dxa"/>
          </w:tcPr>
          <w:p w14:paraId="35034B77" w14:textId="77777777" w:rsidR="00536CC3" w:rsidRDefault="00000000">
            <w:r>
              <w:rPr>
                <w:b/>
              </w:rPr>
              <w:t>Leads</w:t>
            </w:r>
          </w:p>
        </w:tc>
        <w:tc>
          <w:tcPr>
            <w:tcW w:w="4680" w:type="dxa"/>
          </w:tcPr>
          <w:p w14:paraId="5A72E321" w14:textId="77777777" w:rsidR="00536CC3" w:rsidRDefault="00000000">
            <w:r>
              <w:t>A separate leads spreadsheet</w:t>
            </w:r>
          </w:p>
        </w:tc>
      </w:tr>
      <w:tr w:rsidR="00536CC3" w14:paraId="69771584" w14:textId="77777777">
        <w:tc>
          <w:tcPr>
            <w:tcW w:w="4680" w:type="dxa"/>
          </w:tcPr>
          <w:p w14:paraId="491A5EF8" w14:textId="77777777" w:rsidR="00536CC3" w:rsidRDefault="00000000">
            <w:r>
              <w:rPr>
                <w:b/>
              </w:rPr>
              <w:t>Legacy intake forms</w:t>
            </w:r>
          </w:p>
        </w:tc>
        <w:tc>
          <w:tcPr>
            <w:tcW w:w="4680" w:type="dxa"/>
          </w:tcPr>
          <w:p w14:paraId="13BA345A" w14:textId="77777777" w:rsidR="00536CC3" w:rsidRDefault="00000000">
            <w:r>
              <w:t>JotForms</w:t>
            </w:r>
          </w:p>
        </w:tc>
      </w:tr>
      <w:tr w:rsidR="00536CC3" w14:paraId="58E4A41C" w14:textId="77777777">
        <w:tc>
          <w:tcPr>
            <w:tcW w:w="4680" w:type="dxa"/>
          </w:tcPr>
          <w:p w14:paraId="18816B55" w14:textId="77777777" w:rsidR="00536CC3" w:rsidRDefault="00000000">
            <w:r>
              <w:rPr>
                <w:b/>
              </w:rPr>
              <w:t>Session notetaking</w:t>
            </w:r>
          </w:p>
        </w:tc>
        <w:tc>
          <w:tcPr>
            <w:tcW w:w="4680" w:type="dxa"/>
          </w:tcPr>
          <w:p>
            <w:pPr>
              <w:rPr/>
            </w:pPr>
            <w:r>
              <w:rPr>
                <w:rtl w:val="0"/>
              </w:rPr>
              <w:t xml:space="preserve">Zoom AI Notes — in use today. Replacement not yet selected (Sprint 02)</w:t>
            </w:r>
          </w:p>
        </w:tc>
      </w:tr>
      <w:tr w:rsidR="00536CC3" w14:paraId="6B294352" w14:textId="77777777">
        <w:tc>
          <w:tcPr>
            <w:tcW w:w="4680" w:type="dxa"/>
          </w:tcPr>
          <w:p w14:paraId="56789F43" w14:textId="77777777" w:rsidR="00536CC3" w:rsidRDefault="00000000">
            <w:r>
              <w:rPr>
                <w:b/>
              </w:rPr>
              <w:t>Client file storage</w:t>
            </w:r>
          </w:p>
        </w:tc>
        <w:tc>
          <w:tcPr>
            <w:tcW w:w="4680" w:type="dxa"/>
          </w:tcPr>
          <w:p>
            <w:pPr>
              <w:rPr/>
            </w:pPr>
            <w:r>
              <w:rPr>
                <w:rtl w:val="0"/>
              </w:rPr>
              <w:t xml:space="preserve">Google Drive, shared by link — no independent, tested backup exists yet. Moves to the operational database/dashboard once built</w:t>
            </w:r>
          </w:p>
        </w:tc>
      </w:tr>
      <w:tr w:rsidR="00536CC3" w14:paraId="1FDEF87B" w14:textId="77777777">
        <w:tc>
          <w:tcPr>
            <w:tcW w:w="4680" w:type="dxa"/>
          </w:tcPr>
          <w:p w14:paraId="290891B5" w14:textId="77777777" w:rsidR="00536CC3" w:rsidRDefault="00000000">
            <w:r>
              <w:rPr>
                <w:b/>
              </w:rPr>
              <w:t>Company email / calendar</w:t>
            </w:r>
          </w:p>
        </w:tc>
        <w:tc>
          <w:tcPr>
            <w:tcW w:w="4680" w:type="dxa"/>
          </w:tcPr>
          <w:p>
            <w:pPr>
              <w:rPr/>
            </w:pPr>
            <w:r>
              <w:rPr>
                <w:rtl w:val="0"/>
              </w:rPr>
              <w:t xml:space="preserve">Google Workspace — firstname@optimind-es.com; specialist's work calendar shared with Sarah (procedure below)</w:t>
            </w:r>
          </w:p>
        </w:tc>
      </w:tr>
    </w:tbl>
    <w:p w14:paraId="47EF5116" w14:textId="77777777" w:rsidR="00536CC3" w:rsidRDefault="00000000">
      <w:pPr>
        <w:pStyle w:val="Heading2"/>
      </w:pPr>
      <w:r>
        <w:rPr>
          <w:b w:val="0"/>
        </w:rPr>
        <w:t>File Structure</w:t>
      </w:r>
    </w:p>
    <w:p w14:paraId="4306A0FE" w14:textId="77777777" w:rsidR="00536CC3" w:rsidRDefault="00000000">
      <w:r>
        <w:rPr>
          <w:b/>
          <w:color w:val="B45309"/>
          <w:highlight w:val="yellow"/>
        </w:rPr>
        <w:t>TBD — draft proposal, not decided</w:t>
      </w:r>
      <w:r>
        <w:t xml:space="preserve"> — a standard folder structure for the whole business: client files, client onboarding/contracts, admin/business files, and employee documents (both candidates and signed staff). This is a starting sample to react to, not a final structure — where it actually lives (Google Drive, the eventual practice-management platform, etc.) is still open per the Client File Storage question above.</w:t>
      </w:r>
    </w:p>
    <w:p w14:paraId="705B0E9B" w14:textId="77777777" w:rsidR="00536CC3" w:rsidRDefault="00000000">
      <w:r>
        <w:rPr>
          <w:rFonts w:ascii="Courier New" w:hAnsi="Courier New"/>
          <w:sz w:val="20"/>
        </w:rPr>
        <w:t>📁 OptiMind Educational Strategies</w:t>
      </w:r>
    </w:p>
    <w:p w14:paraId="704C4472" w14:textId="77777777" w:rsidR="00536CC3" w:rsidRDefault="00000000">
      <w:pPr>
        <w:ind w:left="360"/>
      </w:pPr>
      <w:r>
        <w:rPr>
          <w:rFonts w:ascii="Courier New" w:hAnsi="Courier New"/>
          <w:sz w:val="20"/>
        </w:rPr>
        <w:lastRenderedPageBreak/>
        <w:t>📁 01 – Clients</w:t>
      </w:r>
    </w:p>
    <w:p w14:paraId="38EAB815" w14:textId="77777777" w:rsidR="00536CC3" w:rsidRDefault="00000000">
      <w:pPr>
        <w:ind w:left="720"/>
      </w:pPr>
      <w:r>
        <w:rPr>
          <w:rFonts w:ascii="Courier New" w:hAnsi="Courier New"/>
          <w:sz w:val="20"/>
        </w:rPr>
        <w:t>📁 [Client Last, First]</w:t>
      </w:r>
    </w:p>
    <w:p w14:paraId="1FA4E269" w14:textId="77777777" w:rsidR="00536CC3" w:rsidRDefault="00000000">
      <w:pPr>
        <w:ind w:left="1080"/>
      </w:pPr>
      <w:r>
        <w:rPr>
          <w:rFonts w:ascii="Courier New" w:hAnsi="Courier New"/>
          <w:sz w:val="20"/>
        </w:rPr>
        <w:t xml:space="preserve">📁 Intake &amp; Agreements </w:t>
      </w:r>
      <w:r>
        <w:rPr>
          <w:rFonts w:ascii="Courier New" w:hAnsi="Courier New"/>
          <w:i/>
          <w:color w:val="6B7280"/>
          <w:sz w:val="20"/>
        </w:rPr>
        <w:t>— Service Agreement, Parent ToS, Exhibit C release, intake form</w:t>
      </w:r>
    </w:p>
    <w:p w14:paraId="138E9563" w14:textId="77777777" w:rsidR="00536CC3" w:rsidRDefault="00000000">
      <w:pPr>
        <w:ind w:left="1080"/>
      </w:pPr>
      <w:r>
        <w:rPr>
          <w:rFonts w:ascii="Courier New" w:hAnsi="Courier New"/>
          <w:sz w:val="20"/>
        </w:rPr>
        <w:t xml:space="preserve">📁 Session Notes &amp; Progress </w:t>
      </w:r>
      <w:r>
        <w:rPr>
          <w:rFonts w:ascii="Courier New" w:hAnsi="Courier New"/>
          <w:i/>
          <w:color w:val="6B7280"/>
          <w:sz w:val="20"/>
        </w:rPr>
        <w:t>— notetaker output, curriculum tracker, goals tracker</w:t>
      </w:r>
    </w:p>
    <w:p w14:paraId="6005B621" w14:textId="77777777" w:rsidR="00536CC3" w:rsidRDefault="00000000">
      <w:pPr>
        <w:ind w:left="1080"/>
      </w:pPr>
      <w:r>
        <w:rPr>
          <w:rFonts w:ascii="Courier New" w:hAnsi="Courier New"/>
          <w:sz w:val="20"/>
        </w:rPr>
        <w:t xml:space="preserve">📁 School &amp; Provider Records </w:t>
      </w:r>
      <w:r>
        <w:rPr>
          <w:rFonts w:ascii="Courier New" w:hAnsi="Courier New"/>
          <w:i/>
          <w:color w:val="6B7280"/>
          <w:sz w:val="20"/>
        </w:rPr>
        <w:t>— IEP/504, report cards, therapist notes</w:t>
      </w:r>
    </w:p>
    <w:p w14:paraId="5628EE8C" w14:textId="77777777" w:rsidR="00536CC3" w:rsidRDefault="00000000">
      <w:pPr>
        <w:ind w:left="720"/>
      </w:pPr>
      <w:r>
        <w:rPr>
          <w:rFonts w:ascii="Courier New" w:hAnsi="Courier New"/>
          <w:sz w:val="20"/>
        </w:rPr>
        <w:t xml:space="preserve">📁 _Templates </w:t>
      </w:r>
      <w:r>
        <w:rPr>
          <w:rFonts w:ascii="Courier New" w:hAnsi="Courier New"/>
          <w:i/>
          <w:color w:val="6B7280"/>
          <w:sz w:val="20"/>
        </w:rPr>
        <w:t>— blank intake form, blank agreements, blank release forms</w:t>
      </w:r>
    </w:p>
    <w:p w14:paraId="7B545389" w14:textId="77777777" w:rsidR="00536CC3" w:rsidRDefault="00000000">
      <w:pPr>
        <w:ind w:left="720"/>
      </w:pPr>
      <w:r>
        <w:rPr>
          <w:rFonts w:ascii="Courier New" w:hAnsi="Courier New"/>
          <w:sz w:val="20"/>
        </w:rPr>
        <w:t xml:space="preserve">📁 _Graduated &amp; Inactive </w:t>
      </w:r>
      <w:r>
        <w:rPr>
          <w:rFonts w:ascii="Courier New" w:hAnsi="Courier New"/>
          <w:i/>
          <w:color w:val="6B7280"/>
          <w:sz w:val="20"/>
        </w:rPr>
        <w:t>— moved out of the active roster; retention rule TBD</w:t>
      </w:r>
    </w:p>
    <w:p w14:paraId="6D15B770" w14:textId="77777777" w:rsidR="00536CC3" w:rsidRDefault="00000000">
      <w:pPr>
        <w:ind w:left="360"/>
      </w:pPr>
      <w:r>
        <w:rPr>
          <w:rFonts w:ascii="Courier New" w:hAnsi="Courier New"/>
          <w:sz w:val="20"/>
        </w:rPr>
        <w:t>📁 02 – Admin &amp; Operations</w:t>
      </w:r>
    </w:p>
    <w:p w14:paraId="752B2983" w14:textId="77777777" w:rsidR="00536CC3" w:rsidRDefault="00000000">
      <w:pPr>
        <w:ind w:left="720"/>
      </w:pPr>
      <w:r>
        <w:rPr>
          <w:rFonts w:ascii="Courier New" w:hAnsi="Courier New"/>
          <w:sz w:val="20"/>
        </w:rPr>
        <w:t xml:space="preserve">📁 Financials </w:t>
      </w:r>
      <w:r>
        <w:rPr>
          <w:rFonts w:ascii="Courier New" w:hAnsi="Courier New"/>
          <w:i/>
          <w:color w:val="6B7280"/>
          <w:sz w:val="20"/>
        </w:rPr>
        <w:t>— QuickBooks exports, P&amp;L reviews, billing spreadsheet, all client invoices/payments (centralized, not per-client)</w:t>
      </w:r>
    </w:p>
    <w:p w14:paraId="13E4811A" w14:textId="77777777" w:rsidR="00536CC3" w:rsidRDefault="00000000">
      <w:pPr>
        <w:ind w:left="720"/>
      </w:pPr>
      <w:r>
        <w:rPr>
          <w:rFonts w:ascii="Courier New" w:hAnsi="Courier New"/>
          <w:sz w:val="20"/>
        </w:rPr>
        <w:t xml:space="preserve">📁 Tax &amp; Accounting Records </w:t>
      </w:r>
      <w:r>
        <w:rPr>
          <w:rFonts w:ascii="Courier New" w:hAnsi="Courier New"/>
          <w:i/>
          <w:color w:val="6B7280"/>
          <w:sz w:val="20"/>
        </w:rPr>
        <w:t>— tax filings, 1099s/W-2s, annual accountant deliverables</w:t>
      </w:r>
    </w:p>
    <w:p w14:paraId="40397552" w14:textId="77777777" w:rsidR="00536CC3" w:rsidRDefault="00000000">
      <w:pPr>
        <w:ind w:left="720"/>
      </w:pPr>
      <w:r>
        <w:rPr>
          <w:rFonts w:ascii="Courier New" w:hAnsi="Courier New"/>
          <w:sz w:val="20"/>
        </w:rPr>
        <w:t xml:space="preserve">📁 Insurance &amp; Risk </w:t>
      </w:r>
      <w:r>
        <w:rPr>
          <w:rFonts w:ascii="Courier New" w:hAnsi="Courier New"/>
          <w:i/>
          <w:color w:val="6B7280"/>
          <w:sz w:val="20"/>
        </w:rPr>
        <w:t>— professional liability / E&amp;O policy, other business insurance</w:t>
      </w:r>
    </w:p>
    <w:p w14:paraId="7756B170" w14:textId="77777777" w:rsidR="00536CC3" w:rsidRDefault="00000000">
      <w:pPr>
        <w:ind w:left="720"/>
      </w:pPr>
      <w:r>
        <w:rPr>
          <w:rFonts w:ascii="Courier New" w:hAnsi="Courier New"/>
          <w:sz w:val="20"/>
        </w:rPr>
        <w:t xml:space="preserve">📁 Outside Provider &amp; School Contracts </w:t>
      </w:r>
      <w:r>
        <w:rPr>
          <w:rFonts w:ascii="Courier New" w:hAnsi="Courier New"/>
          <w:i/>
          <w:color w:val="6B7280"/>
          <w:sz w:val="20"/>
        </w:rPr>
        <w:t>— formal agreements with schools, therapists, referral partners</w:t>
      </w:r>
    </w:p>
    <w:p w14:paraId="53E2100B" w14:textId="77777777" w:rsidR="00536CC3" w:rsidRDefault="00000000">
      <w:pPr>
        <w:ind w:left="720"/>
      </w:pPr>
      <w:r>
        <w:rPr>
          <w:rFonts w:ascii="Courier New" w:hAnsi="Courier New"/>
          <w:sz w:val="20"/>
        </w:rPr>
        <w:t xml:space="preserve">📁 Marketing &amp; Referrals </w:t>
      </w:r>
      <w:r>
        <w:rPr>
          <w:rFonts w:ascii="Courier New" w:hAnsi="Courier New"/>
          <w:i/>
          <w:color w:val="6B7280"/>
          <w:sz w:val="20"/>
        </w:rPr>
        <w:t>— referral register, leads spreadsheet, marketing spend</w:t>
      </w:r>
    </w:p>
    <w:p w14:paraId="228E67AA" w14:textId="77777777" w:rsidR="00536CC3" w:rsidRDefault="00000000">
      <w:pPr>
        <w:ind w:left="720"/>
      </w:pPr>
      <w:r>
        <w:rPr>
          <w:rFonts w:ascii="Courier New" w:hAnsi="Courier New"/>
          <w:sz w:val="20"/>
        </w:rPr>
        <w:t xml:space="preserve">📁 Brand Assets </w:t>
      </w:r>
      <w:r>
        <w:rPr>
          <w:rFonts w:ascii="Courier New" w:hAnsi="Courier New"/>
          <w:i/>
          <w:color w:val="6B7280"/>
          <w:sz w:val="20"/>
        </w:rPr>
        <w:t>— Style Guide, Logos</w:t>
      </w:r>
    </w:p>
    <w:p w14:paraId="4C2BAD4A" w14:textId="77777777" w:rsidR="00536CC3" w:rsidRDefault="00000000">
      <w:pPr>
        <w:ind w:left="720"/>
      </w:pPr>
      <w:r>
        <w:rPr>
          <w:rFonts w:ascii="Courier New" w:hAnsi="Courier New"/>
          <w:sz w:val="20"/>
        </w:rPr>
        <w:t xml:space="preserve">📁 Vendor &amp; Tool Accounts </w:t>
      </w:r>
      <w:r>
        <w:rPr>
          <w:rFonts w:ascii="Courier New" w:hAnsi="Courier New"/>
          <w:i/>
          <w:color w:val="6B7280"/>
          <w:sz w:val="20"/>
        </w:rPr>
        <w:t>— Calendly, Zoom, PandaDoc, QuickBooks</w:t>
      </w:r>
    </w:p>
    <w:p w14:paraId="42A3C321" w14:textId="77777777" w:rsidR="00536CC3" w:rsidRDefault="00000000">
      <w:pPr>
        <w:ind w:left="720"/>
      </w:pPr>
      <w:r>
        <w:rPr>
          <w:rFonts w:ascii="Courier New" w:hAnsi="Courier New"/>
          <w:sz w:val="20"/>
        </w:rPr>
        <w:t xml:space="preserve">📁 Legal &amp; Compliance </w:t>
      </w:r>
      <w:r>
        <w:rPr>
          <w:rFonts w:ascii="Courier New" w:hAnsi="Courier New"/>
          <w:i/>
          <w:color w:val="6B7280"/>
          <w:sz w:val="20"/>
        </w:rPr>
        <w:t>— attorney correspondence, EEO policy</w:t>
      </w:r>
    </w:p>
    <w:p w14:paraId="1F819B43" w14:textId="77777777" w:rsidR="00536CC3" w:rsidRDefault="00000000">
      <w:pPr>
        <w:ind w:left="360"/>
      </w:pPr>
      <w:r>
        <w:rPr>
          <w:rFonts w:ascii="Courier New" w:hAnsi="Courier New"/>
          <w:sz w:val="20"/>
        </w:rPr>
        <w:t>📁 03 – Employees (Current)</w:t>
      </w:r>
    </w:p>
    <w:p w14:paraId="4A2E1DC0" w14:textId="77777777" w:rsidR="00536CC3" w:rsidRDefault="00000000">
      <w:pPr>
        <w:ind w:left="720"/>
      </w:pPr>
      <w:r>
        <w:rPr>
          <w:rFonts w:ascii="Courier New" w:hAnsi="Courier New"/>
          <w:sz w:val="20"/>
        </w:rPr>
        <w:t>📁 [Employee Last, First]</w:t>
      </w:r>
    </w:p>
    <w:p w14:paraId="6638225E" w14:textId="77777777" w:rsidR="00536CC3" w:rsidRDefault="00000000">
      <w:pPr>
        <w:ind w:left="1080"/>
      </w:pPr>
      <w:r>
        <w:rPr>
          <w:rFonts w:ascii="Courier New" w:hAnsi="Courier New"/>
          <w:sz w:val="20"/>
        </w:rPr>
        <w:t xml:space="preserve">📁 Signed Agreements </w:t>
      </w:r>
      <w:r>
        <w:rPr>
          <w:rFonts w:ascii="Courier New" w:hAnsi="Courier New"/>
          <w:i/>
          <w:color w:val="6B7280"/>
          <w:sz w:val="20"/>
        </w:rPr>
        <w:t>— Offer Letter, Employment Agreement, Confidentiality &amp; Data-Handling Agreement</w:t>
      </w:r>
    </w:p>
    <w:p w14:paraId="128B6544" w14:textId="77777777" w:rsidR="00536CC3" w:rsidRDefault="00000000">
      <w:pPr>
        <w:ind w:left="1080"/>
      </w:pPr>
      <w:r>
        <w:rPr>
          <w:rFonts w:ascii="Courier New" w:hAnsi="Courier New"/>
          <w:sz w:val="20"/>
        </w:rPr>
        <w:t>📁 Handbook Acknowledgment</w:t>
      </w:r>
    </w:p>
    <w:p w14:paraId="08B89183" w14:textId="77777777" w:rsidR="00536CC3" w:rsidRDefault="00000000">
      <w:pPr>
        <w:ind w:left="1080"/>
      </w:pPr>
      <w:r>
        <w:rPr>
          <w:rFonts w:ascii="Courier New" w:hAnsi="Courier New"/>
          <w:sz w:val="20"/>
        </w:rPr>
        <w:t>📁 Performance &amp; Reviews</w:t>
      </w:r>
    </w:p>
    <w:p w14:paraId="2BB2FDB9" w14:textId="77777777" w:rsidR="00536CC3" w:rsidRDefault="00000000">
      <w:pPr>
        <w:ind w:left="360"/>
      </w:pPr>
      <w:r>
        <w:rPr>
          <w:rFonts w:ascii="Courier New" w:hAnsi="Courier New"/>
          <w:sz w:val="20"/>
        </w:rPr>
        <w:lastRenderedPageBreak/>
        <w:t>📁 04 – Hiring &amp; Candidates</w:t>
      </w:r>
    </w:p>
    <w:p w14:paraId="0CBC5F5A" w14:textId="77777777" w:rsidR="00536CC3" w:rsidRDefault="00000000">
      <w:pPr>
        <w:ind w:left="720"/>
      </w:pPr>
      <w:r>
        <w:rPr>
          <w:rFonts w:ascii="Courier New" w:hAnsi="Courier New"/>
          <w:sz w:val="20"/>
        </w:rPr>
        <w:t>📁 [Candidate Last, First]</w:t>
      </w:r>
    </w:p>
    <w:p w14:paraId="31A2BB90" w14:textId="77777777" w:rsidR="00536CC3" w:rsidRDefault="00000000">
      <w:pPr>
        <w:ind w:left="1080"/>
      </w:pPr>
      <w:r>
        <w:rPr>
          <w:rFonts w:ascii="Courier New" w:hAnsi="Courier New"/>
          <w:sz w:val="20"/>
        </w:rPr>
        <w:t>📁 Application &amp; Interview Notes</w:t>
      </w:r>
    </w:p>
    <w:p w14:paraId="4B02622C" w14:textId="77777777" w:rsidR="00536CC3" w:rsidRDefault="00000000">
      <w:pPr>
        <w:ind w:left="1080"/>
      </w:pPr>
      <w:r>
        <w:rPr>
          <w:rFonts w:ascii="Courier New" w:hAnsi="Courier New"/>
          <w:sz w:val="20"/>
        </w:rPr>
        <w:t xml:space="preserve">📁 Reference Check Notes </w:t>
      </w:r>
      <w:r>
        <w:rPr>
          <w:rFonts w:ascii="Courier New" w:hAnsi="Courier New"/>
          <w:i/>
          <w:color w:val="6B7280"/>
          <w:sz w:val="20"/>
        </w:rPr>
        <w:t>— per Screening Protocol Template E</w:t>
      </w:r>
    </w:p>
    <w:p w14:paraId="357D0A2D" w14:textId="77777777" w:rsidR="00536CC3" w:rsidRDefault="00000000">
      <w:pPr>
        <w:ind w:left="720"/>
      </w:pPr>
      <w:r>
        <w:rPr>
          <w:rFonts w:ascii="Courier New" w:hAnsi="Courier New"/>
          <w:sz w:val="20"/>
        </w:rPr>
        <w:t>📁 Job Postings &amp; Screening Templates</w:t>
      </w:r>
    </w:p>
    <w:p w14:paraId="18FC322C" w14:textId="77777777" w:rsidR="00536CC3" w:rsidRDefault="00000000">
      <w:pPr>
        <w:ind w:left="360"/>
      </w:pPr>
      <w:r>
        <w:rPr>
          <w:rFonts w:ascii="Courier New" w:hAnsi="Courier New"/>
          <w:sz w:val="20"/>
        </w:rPr>
        <w:t>📁 05 – Personnel-Confidential (Access-Restricted)</w:t>
      </w:r>
    </w:p>
    <w:p w14:paraId="1E1D82F3" w14:textId="77777777" w:rsidR="00536CC3" w:rsidRDefault="00000000">
      <w:pPr>
        <w:ind w:left="720"/>
      </w:pPr>
      <w:r>
        <w:rPr>
          <w:rFonts w:ascii="Courier New" w:hAnsi="Courier New"/>
          <w:sz w:val="20"/>
        </w:rPr>
        <w:t xml:space="preserve">📁 Background Check Reports </w:t>
      </w:r>
      <w:r>
        <w:rPr>
          <w:rFonts w:ascii="Courier New" w:hAnsi="Courier New"/>
          <w:i/>
          <w:color w:val="6B7280"/>
          <w:sz w:val="20"/>
        </w:rPr>
        <w:t>— kept separate from the onboarding folder, per the Screening Protocol</w:t>
      </w:r>
    </w:p>
    <w:p>
      <w:pPr>
        <w:pStyle w:val="Heading2"/>
        <w:rPr/>
      </w:pPr>
      <w:r>
        <w:rPr>
          <w:rtl w:val="0"/>
        </w:rPr>
        <w:t xml:space="preserve"/>
      </w:r>
      <w:r>
        <w:rPr>
          <w:b w:val="0"/>
          <w:bCs w:val="0"/>
          <w:rtl w:val="0"/>
        </w:rPr>
        <w:t xml:space="preserve">Calendar Access Procedure</w:t>
      </w:r>
    </w:p>
    <w:p>
      <w:pPr>
        <w:rPr/>
      </w:pPr>
      <w:r>
        <w:rPr>
          <w:rtl w:val="0"/>
        </w:rPr>
        <w:t xml:space="preserve">How you see and book onto the specialist's calendar. Set up before day one and confirmed during week one.</w:t>
      </w:r>
    </w:p>
    <w:p>
      <w:pPr>
        <w:spacing w:before="200" w:lineRule="auto"/>
        <w:rPr/>
      </w:pPr>
      <w:r>
        <w:rPr>
          <w:b w:val="1"/>
          <w:bCs w:val="1"/>
          <w:rtl w:val="0"/>
        </w:rPr>
        <w:t xml:space="preserve">Setup, Before Day One</w:t>
      </w:r>
    </w:p>
    <w:p>
      <w:pPr>
        <w:ind w:left="504" w:hanging="288"/>
        <w:spacing w:after="60" w:lineRule="auto"/>
        <w:rPr/>
      </w:pPr>
      <w:r>
        <w:rPr>
          <w:b w:val="1"/>
          <w:bCs w:val="1"/>
          <w:rtl w:val="0"/>
        </w:rPr>
        <w:t xml:space="preserve">1.  Create the company account. </w:t>
      </w:r>
      <w:r>
        <w:rPr>
          <w:rtl w:val="0"/>
        </w:rPr>
        <w:t xml:space="preserve">The specialist's Google Workspace account (firstname@optimind-es.com) is created first — its calendar is the work calendar for everything below.</w:t>
      </w:r>
    </w:p>
    <w:p>
      <w:pPr>
        <w:ind w:left="504" w:hanging="288"/>
        <w:spacing w:after="60" w:lineRule="auto"/>
        <w:rPr/>
      </w:pPr>
      <w:r>
        <w:rPr>
          <w:b w:val="1"/>
          <w:bCs w:val="1"/>
          <w:rtl w:val="0"/>
        </w:rPr>
        <w:t xml:space="preserve">2.  Share that calendar with you. </w:t>
      </w:r>
      <w:r>
        <w:rPr>
          <w:rtl w:val="0"/>
        </w:rPr>
        <w:t xml:space="preserve">The specialist shares the work calendar with your account. </w:t>
      </w:r>
      <w:r>
        <w:rPr>
          <w:b w:val="1"/>
          <w:bCs w:val="1"/>
          <w:rtl w:val="0"/>
        </w:rPr>
        <w:t xml:space="preserve">[TBD — confirm whether you want "See all event details" or "Make changes to events". Edit rights matter if you will be moving sessions while covering an absence.]</w:t>
      </w:r>
    </w:p>
    <w:p>
      <w:pPr>
        <w:ind w:left="504" w:hanging="288"/>
        <w:spacing w:after="60" w:lineRule="auto"/>
        <w:rPr/>
      </w:pPr>
      <w:r>
        <w:rPr>
          <w:b w:val="1"/>
          <w:bCs w:val="1"/>
          <w:rtl w:val="0"/>
        </w:rPr>
        <w:t xml:space="preserve">3.  Set up Calendly. </w:t>
      </w:r>
      <w:r>
        <w:rPr>
          <w:rtl w:val="0"/>
        </w:rPr>
        <w:t xml:space="preserve">Create the specialist's Calendly login with event types for Parent Sessions, Meet-and-Greet, Collaboration Meetings, and Meetings with Me. Point Calendly at the work calendar so bookings and availability stay in one place.</w:t>
      </w:r>
    </w:p>
    <w:p>
      <w:pPr>
        <w:ind w:left="504" w:hanging="288"/>
        <w:spacing w:after="60" w:lineRule="auto"/>
        <w:rPr/>
      </w:pPr>
      <w:r>
        <w:rPr>
          <w:b w:val="1"/>
          <w:bCs w:val="1"/>
          <w:rtl w:val="0"/>
        </w:rPr>
        <w:t xml:space="preserve">4.  "Meetings with Me" is your booking route. </w:t>
      </w:r>
      <w:r>
        <w:rPr>
          <w:rtl w:val="0"/>
        </w:rPr>
        <w:t xml:space="preserve">It lets you put a time directly on the specialist's calendar without a back-and-forth.</w:t>
      </w:r>
    </w:p>
    <w:p>
      <w:pPr>
        <w:ind w:left="504" w:hanging="288"/>
        <w:spacing w:after="200" w:lineRule="auto"/>
        <w:rPr/>
      </w:pPr>
      <w:r>
        <w:rPr>
          <w:b w:val="1"/>
          <w:bCs w:val="1"/>
          <w:rtl w:val="0"/>
        </w:rPr>
        <w:t xml:space="preserve">5.  Confirm it works during week one </w:t>
      </w:r>
      <w:r>
        <w:rPr>
          <w:rtl w:val="0"/>
        </w:rPr>
        <w:t xml:space="preserve">— check you can see session detail and book a slot before the caseload starts ramping.</w:t>
      </w:r>
    </w:p>
    <w:p>
      <w:pPr>
        <w:spacing w:before="200" w:lineRule="auto"/>
        <w:rPr/>
      </w:pPr>
      <w:r>
        <w:rPr>
          <w:b w:val="1"/>
          <w:bCs w:val="1"/>
          <w:rtl w:val="0"/>
        </w:rPr>
        <w:t xml:space="preserve">Standing Rules</w:t>
      </w:r>
    </w:p>
    <w:p>
      <w:pPr>
        <w:rPr/>
      </w:pPr>
      <w:r>
        <w:rPr>
          <w:b w:val="1"/>
          <w:bCs w:val="1"/>
          <w:rtl w:val="0"/>
        </w:rPr>
        <w:t xml:space="preserve">Every client session lives on the work calendar. </w:t>
      </w:r>
      <w:r>
        <w:rPr>
          <w:rtl w:val="0"/>
        </w:rPr>
        <w:t xml:space="preserve">No parallel personal calendar for client work — your view has to be complete, because it is what you use to cover an absence and to sanity-check billing.</w:t>
      </w:r>
    </w:p>
    <w:p>
      <w:pPr>
        <w:rPr/>
      </w:pPr>
      <w:r>
        <w:rPr>
          <w:b w:val="1"/>
          <w:bCs w:val="1"/>
          <w:rtl w:val="0"/>
        </w:rPr>
        <w:t xml:space="preserve">Personal appointments are blocked as busy </w:t>
      </w:r>
      <w:r>
        <w:rPr>
          <w:rtl w:val="0"/>
        </w:rPr>
        <w:t xml:space="preserve">on the work calendar, without detail. You see availability; you do not see their private life.</w:t>
      </w:r>
    </w:p>
    <w:p>
      <w:pPr>
        <w:rPr/>
      </w:pPr>
      <w:r>
        <w:rPr>
          <w:b w:val="1"/>
          <w:bCs w:val="1"/>
          <w:rtl w:val="0"/>
        </w:rPr>
        <w:t xml:space="preserve">Calendar access is part of offboarding. </w:t>
      </w:r>
      <w:r>
        <w:rPr>
          <w:rtl w:val="0"/>
        </w:rPr>
        <w:t xml:space="preserve">Calendar sharing and Calendly access are revoked with the rest of system access, per the Employment Agreement and the Confidentiality &amp; Data-Handling Agreement.</w:t>
      </w:r>
    </w:p>
    <w:p>
      <w:pPr>
        <w:spacing w:before="200" w:lineRule="auto"/>
        <w:rPr/>
      </w:pPr>
      <w:r>
        <w:rPr>
          <w:b w:val="1"/>
          <w:bCs w:val="1"/>
          <w:rtl w:val="0"/>
        </w:rPr>
        <w:t xml:space="preserve">Still Open</w:t>
      </w:r>
    </w:p>
    <w:p>
      <w:pPr>
        <w:rPr/>
      </w:pPr>
      <w:r>
        <w:rPr>
          <w:rtl w:val="0"/>
        </w:rPr>
        <w:t xml:space="preserve">Whether calendar access runs through ordinary Google Workspace calendar sharing or a delegated account, and whether you take edit rights or view-only. Both are yours to decide; nothing else in the onboarding depends on the answer.</w:t>
      </w:r>
    </w:p>
    <w:p>
      <w:pPr>
        <w:pStyle w:val="Heading2"/>
        <w:rPr/>
      </w:pPr>
      <w:r>
        <w:rPr>
          <w:rtl w:val="0"/>
        </w:rPr>
        <w:t xml:space="preserve"/>
      </w:r>
      <w:r>
        <w:rPr>
          <w:b w:val="0"/>
          <w:bCs w:val="0"/>
          <w:rtl w:val="0"/>
        </w:rPr>
        <w:t xml:space="preserve">Client Records &amp; Backup</w:t>
      </w:r>
    </w:p>
    <w:p>
      <w:pPr>
        <w:rPr/>
      </w:pPr>
      <w:r>
        <w:rPr>
          <w:b w:val="1"/>
          <w:bCs w:val="1"/>
          <w:rtl w:val="0"/>
        </w:rPr>
        <w:t xml:space="preserve">Where records live today: </w:t>
      </w:r>
      <w:r>
        <w:rPr>
          <w:rtl w:val="0"/>
        </w:rPr>
        <w:t xml:space="preserve">Google Drive, shared by link. The specialist gets links only for clients on their own caseload, per Data-Handling Policy Section 3. Records move to the operational database/dashboard once it is built.</w:t>
      </w:r>
    </w:p>
    <w:p>
      <w:pPr>
        <w:rPr/>
      </w:pPr>
      <w:r>
        <w:rPr>
          <w:b w:val="1"/>
          <w:bCs w:val="1"/>
          <w:rtl w:val="0"/>
        </w:rPr>
        <w:t xml:space="preserve">Open — and the highest-risk item in the data set. </w:t>
      </w:r>
      <w:r>
        <w:rPr>
          <w:rtl w:val="0"/>
        </w:rPr>
        <w:t xml:space="preserve">No independent, tested backup of the Drive exists. Decide how quickly the Drive is backed up in the interim and to what, rather than waiting for the dashboard. Tracked as an open question on the Data-Handling Policy.</w:t>
      </w:r>
    </w:p>
    <w:p>
      <w:pPr>
        <w:pStyle w:val="Heading2"/>
        <w:rPr/>
      </w:pPr>
      <w:r>
        <w:rPr>
          <w:rtl w:val="0"/>
        </w:rPr>
        <w:t xml:space="preserve"/>
      </w:r>
      <w:r>
        <w:rPr>
          <w:b w:val="0"/>
          <w:bCs w:val="0"/>
          <w:rtl w:val="0"/>
        </w:rPr>
        <w:t xml:space="preserve">Safety Events — What to Expect on Your Side</w:t>
      </w:r>
    </w:p>
    <w:p>
      <w:pPr>
        <w:rPr/>
      </w:pPr>
      <w:r>
        <w:rPr>
          <w:rtl w:val="0"/>
        </w:rPr>
        <w:t xml:space="preserve">The protocol the specialist follows is Employee Handbook Section 10. What it means for you:</w:t>
      </w:r>
    </w:p>
    <w:p>
      <w:pPr>
        <w:rPr/>
      </w:pPr>
      <w:r>
        <w:rPr>
          <w:b w:val="1"/>
          <w:bCs w:val="1"/>
          <w:rtl w:val="0"/>
        </w:rPr>
        <w:t xml:space="preserve">The specialist acts first in a true emergency. </w:t>
      </w:r>
      <w:r>
        <w:rPr>
          <w:rtl w:val="0"/>
        </w:rPr>
        <w:t xml:space="preserve">They have standing authority to call 911 and to contact the parent or guardian without waiting for you. You are notified as soon as the immediate danger is addressed.</w:t>
      </w:r>
    </w:p>
    <w:p>
      <w:pPr>
        <w:rPr/>
      </w:pPr>
      <w:r>
        <w:rPr>
          <w:b w:val="1"/>
          <w:bCs w:val="1"/>
          <w:rtl w:val="0"/>
        </w:rPr>
        <w:t xml:space="preserve">You get a written summary the same day, </w:t>
      </w:r>
      <w:r>
        <w:rPr>
          <w:rtl w:val="0"/>
        </w:rPr>
        <w:t xml:space="preserve">emailed to you and to the parent or guardian. File it in the client record. That email is the documentation of the event.</w:t>
      </w:r>
    </w:p>
    <w:p>
      <w:pPr>
        <w:rPr/>
      </w:pPr>
      <w:r>
        <w:rPr>
          <w:b w:val="1"/>
          <w:bCs w:val="1"/>
          <w:rtl w:val="0"/>
        </w:rPr>
        <w:t xml:space="preserve">The client's therapist is emailed </w:t>
      </w:r>
      <w:r>
        <w:rPr>
          <w:rtl w:val="0"/>
        </w:rPr>
        <w:t xml:space="preserve">where the client has one.</w:t>
      </w:r>
    </w:p>
    <w:p>
      <w:pPr>
        <w:rPr/>
      </w:pPr>
      <w:r>
        <w:rPr>
          <w:b w:val="1"/>
          <w:bCs w:val="1"/>
          <w:rtl w:val="0"/>
        </w:rPr>
        <w:t xml:space="preserve">Two questions are still with counsel: </w:t>
      </w:r>
      <w:r>
        <w:rPr>
          <w:rtl w:val="0"/>
        </w:rPr>
        <w:t xml:space="preserve">whether the specialist is a mandated reporter under Maryland law, and whether a licensed mental-health consultant should review the protocol before it is finalised. Both are on the Attorney Review Checklist. Until they are answered, the practice operates as though the reporting obligation applies.</w:t>
      </w:r>
    </w:p>
    <w:p w14:paraId="353A58D8" w14:textId="77777777" w:rsidR="00536CC3" w:rsidRDefault="00000000">
      <w:pPr>
        <w:pStyle w:val="Heading2"/>
      </w:pPr>
      <w:r>
        <w:rPr>
          <w:b w:val="0"/>
        </w:rPr>
        <w:t>Operational &amp; SOP Question Process</w:t>
      </w:r>
    </w:p>
    <w:p w14:paraId="1A6F1B7B" w14:textId="77777777" w:rsidR="00536CC3" w:rsidRDefault="00000000">
      <w:r>
        <w:t xml:space="preserve">When the specialist runs into an operational or "how do I handle this" question that isn't clearly answered in the Employee Handbook or the other SOP documents, they email you directly with the question and </w:t>
      </w:r>
      <w:r>
        <w:rPr>
          <w:b/>
        </w:rPr>
        <w:t>CC Ruby Groves</w:t>
      </w:r>
      <w:r>
        <w:t xml:space="preserve"> (</w:t>
      </w:r>
      <w:r>
        <w:rPr>
          <w:color w:val="1D4ED8"/>
        </w:rPr>
        <w:t>ruby.groves@gemini-lane.com</w:t>
      </w:r>
      <w:r>
        <w:t>).</w:t>
      </w:r>
    </w:p>
    <w:p w14:paraId="337DFC53" w14:textId="77777777" w:rsidR="00536CC3" w:rsidRDefault="00000000">
      <w:pPr>
        <w:pStyle w:val="ListBullet"/>
      </w:pPr>
      <w:r>
        <w:t>You answer the specialist directly, same as any other question — this doesn't change how you'd normally respond.</w:t>
      </w:r>
    </w:p>
    <w:p w14:paraId="0345D04D" w14:textId="77777777" w:rsidR="00536CC3" w:rsidRDefault="00000000">
      <w:pPr>
        <w:pStyle w:val="ListBullet"/>
      </w:pPr>
      <w:r>
        <w:t>The CC lets Ruby track it as a documentation gap — a question that came up because nothing written down covered it — so it can get folded into the actual SOP rather than staying a one-off answer.</w:t>
      </w:r>
    </w:p>
    <w:p w14:paraId="5840A79D" w14:textId="77777777" w:rsidR="00536CC3" w:rsidRDefault="00000000">
      <w:pPr>
        <w:pStyle w:val="Heading2"/>
      </w:pPr>
      <w:r>
        <w:rPr>
          <w:b w:val="0"/>
        </w:rPr>
        <w:t>Cancellation &amp; No-Show Tracking</w:t>
      </w:r>
    </w:p>
    <w:p w14:paraId="436B2127" w14:textId="77777777" w:rsidR="00536CC3" w:rsidRDefault="00000000">
      <w:r>
        <w:t xml:space="preserve">Early cancellations, late cancellations, and reschedules are logged as separate, distinct outcomes — not lumped into one "cancelled" bucket. See the </w:t>
      </w:r>
      <w:r>
        <w:rPr>
          <w:color w:val="1D4ED8"/>
        </w:rPr>
        <w:t>No-Show &amp; Cancellation Policy</w:t>
      </w:r>
      <w:r>
        <w:t xml:space="preserve"> for the full protocol and billing terms.</w:t>
      </w:r>
    </w:p>
    <w:p w14:paraId="7FE3BD51" w14:textId="77777777" w:rsidR="00536CC3" w:rsidRDefault="00000000">
      <w:pPr>
        <w:pStyle w:val="Heading2"/>
      </w:pPr>
      <w:r>
        <w:rPr>
          <w:b w:val="0"/>
        </w:rPr>
        <w:t>Key Contacts</w:t>
      </w:r>
    </w:p>
    <w:tbl>
      <w:tblPr>
        <w:tblStyle w:val="TableGrid"/>
        <w:tblW w:w="0" w:type="auto"/>
        <w:tblLook w:val="04A0" w:firstRow="1" w:lastRow="0" w:firstColumn="1" w:lastColumn="0" w:noHBand="0" w:noVBand="1"/>
      </w:tblPr>
      <w:tblGrid>
        <w:gridCol w:w="4680"/>
        <w:gridCol w:w="4680"/>
      </w:tblGrid>
      <w:tr w:rsidR="00536CC3" w14:paraId="02F1ED3E" w14:textId="77777777">
        <w:tc>
          <w:tcPr>
            <w:tcW w:w="4680" w:type="dxa"/>
            <w:shd w:val="clear" w:color="auto" w:fill="F1F5F9"/>
          </w:tcPr>
          <w:p w14:paraId="5EE2B8B2" w14:textId="77777777" w:rsidR="00536CC3" w:rsidRDefault="00000000">
            <w:r>
              <w:rPr>
                <w:b/>
              </w:rPr>
              <w:t>Who</w:t>
            </w:r>
          </w:p>
        </w:tc>
        <w:tc>
          <w:tcPr>
            <w:tcW w:w="4680" w:type="dxa"/>
            <w:shd w:val="clear" w:color="auto" w:fill="F1F5F9"/>
          </w:tcPr>
          <w:p w14:paraId="3AD470A3" w14:textId="77777777" w:rsidR="00536CC3" w:rsidRDefault="00000000">
            <w:r>
              <w:rPr>
                <w:b/>
              </w:rPr>
              <w:t>Role</w:t>
            </w:r>
          </w:p>
        </w:tc>
      </w:tr>
      <w:tr w:rsidR="00536CC3" w14:paraId="06670B51" w14:textId="77777777">
        <w:tc>
          <w:tcPr>
            <w:tcW w:w="4680" w:type="dxa"/>
          </w:tcPr>
          <w:p w14:paraId="162716B4" w14:textId="77777777" w:rsidR="00536CC3" w:rsidRDefault="00000000">
            <w:r>
              <w:rPr>
                <w:b/>
              </w:rPr>
              <w:t>Sarah Ritter</w:t>
            </w:r>
          </w:p>
        </w:tc>
        <w:tc>
          <w:tcPr>
            <w:tcW w:w="4680" w:type="dxa"/>
          </w:tcPr>
          <w:p w14:paraId="749EAD30" w14:textId="77777777" w:rsidR="00536CC3" w:rsidRDefault="00000000">
            <w:r>
              <w:t>Founder</w:t>
            </w:r>
          </w:p>
        </w:tc>
      </w:tr>
      <w:tr w:rsidR="00536CC3" w14:paraId="095B62A2" w14:textId="77777777">
        <w:tc>
          <w:tcPr>
            <w:tcW w:w="4680" w:type="dxa"/>
          </w:tcPr>
          <w:p w14:paraId="3A29E616" w14:textId="77777777" w:rsidR="00536CC3" w:rsidRDefault="00000000">
            <w:r>
              <w:rPr>
                <w:b/>
              </w:rPr>
              <w:t>Ruby Groves, Gemini Lane</w:t>
            </w:r>
          </w:p>
        </w:tc>
        <w:tc>
          <w:tcPr>
            <w:tcW w:w="4680" w:type="dxa"/>
          </w:tcPr>
          <w:p w14:paraId="746CB4A7" w14:textId="77777777" w:rsidR="00536CC3" w:rsidRDefault="00000000">
            <w:r>
              <w:t>Consulting engagement, Aug 12, 2026 – Jan 26, 2027</w:t>
            </w:r>
          </w:p>
        </w:tc>
      </w:tr>
      <w:tr w:rsidR="00536CC3" w14:paraId="7DBD7D8A" w14:textId="77777777">
        <w:tc>
          <w:tcPr>
            <w:tcW w:w="4680" w:type="dxa"/>
          </w:tcPr>
          <w:p w14:paraId="11E38CFD" w14:textId="77777777" w:rsidR="00536CC3" w:rsidRDefault="00000000">
            <w:r>
              <w:rPr>
                <w:b/>
              </w:rPr>
              <w:t>Bookkeeper / CPA</w:t>
            </w:r>
          </w:p>
        </w:tc>
        <w:tc>
          <w:tcPr>
            <w:tcW w:w="4680" w:type="dxa"/>
          </w:tcPr>
          <w:p w14:paraId="61A478DC" w14:textId="77777777" w:rsidR="00536CC3" w:rsidRDefault="00000000">
            <w:r>
              <w:t>TBD — name and contact info</w:t>
            </w:r>
          </w:p>
        </w:tc>
      </w:tr>
      <w:tr w:rsidR="00536CC3" w14:paraId="7BEC59F0" w14:textId="77777777">
        <w:tc>
          <w:tcPr>
            <w:tcW w:w="4680" w:type="dxa"/>
          </w:tcPr>
          <w:p w14:paraId="69860D5E" w14:textId="77777777" w:rsidR="00536CC3" w:rsidRDefault="00000000">
            <w:r>
              <w:rPr>
                <w:b/>
              </w:rPr>
              <w:t>Primary referral contacts</w:t>
            </w:r>
          </w:p>
        </w:tc>
        <w:tc>
          <w:tcPr>
            <w:tcW w:w="4680" w:type="dxa"/>
          </w:tcPr>
          <w:p w14:paraId="56BBC11D" w14:textId="77777777" w:rsidR="00536CC3" w:rsidRDefault="00000000">
            <w:r>
              <w:t>TBD — point to the referral register once it exists (Sprint 07)</w:t>
            </w:r>
          </w:p>
        </w:tc>
      </w:tr>
      <w:tr w:rsidR="00536CC3" w14:paraId="1CF8D4F0" w14:textId="77777777">
        <w:tc>
          <w:tcPr>
            <w:tcW w:w="4680" w:type="dxa"/>
          </w:tcPr>
          <w:p w14:paraId="35433550" w14:textId="77777777" w:rsidR="00536CC3" w:rsidRDefault="00000000">
            <w:r>
              <w:rPr>
                <w:b/>
              </w:rPr>
              <w:t>Website Team</w:t>
            </w:r>
          </w:p>
        </w:tc>
        <w:tc>
          <w:tcPr>
            <w:tcW w:w="4680" w:type="dxa"/>
          </w:tcPr>
          <w:p w14:paraId="6E6111E8" w14:textId="77777777" w:rsidR="00536CC3" w:rsidRDefault="00000000">
            <w:r>
              <w:t>TBD — name and contact info</w:t>
            </w:r>
          </w:p>
        </w:tc>
      </w:tr>
    </w:tbl>
    <w:p w14:paraId="34C0E865" w14:textId="77777777" w:rsidR="00536CC3" w:rsidRDefault="00000000">
      <w:pPr>
        <w:pBdr>
          <w:top w:val="single" w:sz="6" w:space="6" w:color="E4E9F0"/>
        </w:pBdr>
        <w:spacing w:before="360"/>
      </w:pPr>
      <w:r>
        <w:rPr>
          <w:i/>
          <w:color w:val="9CA3AF"/>
          <w:sz w:val="18"/>
        </w:rPr>
        <w:t>OptiMind Educational Strategies · Internal SOP — Sarah only, not for distribution to the specialist or clients.</w:t>
      </w:r>
    </w:p>
    <w:sectPr w:rsidR="00536CC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248961">
    <w:abstractNumId w:val="8"/>
  </w:num>
  <w:num w:numId="2" w16cid:durableId="139154577">
    <w:abstractNumId w:val="6"/>
  </w:num>
  <w:num w:numId="3" w16cid:durableId="979112515">
    <w:abstractNumId w:val="5"/>
  </w:num>
  <w:num w:numId="4" w16cid:durableId="600187546">
    <w:abstractNumId w:val="4"/>
  </w:num>
  <w:num w:numId="5" w16cid:durableId="4137923">
    <w:abstractNumId w:val="7"/>
  </w:num>
  <w:num w:numId="6" w16cid:durableId="621574213">
    <w:abstractNumId w:val="3"/>
  </w:num>
  <w:num w:numId="7" w16cid:durableId="1754929078">
    <w:abstractNumId w:val="2"/>
  </w:num>
  <w:num w:numId="8" w16cid:durableId="199973075">
    <w:abstractNumId w:val="1"/>
  </w:num>
  <w:num w:numId="9" w16cid:durableId="6988947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7B36"/>
    <w:rsid w:val="00536CC3"/>
    <w:rsid w:val="00AA1D8D"/>
    <w:rsid w:val="00B47730"/>
    <w:rsid w:val="00C53F5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212D9"/>
  <w14:defaultImageDpi w14:val="300"/>
  <w15:docId w15:val="{7941DB1B-2CCB-FF49-B95D-91D260240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669</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Reference Sheet (Sarah Only)</dc:title>
  <dc:subject/>
  <dc:creator>python-docx</dc:creator>
  <cp:keywords/>
  <dc:description>generated by python-docx</dc:description>
  <cp:lastModifiedBy>Ruby Groves</cp:lastModifiedBy>
  <cp:revision>2</cp:revision>
  <dcterms:created xsi:type="dcterms:W3CDTF">2013-12-23T23:15:00Z</dcterms:created>
  <dcterms:modified xsi:type="dcterms:W3CDTF">2026-08-27T20:02:00Z</dcterms:modified>
  <cp:category/>
</cp:coreProperties>
</file>