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0BE974" w14:textId="77777777" w:rsidR="006F6E7D" w:rsidRDefault="00000000">
      <w:r>
        <w:rPr>
          <w:noProof/>
        </w:rPr>
        <w:drawing>
          <wp:inline distT="0" distB="0" distL="0" distR="0" wp14:anchorId="1AD649BB" wp14:editId="29D74DC5">
            <wp:extent cx="2286000" cy="912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Mind-Logo-Long-Transpar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11D6" w14:textId="77777777" w:rsidR="006F6E7D" w:rsidRDefault="00000000">
      <w:pPr>
        <w:spacing w:after="80"/>
      </w:pPr>
      <w:r>
        <w:rPr>
          <w:b/>
          <w:color w:val="6B7280"/>
          <w:sz w:val="18"/>
        </w:rPr>
        <w:t>DRAFT — INTERNAL SOP</w:t>
      </w:r>
    </w:p>
    <w:p w14:paraId="5BA0FA9C" w14:textId="77777777" w:rsidR="006F6E7D" w:rsidRDefault="00000000">
      <w:pPr>
        <w:pStyle w:val="Heading1"/>
      </w:pPr>
      <w:r>
        <w:rPr>
          <w:b w:val="0"/>
        </w:rPr>
        <w:t>Screening Protocol</w:t>
      </w:r>
    </w:p>
    <w:p w14:paraId="49BB1188" w14:textId="77777777" w:rsidR="006F6E7D" w:rsidRDefault="00000000">
      <w:r>
        <w:rPr>
          <w:i/>
          <w:color w:val="6B7280"/>
        </w:rPr>
        <w:t>OptiMind Educational Strategies — prepared by Ruby Groves, Gemini Lane</w:t>
      </w:r>
    </w:p>
    <w:p w14:paraId="289C6699" w14:textId="77777777" w:rsidR="006F6E7D" w:rsidRDefault="00000000">
      <w:pPr>
        <w:pBdr>
          <w:top w:val="single" w:sz="6" w:space="6" w:color="E4E9F0"/>
        </w:pBdr>
        <w:spacing w:after="280"/>
      </w:pPr>
      <w:r>
        <w:rPr>
          <w:b/>
          <w:color w:val="6B7280"/>
          <w:sz w:val="18"/>
        </w:rPr>
        <w:t>Status</w:t>
      </w:r>
      <w:r>
        <w:rPr>
          <w:color w:val="6B7280"/>
          <w:sz w:val="18"/>
        </w:rPr>
        <w:t xml:space="preserve"> · Draft</w:t>
      </w:r>
      <w:r>
        <w:rPr>
          <w:color w:val="9CA3AF"/>
          <w:sz w:val="18"/>
        </w:rPr>
        <w:t xml:space="preserve">    |    </w:t>
      </w:r>
      <w:r>
        <w:rPr>
          <w:b/>
          <w:color w:val="6B7280"/>
          <w:sz w:val="18"/>
        </w:rPr>
        <w:t>Last updated</w:t>
      </w:r>
      <w:r>
        <w:rPr>
          <w:color w:val="6B7280"/>
          <w:sz w:val="18"/>
        </w:rPr>
        <w:t xml:space="preserve"> · Aug 21, 2026</w:t>
      </w:r>
    </w:p>
    <w:p w14:paraId="1318CD68" w14:textId="77777777" w:rsidR="006F6E7D" w:rsidRDefault="00000000">
      <w:pPr>
        <w:pStyle w:val="Heading2"/>
      </w:pPr>
      <w:r>
        <w:rPr>
          <w:b w:val="0"/>
        </w:rPr>
        <w:t>Background Check Companies</w:t>
      </w:r>
    </w:p>
    <w:p w14:paraId="398CCFBF" w14:textId="77777777" w:rsidR="006F6E7D" w:rsidRDefault="00000000">
      <w:r>
        <w:t>Any of these three work for one-off small-business hiring, no minimum volume required.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F6E7D" w14:paraId="73BEFB62" w14:textId="77777777">
        <w:tc>
          <w:tcPr>
            <w:tcW w:w="4680" w:type="dxa"/>
            <w:shd w:val="clear" w:color="auto" w:fill="F1F5F9"/>
          </w:tcPr>
          <w:p w14:paraId="6A0A985E" w14:textId="77777777" w:rsidR="006F6E7D" w:rsidRDefault="00000000">
            <w:r>
              <w:rPr>
                <w:b/>
              </w:rPr>
              <w:t>Company</w:t>
            </w:r>
          </w:p>
        </w:tc>
        <w:tc>
          <w:tcPr>
            <w:tcW w:w="4680" w:type="dxa"/>
            <w:shd w:val="clear" w:color="auto" w:fill="F1F5F9"/>
          </w:tcPr>
          <w:p w14:paraId="33844104" w14:textId="77777777" w:rsidR="006F6E7D" w:rsidRDefault="00000000">
            <w:r>
              <w:rPr>
                <w:b/>
              </w:rPr>
              <w:t>Pricing</w:t>
            </w:r>
          </w:p>
        </w:tc>
      </w:tr>
      <w:tr w:rsidR="006F6E7D" w14:paraId="374B9C5E" w14:textId="77777777">
        <w:tc>
          <w:tcPr>
            <w:tcW w:w="4680" w:type="dxa"/>
          </w:tcPr>
          <w:p w14:paraId="00BEE301" w14:textId="77777777" w:rsidR="006F6E7D" w:rsidRDefault="00000000">
            <w:r>
              <w:rPr>
                <w:b/>
              </w:rPr>
              <w:t>GoodHire</w:t>
            </w:r>
          </w:p>
        </w:tc>
        <w:tc>
          <w:tcPr>
            <w:tcW w:w="4680" w:type="dxa"/>
          </w:tcPr>
          <w:p w14:paraId="36174F57" w14:textId="77777777" w:rsidR="006F6E7D" w:rsidRDefault="00000000">
            <w:r>
              <w:t>~$30 (identity, national criminal, sex offender registry) · ~$60 (adds unlimited county criminal) · ~$95 (adds state/federal criminal). Verifications priced separately.</w:t>
            </w:r>
          </w:p>
        </w:tc>
      </w:tr>
      <w:tr w:rsidR="006F6E7D" w14:paraId="3CC8451E" w14:textId="77777777">
        <w:tc>
          <w:tcPr>
            <w:tcW w:w="4680" w:type="dxa"/>
          </w:tcPr>
          <w:p w14:paraId="6ABA8655" w14:textId="77777777" w:rsidR="006F6E7D" w:rsidRDefault="00000000">
            <w:r>
              <w:rPr>
                <w:b/>
              </w:rPr>
              <w:t>Checkr</w:t>
            </w:r>
          </w:p>
        </w:tc>
        <w:tc>
          <w:tcPr>
            <w:tcW w:w="4680" w:type="dxa"/>
          </w:tcPr>
          <w:p w14:paraId="10C04FF6" w14:textId="77777777" w:rsidR="006F6E7D" w:rsidRDefault="00000000">
            <w:r>
              <w:t>Comparable small-business tiers; confirm current pricing.</w:t>
            </w:r>
          </w:p>
        </w:tc>
      </w:tr>
      <w:tr w:rsidR="006F6E7D" w14:paraId="3E30A244" w14:textId="77777777">
        <w:tc>
          <w:tcPr>
            <w:tcW w:w="4680" w:type="dxa"/>
          </w:tcPr>
          <w:p w14:paraId="6A1064F1" w14:textId="77777777" w:rsidR="006F6E7D" w:rsidRDefault="00000000">
            <w:r>
              <w:rPr>
                <w:b/>
              </w:rPr>
              <w:t>Sterling</w:t>
            </w:r>
          </w:p>
        </w:tc>
        <w:tc>
          <w:tcPr>
            <w:tcW w:w="4680" w:type="dxa"/>
          </w:tcPr>
          <w:p w14:paraId="11FD519D" w14:textId="77777777" w:rsidR="006F6E7D" w:rsidRDefault="00000000">
            <w:r>
              <w:t>Comparable small-business tiers; confirm current pricing.</w:t>
            </w:r>
          </w:p>
        </w:tc>
      </w:tr>
    </w:tbl>
    <w:p w14:paraId="03EEF20C" w14:textId="77777777" w:rsidR="00465372" w:rsidRDefault="00465372"/>
    <w:p w14:paraId="6ACDE750" w14:textId="22DFEF60" w:rsidR="006F6E7D" w:rsidRDefault="00000000">
      <w:r>
        <w:t xml:space="preserve">Recommended: the </w:t>
      </w:r>
      <w:r>
        <w:rPr>
          <w:b/>
        </w:rPr>
        <w:t>middle tier</w:t>
      </w:r>
      <w:r>
        <w:t xml:space="preserve"> — county-level criminal search is the part that actually matters, and a package that only offers a "national database" search is not a defensible check on its own. Budget roughly $60–$120 per hire including verifications.</w:t>
      </w:r>
    </w:p>
    <w:p w14:paraId="782FD561" w14:textId="77777777" w:rsidR="006F6E7D" w:rsidRDefault="00000000">
      <w:pPr>
        <w:pStyle w:val="Heading2"/>
      </w:pPr>
      <w:r>
        <w:rPr>
          <w:b w:val="0"/>
        </w:rPr>
        <w:t>How to Conduct a Background Check</w:t>
      </w:r>
    </w:p>
    <w:p w14:paraId="5E19EB0A" w14:textId="77777777" w:rsidR="006F6E7D" w:rsidRDefault="00000000">
      <w:pPr>
        <w:pStyle w:val="ListNumber"/>
      </w:pPr>
      <w:r>
        <w:t>Interview the candidate first. Near the end of a promising interview, mention the role is subject to a background check before start.</w:t>
      </w:r>
    </w:p>
    <w:p w14:paraId="235AC1C4" w14:textId="77777777" w:rsidR="006F6E7D" w:rsidRDefault="00000000">
      <w:pPr>
        <w:pStyle w:val="ListNumber"/>
      </w:pPr>
      <w:r>
        <w:t>Make the offer conditional, in writing, on passing the background check.</w:t>
      </w:r>
    </w:p>
    <w:p w14:paraId="6BC83B97" w14:textId="77777777" w:rsidR="006F6E7D" w:rsidRDefault="00000000">
      <w:pPr>
        <w:pStyle w:val="ListNumber"/>
      </w:pPr>
      <w:r>
        <w:t>Send the disclosure form and get written authorization back — two separate documents, not combined with the offer letter or anything else.</w:t>
      </w:r>
    </w:p>
    <w:p w14:paraId="7BA30351" w14:textId="77777777" w:rsidR="006F6E7D" w:rsidRDefault="00000000">
      <w:pPr>
        <w:pStyle w:val="ListNumber"/>
      </w:pPr>
      <w:r>
        <w:t>Order the check the same day authorization comes back. While it runs, make reference calls in parallel — don't wait on the report first.</w:t>
      </w:r>
    </w:p>
    <w:p w14:paraId="37C3372F" w14:textId="77777777" w:rsidR="006F6E7D" w:rsidRDefault="00000000">
      <w:pPr>
        <w:pStyle w:val="ListNumber"/>
      </w:pPr>
      <w:r>
        <w:t>If the report is clean: confirm the start date and file the signed disclosure, authorization, and report in a restricted personnel folder (never the client-facing Drive structure).</w:t>
      </w:r>
    </w:p>
    <w:p w14:paraId="5728CA2F" w14:textId="77777777" w:rsidR="006F6E7D" w:rsidRDefault="00000000">
      <w:pPr>
        <w:pStyle w:val="ListNumber"/>
      </w:pPr>
      <w:r>
        <w:t>If something surfaces: don't auto-disqualify. Weigh the nature of it, how long ago it was, and its relevance to the job. If it might change the decision, send the candidate the report plus a pre-</w:t>
      </w:r>
      <w:r>
        <w:lastRenderedPageBreak/>
        <w:t>adverse notice, wait five business days, then send a final adverse-action notice if the decision stands.</w:t>
      </w:r>
    </w:p>
    <w:p w14:paraId="4253905E" w14:textId="77777777" w:rsidR="006F6E7D" w:rsidRDefault="00000000">
      <w:pPr>
        <w:pBdr>
          <w:top w:val="single" w:sz="6" w:space="6" w:color="E4E9F0"/>
        </w:pBdr>
        <w:spacing w:before="360"/>
      </w:pPr>
      <w:proofErr w:type="spellStart"/>
      <w:r>
        <w:rPr>
          <w:i/>
          <w:color w:val="9CA3AF"/>
          <w:sz w:val="18"/>
        </w:rPr>
        <w:t>OptiMind</w:t>
      </w:r>
      <w:proofErr w:type="spellEnd"/>
      <w:r>
        <w:rPr>
          <w:i/>
          <w:color w:val="9CA3AF"/>
          <w:sz w:val="18"/>
        </w:rPr>
        <w:t xml:space="preserve"> Educational Strategies · Internal SOP — not for client distribution.</w:t>
      </w:r>
    </w:p>
    <w:sectPr w:rsidR="006F6E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9535">
    <w:abstractNumId w:val="8"/>
  </w:num>
  <w:num w:numId="2" w16cid:durableId="1838308267">
    <w:abstractNumId w:val="6"/>
  </w:num>
  <w:num w:numId="3" w16cid:durableId="1023361380">
    <w:abstractNumId w:val="5"/>
  </w:num>
  <w:num w:numId="4" w16cid:durableId="1300111578">
    <w:abstractNumId w:val="4"/>
  </w:num>
  <w:num w:numId="5" w16cid:durableId="1567909012">
    <w:abstractNumId w:val="7"/>
  </w:num>
  <w:num w:numId="6" w16cid:durableId="207690088">
    <w:abstractNumId w:val="3"/>
  </w:num>
  <w:num w:numId="7" w16cid:durableId="1140341395">
    <w:abstractNumId w:val="2"/>
  </w:num>
  <w:num w:numId="8" w16cid:durableId="961690002">
    <w:abstractNumId w:val="1"/>
  </w:num>
  <w:num w:numId="9" w16cid:durableId="10333863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372"/>
    <w:rsid w:val="006F6E7D"/>
    <w:rsid w:val="00AA1D8D"/>
    <w:rsid w:val="00B47730"/>
    <w:rsid w:val="00C53F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6F811"/>
  <w14:defaultImageDpi w14:val="300"/>
  <w15:docId w15:val="{7941DB1B-2CCB-FF49-B95D-91D26024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Protocol</dc:title>
  <dc:subject/>
  <dc:creator>python-docx</dc:creator>
  <cp:keywords/>
  <dc:description>generated by python-docx</dc:description>
  <cp:lastModifiedBy>Ruby Groves</cp:lastModifiedBy>
  <cp:revision>2</cp:revision>
  <dcterms:created xsi:type="dcterms:W3CDTF">2013-12-23T23:15:00Z</dcterms:created>
  <dcterms:modified xsi:type="dcterms:W3CDTF">2026-08-27T20:04:00Z</dcterms:modified>
  <cp:category/>
</cp:coreProperties>
</file>