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912940"/>
            <wp:docPr id="1" name="Picture 1"/>
            <wp:cNvGraphicFramePr>
              <a:graphicFrameLocks noChangeAspect="1"/>
            </wp:cNvGraphicFramePr>
            <a:graphic>
              <a:graphicData uri="http://schemas.openxmlformats.org/drawingml/2006/picture">
                <pic:pic>
                  <pic:nvPicPr>
                    <pic:cNvPr id="0" name="_docximg_4430124848_1.png"/>
                    <pic:cNvPicPr/>
                  </pic:nvPicPr>
                  <pic:blipFill>
                    <a:blip r:embed="rId9"/>
                    <a:stretch>
                      <a:fillRect/>
                    </a:stretch>
                  </pic:blipFill>
                  <pic:spPr>
                    <a:xfrm>
                      <a:off x="0" y="0"/>
                      <a:ext cx="2286000" cy="912940"/>
                    </a:xfrm>
                    <a:prstGeom prst="rect"/>
                  </pic:spPr>
                </pic:pic>
              </a:graphicData>
            </a:graphic>
          </wp:inline>
        </w:drawing>
      </w:r>
    </w:p>
    <w:p>
      <w:pPr>
        <w:spacing w:after="80"/>
      </w:pPr>
      <w:r>
        <w:rPr>
          <w:b/>
          <w:color w:val="6B7280"/>
          <w:sz w:val="18"/>
        </w:rPr>
        <w:t>DRAFT — FOR SARAH'S REVIEW</w:t>
      </w:r>
    </w:p>
    <w:p>
      <w:pPr>
        <w:pStyle w:val="Heading1"/>
      </w:pPr>
      <w:r>
        <w:rPr>
          <w:b w:val="0"/>
          <w:i w:val="0"/>
        </w:rPr>
        <w:t>Parent Accountability Contract / Terms of Service</w:t>
      </w:r>
    </w:p>
    <w:p>
      <w:pPr>
        <w:spacing w:after="200"/>
      </w:pPr>
      <w:r>
        <w:rPr>
          <w:i/>
          <w:color w:val="6B7280"/>
        </w:rPr>
        <w:t>OptiMind Educational Strategies — prepared by Ruby Groves, Gemini Lane</w:t>
      </w:r>
    </w:p>
    <w:p>
      <w:pPr>
        <w:spacing w:after="280"/>
        <w:pBdr>
          <w:top w:val="single" w:sz="6" w:space="6" w:color="E4E9F0"/>
        </w:pBdr>
      </w:pPr>
      <w:r>
        <w:rPr>
          <w:b/>
          <w:i w:val="0"/>
          <w:color w:val="6B7280"/>
          <w:sz w:val="18"/>
        </w:rPr>
        <w:t>Applies to</w:t>
      </w:r>
      <w:r>
        <w:rPr>
          <w:b w:val="0"/>
          <w:i w:val="0"/>
          <w:color w:val="6B7280"/>
          <w:sz w:val="18"/>
        </w:rPr>
        <w:t xml:space="preserve"> · Parents/guardians of clients under 18</w:t>
      </w:r>
      <w:r>
        <w:rPr>
          <w:color w:val="9CA3AF"/>
          <w:sz w:val="18"/>
        </w:rPr>
        <w:t xml:space="preserve">    |    </w:t>
      </w:r>
      <w:r>
        <w:rPr>
          <w:b/>
          <w:i w:val="0"/>
          <w:color w:val="6B7280"/>
          <w:sz w:val="18"/>
        </w:rPr>
        <w:t>Status</w:t>
      </w:r>
      <w:r>
        <w:rPr>
          <w:b w:val="0"/>
          <w:i w:val="0"/>
          <w:color w:val="6B7280"/>
          <w:sz w:val="18"/>
        </w:rPr>
        <w:t xml:space="preserve"> · Draft</w:t>
      </w:r>
      <w:r>
        <w:rPr>
          <w:color w:val="9CA3AF"/>
          <w:sz w:val="18"/>
        </w:rPr>
        <w:t xml:space="preserve">    |    </w:t>
      </w:r>
      <w:r>
        <w:rPr>
          <w:b/>
          <w:i w:val="0"/>
          <w:color w:val="6B7280"/>
          <w:sz w:val="18"/>
        </w:rPr>
        <w:t>Last updated</w:t>
      </w:r>
      <w:r>
        <w:rPr>
          <w:b w:val="0"/>
          <w:i w:val="0"/>
          <w:color w:val="6B7280"/>
          <w:sz w:val="18"/>
        </w:rPr>
        <w:t xml:space="preserve"> · Aug 16, 2026</w:t>
      </w:r>
    </w:p>
    <w:p>
      <w:pPr>
        <w:shd w:fill="FEF2F2"/>
        <w:pBdr>
          <w:left w:val="single" w:sz="18" w:space="8" w:color="EF4444"/>
        </w:pBdr>
        <w:spacing w:before="200" w:after="200"/>
      </w:pPr>
      <w:r>
        <w:rPr>
          <w:b/>
          <w:i w:val="0"/>
        </w:rPr>
        <w:t>Not legal advice.</w:t>
      </w:r>
      <w:r>
        <w:rPr>
          <w:b w:val="0"/>
          <w:i w:val="0"/>
        </w:rPr>
        <w:t xml:space="preserve"> This is a planning draft, not a finished client-facing contract. It should be reviewed by an attorney before use, and is meant as a supplement to the existing service agreement signed at intake (currently handled through PandaDoc) — not a replacement for it.</w:t>
      </w:r>
    </w:p>
    <w:p>
      <w:pPr>
        <w:pStyle w:val="Heading2"/>
      </w:pPr>
      <w:r>
        <w:rPr>
          <w:b/>
          <w:i w:val="0"/>
        </w:rPr>
        <w:t>1.</w:t>
      </w:r>
      <w:r>
        <w:t xml:space="preserve"> </w:t>
      </w:r>
      <w:r>
        <w:rPr>
          <w:b w:val="0"/>
          <w:i w:val="0"/>
        </w:rPr>
        <w:t>Purpose</w:t>
      </w:r>
    </w:p>
    <w:p>
      <w:r>
        <w:rPr>
          <w:b w:val="0"/>
          <w:i w:val="0"/>
        </w:rPr>
        <w:t>Consistent parent involvement is one of the clearest predictors of if a client succeeds.</w:t>
      </w:r>
    </w:p>
    <w:p>
      <w:pPr>
        <w:pStyle w:val="Heading2"/>
      </w:pPr>
      <w:r>
        <w:rPr>
          <w:b/>
          <w:i w:val="0"/>
        </w:rPr>
        <w:t>2.</w:t>
      </w:r>
      <w:r>
        <w:t xml:space="preserve"> </w:t>
      </w:r>
      <w:r>
        <w:rPr>
          <w:b w:val="0"/>
          <w:i w:val="0"/>
        </w:rPr>
        <w:t>Required Parent Sessions</w:t>
      </w:r>
    </w:p>
    <w:p>
      <w:pPr>
        <w:pStyle w:val="ListBullet"/>
      </w:pPr>
      <w:r>
        <w:rPr>
          <w:b w:val="0"/>
          <w:i w:val="0"/>
        </w:rPr>
        <w:t>A parent or guardian session is required once every other week for the first two months of the client's enrollment, then once a month after that.</w:t>
      </w:r>
    </w:p>
    <w:p>
      <w:pPr>
        <w:pStyle w:val="ListBullet"/>
      </w:pPr>
      <w:r>
        <w:rPr>
          <w:b w:val="0"/>
          <w:i w:val="0"/>
        </w:rPr>
        <w:t>The full term's parent sessions are booked at one time, after the first week of client sessions, rather than scheduled one at a time.</w:t>
      </w:r>
    </w:p>
    <w:p>
      <w:pPr>
        <w:pStyle w:val="ListBullet"/>
      </w:pPr>
      <w:r>
        <w:rPr>
          <w:b w:val="0"/>
          <w:i w:val="0"/>
        </w:rPr>
        <w:t>At the end of the 4th parent session, a cadence is determined and the sessions for the upcoming month or two are booked, where possible.</w:t>
      </w:r>
    </w:p>
    <w:p>
      <w:pPr>
        <w:pStyle w:val="Heading2"/>
      </w:pPr>
      <w:r>
        <w:rPr>
          <w:b/>
          <w:i w:val="0"/>
        </w:rPr>
        <w:t>3.</w:t>
      </w:r>
      <w:r>
        <w:t xml:space="preserve"> </w:t>
      </w:r>
      <w:r>
        <w:rPr>
          <w:b w:val="0"/>
          <w:i w:val="0"/>
        </w:rPr>
        <w:t>Reminders</w:t>
      </w:r>
    </w:p>
    <w:p>
      <w:r>
        <w:rPr>
          <w:b w:val="0"/>
          <w:i w:val="0"/>
        </w:rPr>
        <w:t>An automatic reminder goes out ahead of each scheduled parent session, so attendance doesn't depend on remembering.</w:t>
      </w:r>
    </w:p>
    <w:p>
      <w:pPr>
        <w:pStyle w:val="Heading2"/>
      </w:pPr>
      <w:r>
        <w:rPr>
          <w:b/>
          <w:i w:val="0"/>
        </w:rPr>
        <w:t>4.</w:t>
      </w:r>
      <w:r>
        <w:t xml:space="preserve"> </w:t>
      </w:r>
      <w:r>
        <w:rPr>
          <w:b w:val="0"/>
          <w:i w:val="0"/>
        </w:rPr>
        <w:t>Non-Adherence</w:t>
      </w:r>
    </w:p>
    <w:p>
      <w:r>
        <w:rPr>
          <w:b w:val="0"/>
          <w:i w:val="0"/>
        </w:rPr>
        <w:t>If a scheduled parent session is missed:</w:t>
      </w:r>
    </w:p>
    <w:p>
      <w:pPr>
        <w:pStyle w:val="ListBullet"/>
      </w:pPr>
      <w:r>
        <w:rPr>
          <w:b w:val="0"/>
          <w:i w:val="0"/>
        </w:rPr>
        <w:t>"Scheduled" is measured against the confirmed cadence — every other week for the first two months, then monthly after that, and re-set at the end of the 4th parent session.</w:t>
      </w:r>
    </w:p>
    <w:p>
      <w:pPr>
        <w:pStyle w:val="ListBullet"/>
      </w:pPr>
      <w:r>
        <w:rPr>
          <w:b w:val="0"/>
          <w:i w:val="0"/>
        </w:rPr>
        <w:t xml:space="preserve">An automatic rebooking prompt is triggered immediately — the session gets rescheduled, not simply dropped. This needs to be suppressible if a new booking was already made during the missed session's own conversation, so the parent doesn't get a redundant prompt. </w:t>
      </w:r>
      <w:r>
        <w:rPr>
          <w:b/>
          <w:i w:val="0"/>
          <w:color w:val="B45309"/>
          <w:highlight w:val="yellow"/>
        </w:rPr>
        <w:t>TBD — Ruby to check whether Calendly supports this before it's built this way.</w:t>
      </w:r>
    </w:p>
    <w:p>
      <w:pPr>
        <w:pStyle w:val="ListBullet"/>
      </w:pPr>
      <w:r>
        <w:rPr>
          <w:b/>
          <w:i w:val="0"/>
          <w:color w:val="B45309"/>
          <w:highlight w:val="yellow"/>
        </w:rPr>
        <w:t>TBD — exact number of missed sessions still open</w:t>
      </w:r>
      <w:r>
        <w:rPr>
          <w:b w:val="0"/>
          <w:i w:val="0"/>
        </w:rPr>
        <w:t xml:space="preserve"> — if a parent misses multiple sessions in a row for a client assigned to the employee/specialist, this escalates to Sarah, who steps in to work directly with the client and parent to reinforce that parent sessions need to happen regularly — consistent with the New Hire Decision List's escalation tier for this exact scenario.</w:t>
      </w:r>
    </w:p>
    <w:p>
      <w:pPr>
        <w:pStyle w:val="ListBullet"/>
      </w:pPr>
      <w:r>
        <w:rPr>
          <w:b w:val="0"/>
          <w:i w:val="0"/>
        </w:rPr>
        <w:t xml:space="preserve">Sarah's existing 24-hour cancellation policy applies to parent sessions the same as it does to client sessions. </w:t>
      </w:r>
      <w:r>
        <w:rPr>
          <w:b/>
          <w:i w:val="0"/>
          <w:color w:val="B45309"/>
          <w:highlight w:val="yellow"/>
        </w:rPr>
        <w:t>TBD — confirm the exact terms (fee amount, notice window) so they can be stated here rather than just referenced.</w:t>
      </w:r>
    </w:p>
    <w:p>
      <w:pPr>
        <w:pStyle w:val="ListBullet"/>
      </w:pPr>
      <w:r>
        <w:rPr>
          <w:b w:val="0"/>
          <w:i w:val="0"/>
        </w:rPr>
        <w:t>Who cancelled — parent, provider, or client — is recorded in the client record alongside the cancellation, so cancellation and rebooking patterns can be tracked against that client's progress over time. Early cancellations, late cancellations, and reschedules are logged as separate outcomes, not lumped into one "cancelled" bucket, per the No-Show &amp; Cancellation Policy.</w:t>
      </w:r>
    </w:p>
    <w:p>
      <w:pPr>
        <w:pStyle w:val="ListBullet"/>
      </w:pPr>
      <w:r>
        <w:rPr>
          <w:b/>
          <w:i w:val="0"/>
          <w:color w:val="B45309"/>
          <w:highlight w:val="yellow"/>
        </w:rPr>
        <w:t>TBD — not yet decided</w:t>
      </w:r>
      <w:r>
        <w:rPr>
          <w:b w:val="0"/>
          <w:i w:val="0"/>
        </w:rPr>
        <w:t xml:space="preserve"> — whether continued non-adherence beyond the escalation conversation affects continued enrollment, on top of the cancellation fee. This needs Sarah's decision before it's written as binding policy.</w:t>
      </w:r>
    </w:p>
    <w:p>
      <w:pPr>
        <w:pStyle w:val="Heading2"/>
      </w:pPr>
      <w:r>
        <w:rPr>
          <w:b/>
          <w:i w:val="0"/>
        </w:rPr>
        <w:t>5.</w:t>
      </w:r>
      <w:r>
        <w:t xml:space="preserve"> </w:t>
      </w:r>
      <w:r>
        <w:rPr>
          <w:b w:val="0"/>
          <w:i w:val="0"/>
        </w:rPr>
        <w:t>Acknowledgment</w:t>
      </w:r>
    </w:p>
    <w:p>
      <w:r>
        <w:rPr>
          <w:b w:val="0"/>
          <w:i w:val="0"/>
        </w:rPr>
        <w:t>By signing below, the parent/guardian acknowledges the required parent-session cadence described above and the process that follows a missed session.</w:t>
      </w:r>
    </w:p>
    <w:tbl>
      <w:tblPr>
        <w:tblW w:type="auto" w:w="0"/>
        <w:tblLook w:firstColumn="1" w:firstRow="1" w:lastColumn="0" w:lastRow="0" w:noHBand="0" w:noVBand="1" w:val="04A0"/>
      </w:tblPr>
      <w:tblGrid>
        <w:gridCol w:w="4680"/>
        <w:gridCol w:w="4680"/>
      </w:tblGrid>
      <w:tr>
        <w:tc>
          <w:tcPr>
            <w:tcW w:type="dxa" w:w="4680"/>
          </w:tcPr>
          <w:p>
            <w:pPr>
              <w:spacing w:before="480"/>
              <w:pBdr>
                <w:top w:val="single" w:sz="6" w:space="6" w:color="333333"/>
              </w:pBdr>
            </w:pPr>
            <w:r/>
          </w:p>
        </w:tc>
        <w:tc>
          <w:tcPr>
            <w:tcW w:type="dxa" w:w="4680"/>
          </w:tcPr>
          <w:p>
            <w:pPr>
              <w:spacing w:before="480"/>
              <w:pBdr>
                <w:top w:val="single" w:sz="6" w:space="6" w:color="333333"/>
              </w:pBdr>
            </w:pPr>
            <w:r/>
          </w:p>
        </w:tc>
      </w:tr>
      <w:tr>
        <w:tc>
          <w:tcPr>
            <w:tcW w:type="dxa" w:w="4680"/>
          </w:tcPr>
          <w:p>
            <w:r/>
            <w:r>
              <w:rPr>
                <w:color w:val="9CA3AF"/>
                <w:sz w:val="18"/>
              </w:rPr>
              <w:t>Parent/Guardian signature &amp; date</w:t>
            </w:r>
          </w:p>
        </w:tc>
        <w:tc>
          <w:tcPr>
            <w:tcW w:type="dxa" w:w="4680"/>
          </w:tcPr>
          <w:p>
            <w:r/>
            <w:r>
              <w:rPr>
                <w:color w:val="9CA3AF"/>
                <w:sz w:val="18"/>
              </w:rPr>
              <w:t>Sarah Ritter, Founder &amp; date</w:t>
            </w:r>
          </w:p>
        </w:tc>
      </w:tr>
    </w:tbl>
    <w:p/>
    <w:p>
      <w:pPr>
        <w:spacing w:before="360"/>
        <w:pBdr>
          <w:top w:val="single" w:sz="6" w:space="6" w:color="E4E9F0"/>
        </w:pBdr>
      </w:pPr>
      <w:r>
        <w:rPr>
          <w:i/>
          <w:color w:val="9CA3AF"/>
          <w:sz w:val="18"/>
        </w:rPr>
        <w:t>OptiMind Educational Strategies · Internal draft — not legal advice, not for distribution until reviewed.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Accountability Contract / Terms of Service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