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A706CF" w14:textId="77777777" w:rsidR="008F31EF" w:rsidRDefault="00000000">
      <w:r>
        <w:rPr>
          <w:noProof/>
        </w:rPr>
        <w:drawing>
          <wp:inline distT="0" distB="0" distL="0" distR="0" wp14:anchorId="46B6B62F" wp14:editId="6A77FB45">
            <wp:extent cx="2286000" cy="912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docximg_4393711504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12CF" w14:textId="77777777" w:rsidR="008F31EF" w:rsidRDefault="00000000">
      <w:pPr>
        <w:spacing w:after="80"/>
      </w:pPr>
      <w:r>
        <w:rPr>
          <w:b/>
          <w:color w:val="6B7280"/>
          <w:sz w:val="18"/>
        </w:rPr>
        <w:t>DRAFT — INTERNAL SOP</w:t>
      </w:r>
    </w:p>
    <w:p w14:paraId="75876058" w14:textId="77777777" w:rsidR="008F31EF" w:rsidRDefault="00000000">
      <w:pPr>
        <w:pStyle w:val="Heading1"/>
      </w:pPr>
      <w:r>
        <w:rPr>
          <w:b w:val="0"/>
        </w:rPr>
        <w:t>Rate Sheet</w:t>
      </w:r>
    </w:p>
    <w:p w14:paraId="6588054E" w14:textId="77777777" w:rsidR="008F31EF" w:rsidRDefault="00000000">
      <w:r>
        <w:rPr>
          <w:i/>
          <w:color w:val="6B7280"/>
        </w:rPr>
        <w:t>OptiMind Educational Strategies — prepared by Ruby Groves, Gemini Lane</w:t>
      </w:r>
    </w:p>
    <w:p w14:paraId="2E406C69" w14:textId="77777777" w:rsidR="008F31EF" w:rsidRDefault="00000000">
      <w:pPr>
        <w:pBdr>
          <w:top w:val="single" w:sz="6" w:space="6" w:color="E4E9F0"/>
        </w:pBdr>
        <w:spacing w:after="280"/>
      </w:pPr>
      <w:r>
        <w:rPr>
          <w:b/>
          <w:color w:val="6B7280"/>
          <w:sz w:val="18"/>
        </w:rPr>
        <w:t>Status</w:t>
      </w:r>
      <w:r>
        <w:rPr>
          <w:color w:val="6B7280"/>
          <w:sz w:val="18"/>
        </w:rPr>
        <w:t xml:space="preserve"> · Draft</w:t>
      </w:r>
      <w:r>
        <w:rPr>
          <w:color w:val="9CA3AF"/>
          <w:sz w:val="18"/>
        </w:rPr>
        <w:t xml:space="preserve">    |    </w:t>
      </w:r>
      <w:r>
        <w:rPr>
          <w:b/>
          <w:color w:val="6B7280"/>
          <w:sz w:val="18"/>
        </w:rPr>
        <w:t>Last updated</w:t>
      </w:r>
      <w:r>
        <w:rPr>
          <w:color w:val="6B7280"/>
          <w:sz w:val="18"/>
        </w:rPr>
        <w:t xml:space="preserve"> · Aug 16, 2026</w:t>
      </w:r>
    </w:p>
    <w:p w14:paraId="788BC145" w14:textId="77777777" w:rsidR="008F31EF" w:rsidRDefault="00000000">
      <w:pPr>
        <w:pStyle w:val="Heading2"/>
      </w:pPr>
      <w:r>
        <w:rPr>
          <w:b w:val="0"/>
        </w:rPr>
        <w:t>What the Rate Sheet Covers</w:t>
      </w:r>
    </w:p>
    <w:p w14:paraId="24827F0F" w14:textId="77777777" w:rsidR="008F31EF" w:rsidRDefault="00000000">
      <w:r>
        <w:t xml:space="preserve">Pulled from the </w:t>
      </w:r>
      <w:r>
        <w:rPr>
          <w:color w:val="1D4ED8"/>
        </w:rPr>
        <w:t>New Client Service Agreement</w:t>
      </w:r>
      <w:r>
        <w:t xml:space="preserve"> (Exhibit B, Fee Schedule).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31EF" w14:paraId="51A1F009" w14:textId="77777777">
        <w:tc>
          <w:tcPr>
            <w:tcW w:w="4680" w:type="dxa"/>
            <w:shd w:val="clear" w:color="auto" w:fill="F1F5F9"/>
          </w:tcPr>
          <w:p w14:paraId="3D513A31" w14:textId="77777777" w:rsidR="008F31EF" w:rsidRDefault="00000000">
            <w:r>
              <w:rPr>
                <w:b/>
              </w:rPr>
              <w:t>Service</w:t>
            </w:r>
          </w:p>
        </w:tc>
        <w:tc>
          <w:tcPr>
            <w:tcW w:w="4680" w:type="dxa"/>
            <w:shd w:val="clear" w:color="auto" w:fill="F1F5F9"/>
          </w:tcPr>
          <w:p w14:paraId="7032382C" w14:textId="77777777" w:rsidR="008F31EF" w:rsidRDefault="00000000">
            <w:r>
              <w:rPr>
                <w:b/>
              </w:rPr>
              <w:t>Rate</w:t>
            </w:r>
          </w:p>
        </w:tc>
      </w:tr>
      <w:tr w:rsidR="008F31EF" w14:paraId="113A3607" w14:textId="77777777">
        <w:tc>
          <w:tcPr>
            <w:tcW w:w="4680" w:type="dxa"/>
          </w:tcPr>
          <w:p w14:paraId="4C827371" w14:textId="77777777" w:rsidR="008F31EF" w:rsidRDefault="00000000">
            <w:r>
              <w:rPr>
                <w:b/>
              </w:rPr>
              <w:t>New Client Intake Meeting</w:t>
            </w:r>
          </w:p>
        </w:tc>
        <w:tc>
          <w:tcPr>
            <w:tcW w:w="4680" w:type="dxa"/>
          </w:tcPr>
          <w:p w14:paraId="43939EA7" w14:textId="77777777" w:rsidR="008F31EF" w:rsidRDefault="00000000">
            <w:r>
              <w:t>$500.00 per Session</w:t>
            </w:r>
          </w:p>
        </w:tc>
      </w:tr>
      <w:tr w:rsidR="008F31EF" w14:paraId="12F73F89" w14:textId="77777777">
        <w:tc>
          <w:tcPr>
            <w:tcW w:w="4680" w:type="dxa"/>
          </w:tcPr>
          <w:p w14:paraId="0137575B" w14:textId="77777777" w:rsidR="008F31EF" w:rsidRDefault="00000000">
            <w:r>
              <w:rPr>
                <w:b/>
              </w:rPr>
              <w:t>50-Minute Executive Function Session</w:t>
            </w:r>
          </w:p>
        </w:tc>
        <w:tc>
          <w:tcPr>
            <w:tcW w:w="4680" w:type="dxa"/>
          </w:tcPr>
          <w:p w14:paraId="431EE300" w14:textId="77777777" w:rsidR="008F31EF" w:rsidRDefault="00000000">
            <w:r>
              <w:t>$235.00 per Session</w:t>
            </w:r>
          </w:p>
        </w:tc>
      </w:tr>
      <w:tr w:rsidR="008F31EF" w14:paraId="0F97B23C" w14:textId="77777777">
        <w:tc>
          <w:tcPr>
            <w:tcW w:w="4680" w:type="dxa"/>
          </w:tcPr>
          <w:p w14:paraId="324D231E" w14:textId="77777777" w:rsidR="008F31EF" w:rsidRDefault="00000000">
            <w:r>
              <w:rPr>
                <w:b/>
              </w:rPr>
              <w:t>Special Education Advocacy</w:t>
            </w:r>
          </w:p>
        </w:tc>
        <w:tc>
          <w:tcPr>
            <w:tcW w:w="4680" w:type="dxa"/>
          </w:tcPr>
          <w:p w14:paraId="54490027" w14:textId="77777777" w:rsidR="008F31EF" w:rsidRDefault="00000000">
            <w:r>
              <w:t>$250.00 per hour</w:t>
            </w:r>
          </w:p>
        </w:tc>
      </w:tr>
      <w:tr w:rsidR="008F31EF" w14:paraId="00C03640" w14:textId="77777777">
        <w:tc>
          <w:tcPr>
            <w:tcW w:w="4680" w:type="dxa"/>
          </w:tcPr>
          <w:p w14:paraId="499D6803" w14:textId="77777777" w:rsidR="008F31EF" w:rsidRDefault="00000000">
            <w:r>
              <w:rPr>
                <w:b/>
              </w:rPr>
              <w:t>College Counseling</w:t>
            </w:r>
          </w:p>
        </w:tc>
        <w:tc>
          <w:tcPr>
            <w:tcW w:w="4680" w:type="dxa"/>
          </w:tcPr>
          <w:p w14:paraId="36AC081E" w14:textId="77777777" w:rsidR="008F31EF" w:rsidRDefault="00000000">
            <w:r>
              <w:t>$250.00 per hour</w:t>
            </w:r>
          </w:p>
        </w:tc>
      </w:tr>
    </w:tbl>
    <w:p w14:paraId="68EDF66F" w14:textId="77777777" w:rsidR="008F31EF" w:rsidRDefault="00000000">
      <w:pPr>
        <w:pStyle w:val="Heading2"/>
      </w:pPr>
      <w:r>
        <w:rPr>
          <w:b w:val="0"/>
        </w:rPr>
        <w:t>Payment &amp; Processing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31EF" w14:paraId="2737388E" w14:textId="77777777">
        <w:tc>
          <w:tcPr>
            <w:tcW w:w="4680" w:type="dxa"/>
          </w:tcPr>
          <w:p w14:paraId="0C140195" w14:textId="77777777" w:rsidR="008F31EF" w:rsidRDefault="00000000">
            <w:r>
              <w:rPr>
                <w:b/>
              </w:rPr>
              <w:t>Credit card processing fee</w:t>
            </w:r>
          </w:p>
        </w:tc>
        <w:tc>
          <w:tcPr>
            <w:tcW w:w="4680" w:type="dxa"/>
          </w:tcPr>
          <w:p w14:paraId="768D565E" w14:textId="77777777" w:rsidR="008F31EF" w:rsidRDefault="00000000">
            <w:r>
              <w:t>2.99%, added to the Client's charge.</w:t>
            </w:r>
          </w:p>
        </w:tc>
      </w:tr>
      <w:tr w:rsidR="008F31EF" w14:paraId="4ABDF622" w14:textId="77777777">
        <w:tc>
          <w:tcPr>
            <w:tcW w:w="4680" w:type="dxa"/>
          </w:tcPr>
          <w:p w14:paraId="0C81625A" w14:textId="77777777" w:rsidR="008F31EF" w:rsidRDefault="00000000">
            <w:r>
              <w:rPr>
                <w:b/>
              </w:rPr>
              <w:t>Billing cycle</w:t>
            </w:r>
          </w:p>
        </w:tc>
        <w:tc>
          <w:tcPr>
            <w:tcW w:w="4680" w:type="dxa"/>
          </w:tcPr>
          <w:p w14:paraId="5AA6C41A" w14:textId="77777777" w:rsidR="008F31EF" w:rsidRDefault="00000000">
            <w:r>
              <w:t>Invoiced monthly; the card on file is charged the full invoice amount on the date the invoice is issued.</w:t>
            </w:r>
          </w:p>
        </w:tc>
      </w:tr>
      <w:tr w:rsidR="008F31EF" w14:paraId="2072EBCF" w14:textId="77777777">
        <w:tc>
          <w:tcPr>
            <w:tcW w:w="4680" w:type="dxa"/>
          </w:tcPr>
          <w:p w14:paraId="74984446" w14:textId="77777777" w:rsidR="008F31EF" w:rsidRDefault="00000000">
            <w:r>
              <w:rPr>
                <w:b/>
              </w:rPr>
              <w:t>Late fee</w:t>
            </w:r>
          </w:p>
        </w:tc>
        <w:tc>
          <w:tcPr>
            <w:tcW w:w="4680" w:type="dxa"/>
          </w:tcPr>
          <w:p w14:paraId="10802E0A" w14:textId="77777777" w:rsidR="008F31EF" w:rsidRDefault="00000000">
            <w:r>
              <w:t>$25.00 flat fee if the card on file fails and isn't updated within 14 days (charged on the 15th day from the invoice date), plus 1.5% monthly interest, compounded, on the overdue balance from that point.</w:t>
            </w:r>
          </w:p>
        </w:tc>
      </w:tr>
    </w:tbl>
    <w:p w14:paraId="73CD242F" w14:textId="77777777" w:rsidR="008F31EF" w:rsidRDefault="00000000">
      <w:pPr>
        <w:pStyle w:val="Heading2"/>
      </w:pPr>
      <w:r>
        <w:rPr>
          <w:b w:val="0"/>
        </w:rPr>
        <w:t>No-Show, Cancellation &amp; Non-Session Billing</w:t>
      </w:r>
    </w:p>
    <w:p w14:paraId="1FF223ED" w14:textId="77777777" w:rsidR="008F31EF" w:rsidRDefault="00000000">
      <w:pPr>
        <w:pStyle w:val="ListBullet"/>
      </w:pPr>
      <w:r>
        <w:t xml:space="preserve">Cancelling within 24 hours of a session, or arriving more than 20 minutes late, bills the full session — consistent with the </w:t>
      </w:r>
      <w:r>
        <w:rPr>
          <w:color w:val="1D4ED8"/>
        </w:rPr>
        <w:t>No-Show &amp; Cancellation Policy</w:t>
      </w:r>
      <w:r>
        <w:t>. Early cancellations, late cancellations, and reschedules are tracked as separate, distinct outcomes.</w:t>
      </w:r>
    </w:p>
    <w:p w14:paraId="2758F086" w14:textId="77777777" w:rsidR="008F31EF" w:rsidRDefault="00000000">
      <w:pPr>
        <w:pStyle w:val="ListBullet"/>
      </w:pPr>
      <w:r>
        <w:t>Electronic communication: brief emails/texts are free; anything more than brief is billed at the applicable session rate. Phone calls with outside providers are billed in half-hour increments.</w:t>
      </w:r>
    </w:p>
    <w:p w14:paraId="7235E1BE" w14:textId="77777777" w:rsidR="008F31EF" w:rsidRDefault="00000000">
      <w:pPr>
        <w:pStyle w:val="Heading2"/>
      </w:pPr>
      <w:r>
        <w:rPr>
          <w:b w:val="0"/>
        </w:rPr>
        <w:t>Hosting &amp; Update Process</w:t>
      </w:r>
    </w:p>
    <w:p w14:paraId="1822194E" w14:textId="77777777" w:rsidR="008F31EF" w:rsidRDefault="00000000">
      <w:r>
        <w:rPr>
          <w:b/>
          <w:color w:val="B45309"/>
          <w:highlight w:val="yellow"/>
        </w:rPr>
        <w:t>TBD</w:t>
      </w:r>
      <w:r>
        <w:t xml:space="preserve"> — where should the permanent URL actually live? Options include the practice website, a shared Google Drive doc, or a page inside this dashboard. Once decided, the follow-up email gets updated once to link there instead of attaching a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31EF" w14:paraId="6839165B" w14:textId="77777777">
        <w:tc>
          <w:tcPr>
            <w:tcW w:w="4680" w:type="dxa"/>
          </w:tcPr>
          <w:p w14:paraId="6F3192BC" w14:textId="77777777" w:rsidR="008F31EF" w:rsidRDefault="00000000">
            <w:r>
              <w:rPr>
                <w:b/>
              </w:rPr>
              <w:lastRenderedPageBreak/>
              <w:t>Live Rate Sheet</w:t>
            </w:r>
          </w:p>
        </w:tc>
        <w:tc>
          <w:tcPr>
            <w:tcW w:w="4680" w:type="dxa"/>
          </w:tcPr>
          <w:p w14:paraId="5BD7287C" w14:textId="77777777" w:rsidR="008F31EF" w:rsidRDefault="00000000">
            <w:r>
              <w:t>Link pending — add once Sarah confirms pricing.</w:t>
            </w:r>
          </w:p>
        </w:tc>
      </w:tr>
    </w:tbl>
    <w:p w14:paraId="711B7DD1" w14:textId="77777777" w:rsidR="008F31EF" w:rsidRDefault="00000000">
      <w:pPr>
        <w:pBdr>
          <w:top w:val="single" w:sz="6" w:space="6" w:color="E4E9F0"/>
        </w:pBdr>
        <w:spacing w:before="360"/>
      </w:pPr>
      <w:r>
        <w:rPr>
          <w:i/>
          <w:color w:val="9CA3AF"/>
          <w:sz w:val="18"/>
        </w:rPr>
        <w:t>OptiMind Educational Strategies · Internal SOP — not for client distribution.</w:t>
      </w:r>
    </w:p>
    <w:sectPr w:rsidR="008F31E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77094">
    <w:abstractNumId w:val="8"/>
  </w:num>
  <w:num w:numId="2" w16cid:durableId="1240290306">
    <w:abstractNumId w:val="6"/>
  </w:num>
  <w:num w:numId="3" w16cid:durableId="1894458673">
    <w:abstractNumId w:val="5"/>
  </w:num>
  <w:num w:numId="4" w16cid:durableId="1513450197">
    <w:abstractNumId w:val="4"/>
  </w:num>
  <w:num w:numId="5" w16cid:durableId="1983464325">
    <w:abstractNumId w:val="7"/>
  </w:num>
  <w:num w:numId="6" w16cid:durableId="1708751210">
    <w:abstractNumId w:val="3"/>
  </w:num>
  <w:num w:numId="7" w16cid:durableId="701708841">
    <w:abstractNumId w:val="2"/>
  </w:num>
  <w:num w:numId="8" w16cid:durableId="125393607">
    <w:abstractNumId w:val="1"/>
  </w:num>
  <w:num w:numId="9" w16cid:durableId="8783193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FE4"/>
    <w:rsid w:val="008F31EF"/>
    <w:rsid w:val="00AA1D8D"/>
    <w:rsid w:val="00B47730"/>
    <w:rsid w:val="00C53F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50619"/>
  <w14:defaultImageDpi w14:val="300"/>
  <w15:docId w15:val="{7941DB1B-2CCB-FF49-B95D-91D26024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 Sheet</dc:title>
  <dc:subject/>
  <dc:creator>python-docx</dc:creator>
  <cp:keywords/>
  <dc:description>generated by python-docx</dc:description>
  <cp:lastModifiedBy>Ruby Groves</cp:lastModifiedBy>
  <cp:revision>2</cp:revision>
  <dcterms:created xsi:type="dcterms:W3CDTF">2013-12-23T23:15:00Z</dcterms:created>
  <dcterms:modified xsi:type="dcterms:W3CDTF">2026-08-27T20:06:00Z</dcterms:modified>
  <cp:category/>
</cp:coreProperties>
</file>