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Times New Roman" w:cs="Times New Roman" w:eastAsia="Times New Roman" w:hAnsi="Times New Roman"/>
          <w:b/>
          <w:bCs/>
          <w:sz w:val="44"/>
          <w:szCs w:val="44"/>
        </w:rPr>
        <w:t xml:space="preserve">CLAUDE LEGAL DRAFTING LIBRARY</w:t>
      </w:r>
    </w:p>
    <w:p>
      <w:pPr>
        <w:spacing w:after="100"/>
        <w:jc w:val="center"/>
      </w:pPr>
      <w:r>
        <w:rPr>
          <w:rFonts w:ascii="Times New Roman" w:cs="Times New Roman" w:eastAsia="Times New Roman" w:hAnsi="Times New Roman"/>
          <w:b/>
          <w:bCs/>
          <w:sz w:val="36"/>
          <w:szCs w:val="36"/>
        </w:rPr>
        <w:t xml:space="preserve">VOLUME 11</w:t>
      </w:r>
    </w:p>
    <w:p>
      <w:pPr>
        <w:spacing w:after="600"/>
        <w:jc w:val="center"/>
      </w:pPr>
      <w:r>
        <w:rPr>
          <w:rFonts w:ascii="Times New Roman" w:cs="Times New Roman" w:eastAsia="Times New Roman" w:hAnsi="Times New Roman"/>
          <w:b/>
          <w:bCs/>
          <w:i/>
          <w:iCs/>
          <w:sz w:val="32"/>
          <w:szCs w:val="32"/>
        </w:rPr>
        <w:t xml:space="preserve">Human Rights Litigation</w:t>
      </w:r>
    </w:p>
    <w:p>
      <w:pPr>
        <w:spacing w:after="100"/>
        <w:jc w:val="center"/>
      </w:pPr>
      <w:r>
        <w:rPr>
          <w:rFonts w:ascii="Times New Roman" w:cs="Times New Roman" w:eastAsia="Times New Roman" w:hAnsi="Times New Roman"/>
          <w:sz w:val="26"/>
          <w:szCs w:val="26"/>
        </w:rPr>
        <w:t xml:space="preserve">Complaints before the NHRC, State Human Rights Commissions, NCW, NCPCR, SC/ST Commission, and Disability Commissioner, covering custodial violence, arbitrary detention, housing rights, and — with exceptional care — documented representations on judicial conduct, with verified case-law citations and the standing Senior Counsel and Formatting addenda.</w:t>
      </w:r>
    </w:p>
    <w:p>
      <w:pPr>
        <w:spacing w:before="800"/>
        <w:jc w:val="center"/>
      </w:pPr>
      <w:r>
        <w:rPr>
          <w:rFonts w:ascii="Times New Roman" w:cs="Times New Roman" w:eastAsia="Times New Roman" w:hAnsi="Times New Roman"/>
          <w:i/>
          <w:iCs/>
          <w:sz w:val="26"/>
          <w:szCs w:val="26"/>
        </w:rPr>
        <w:t xml:space="preserve">Drafted for use under Indian law, structured for international admissibility.</w:t>
      </w:r>
    </w:p>
    <w:p>
      <w:pPr>
        <w:pStyle w:val="Heading1"/>
        <w:pageBreakBefore/>
        <w:spacing w:after="160" w:before="300"/>
      </w:pPr>
      <w:r>
        <w:rPr>
          <w:rFonts w:ascii="Times New Roman" w:cs="Times New Roman" w:eastAsia="Times New Roman" w:hAnsi="Times New Roman"/>
          <w:b/>
          <w:bCs/>
          <w:sz w:val="30"/>
          <w:szCs w:val="30"/>
        </w:rPr>
        <w:t xml:space="preserve">Preface &amp; How to Use This Volume</w:t>
      </w:r>
    </w:p>
    <w:p>
      <w:pPr>
        <w:spacing w:after="160" w:line="360"/>
        <w:jc w:val="both"/>
      </w:pPr>
      <w:r>
        <w:rPr>
          <w:rFonts w:ascii="Times New Roman" w:cs="Times New Roman" w:eastAsia="Times New Roman" w:hAnsi="Times New Roman"/>
          <w:b w:val="false"/>
          <w:bCs w:val="false"/>
          <w:i w:val="false"/>
          <w:iCs w:val="false"/>
          <w:sz w:val="26"/>
          <w:szCs w:val="26"/>
        </w:rPr>
        <w:t xml:space="preserve">This Volume covers complaints before India's principal domestic human rights institutions: the National and State Human Rights Commissions (general complaints and the specific, frequently recurring fact patterns of custodial violence and arbitrary detention), the National Commission for Women, the National Commission for Protection of Child Rights, the National Commission for Scheduled Castes/Scheduled Tribes, the Commissioner for Persons with Disabilities, and housing/shelter rights under Article 21.</w:t>
      </w:r>
    </w:p>
    <w:p>
      <w:pPr>
        <w:spacing w:after="160" w:line="360"/>
        <w:jc w:val="both"/>
      </w:pPr>
      <w:r>
        <w:rPr>
          <w:rFonts w:ascii="Times New Roman" w:cs="Times New Roman" w:eastAsia="Times New Roman" w:hAnsi="Times New Roman"/>
          <w:b w:val="false"/>
          <w:bCs w:val="false"/>
          <w:i w:val="false"/>
          <w:iCs w:val="false"/>
          <w:sz w:val="26"/>
          <w:szCs w:val="26"/>
        </w:rPr>
        <w:t xml:space="preserve">Throughout this Volume, complaints are drafted to work alongside, not instead of, binding judicial remedies — most of these Commissions have predominantly recommendatory rather than binding-adjudicatory powers, and each template flags where a parallel court remedy (a habeas corpus petition for ongoing detention, a writ petition for imminent eviction, a criminal complaint for a custodial or atrocity offence) is the more urgent or effective route, with the Commission complaint serving the complementary function of institutional accountability and compensation recommendation.</w:t>
      </w:r>
    </w:p>
    <w:p>
      <w:pPr>
        <w:spacing w:after="160" w:line="360"/>
        <w:jc w:val="both"/>
      </w:pPr>
      <w:r>
        <w:rPr>
          <w:rFonts w:ascii="Times New Roman" w:cs="Times New Roman" w:eastAsia="Times New Roman" w:hAnsi="Times New Roman"/>
          <w:b w:val="false"/>
          <w:bCs w:val="false"/>
          <w:i w:val="false"/>
          <w:iCs w:val="false"/>
          <w:sz w:val="26"/>
          <w:szCs w:val="26"/>
        </w:rPr>
        <w:t xml:space="preserve">HR-10 (Documented Representation Regarding Judicial Conduct) is included with exceptional caution, consistent with the constitutional structure protecting judicial independence. It is built with unusually strict evidentiary discipline — every factual assertion must be tied to a specific, citable document, subjective characterisations of motive are excluded, and the AI Review and Senior Counsel prompts are calibrated to actively screen out any use of this instrument as a disguised extra layer of appeal, redirecting such cases firmly to the ordinary appellate and review remedies in Volumes 5 and 17 instead.</w:t>
      </w:r>
    </w:p>
    <w:p>
      <w:pPr>
        <w:spacing w:after="160" w:line="360"/>
        <w:jc w:val="both"/>
      </w:pPr>
      <w:r>
        <w:rPr>
          <w:rFonts w:ascii="Times New Roman" w:cs="Times New Roman" w:eastAsia="Times New Roman" w:hAnsi="Times New Roman"/>
          <w:b w:val="false"/>
          <w:bCs w:val="false"/>
          <w:i w:val="false"/>
          <w:iCs w:val="false"/>
          <w:sz w:val="26"/>
          <w:szCs w:val="26"/>
        </w:rPr>
        <w:t xml:space="preserve">Every template here cross-refers to Volume 1's five master instruments and follows the identical 27-section architecture, including the standing Senior Counsel and Formatting addenda established in Volume 1. International human rights mechanisms (UN treaty bodies, Special Rapporteurs, Universal Periodic Review submissions, and embassy/consular complaints) are addressed separately in Volume 12, consistent with the library's overall structure.</w:t>
      </w:r>
    </w:p>
    <w:p>
      <w:pPr>
        <w:spacing w:after="200"/>
      </w:pPr>
    </w:p>
    <w:p>
      <w:pPr>
        <w:spacing w:after="100" w:line="360"/>
        <w:jc w:val="both"/>
      </w:pPr>
      <w:r>
        <w:rPr>
          <w:rFonts w:ascii="Times New Roman" w:cs="Times New Roman" w:eastAsia="Times New Roman" w:hAnsi="Times New Roman"/>
          <w:b/>
          <w:bCs/>
          <w:i w:val="false"/>
          <w:iCs w:val="false"/>
          <w:sz w:val="26"/>
          <w:szCs w:val="26"/>
        </w:rPr>
        <w:t xml:space="preserve">Contents of this Volume:</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HR-01 — Complaint to the National Human Rights Commission (NHRC)</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HR-02 — Complaint Regarding Custodial Violence / Torture</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HR-03 — Complaint Regarding Arbitrary Detention</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HR-04 — Complaint to a State Human Rights Commission</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HR-05 — Complaint to the National Commission for Women (NCW)</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HR-06 — Complaint to the National Commission for Protection of Child Rights (NCPCR)</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HR-07 — Complaint to the National Commission for Scheduled Castes / Scheduled Tribes</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HR-08 — Complaint Under the Rights of Persons with Disabilities Act, 2016</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HR-09 — Housing Rights / Right to Shelter Complaint</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HR-10 — Documented Representation Regarding Judicial Conduct (In-House Procedure)</w:t>
      </w:r>
    </w:p>
    <w:p>
      <w:pPr>
        <w:pStyle w:val="Heading1"/>
        <w:pageBreakBefore/>
        <w:spacing w:after="160" w:before="300"/>
      </w:pPr>
      <w:r>
        <w:rPr>
          <w:rFonts w:ascii="Times New Roman" w:cs="Times New Roman" w:eastAsia="Times New Roman" w:hAnsi="Times New Roman"/>
          <w:b/>
          <w:bCs/>
          <w:sz w:val="30"/>
          <w:szCs w:val="30"/>
        </w:rPr>
        <w:t xml:space="preserve">Complaint to the National Human Rights Commission (NHRC)</w:t>
      </w:r>
    </w:p>
    <w:p>
      <w:pPr>
        <w:spacing w:after="60" w:line="360"/>
        <w:jc w:val="both"/>
      </w:pPr>
      <w:r>
        <w:rPr>
          <w:rFonts w:ascii="Times New Roman" w:cs="Times New Roman" w:eastAsia="Times New Roman" w:hAnsi="Times New Roman"/>
          <w:b w:val="false"/>
          <w:bCs w:val="false"/>
          <w:i/>
          <w:iCs/>
          <w:sz w:val="26"/>
          <w:szCs w:val="26"/>
        </w:rPr>
        <w:t xml:space="preserve">Template Code: HR-01</w:t>
      </w:r>
    </w:p>
    <w:p>
      <w:pPr>
        <w:spacing w:after="240" w:line="360"/>
        <w:jc w:val="both"/>
      </w:pPr>
      <w:r>
        <w:rPr>
          <w:rFonts w:ascii="Times New Roman" w:cs="Times New Roman" w:eastAsia="Times New Roman" w:hAnsi="Times New Roman"/>
          <w:b w:val="false"/>
          <w:bCs w:val="false"/>
          <w:i/>
          <w:iCs/>
          <w:sz w:val="26"/>
          <w:szCs w:val="26"/>
        </w:rPr>
        <w:t xml:space="preserve">Applicable Volume Cross-Reference: Uses UNI-01 Cause Title (adapted), UNI-02 Affidavit conventions from Volume 1. The umbrella human rights complaint template; HR-02 through HR-03 are specific fact-pattern variants filed under the same PHRA route.</w:t>
      </w:r>
    </w:p>
    <w:p>
      <w:pPr>
        <w:pStyle w:val="Heading2"/>
        <w:spacing w:after="160" w:before="300"/>
      </w:pPr>
      <w:r>
        <w:rPr>
          <w:rFonts w:ascii="Times New Roman" w:cs="Times New Roman" w:eastAsia="Times New Roman" w:hAnsi="Times New Roman"/>
          <w:b/>
          <w:bCs/>
          <w:sz w:val="30"/>
          <w:szCs w:val="30"/>
        </w:rPr>
        <w:t xml:space="preserve">1. AI Drafting Instructions</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The NHRC's jurisdiction is confined to violations of human rights by the State or its agencies (or its failure to prevent such violation) — plead the specific state action/inaction, not a purely private dispute between individuals.</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State the date of the violation precisely: a complaint ordinarily must be made within one year of the act constituting the violation, though the Commission may condone delay for sufficient reason — address this explicitly if the complaint is filed later.</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Distinguish the NHRC's recommendatory powers (it can recommend compensation, prosecution, or departmental action, but generally cannot itself award binding compensation in most cases, and has no jurisdiction over the armed forces beyond seeking a report) from a court's power to grant binding relief — set realistic expectations in the drafting.</w:t>
      </w:r>
    </w:p>
    <w:p>
      <w:pPr>
        <w:pStyle w:val="Heading2"/>
        <w:spacing w:after="160" w:before="300"/>
      </w:pPr>
      <w:r>
        <w:rPr>
          <w:rFonts w:ascii="Times New Roman" w:cs="Times New Roman" w:eastAsia="Times New Roman" w:hAnsi="Times New Roman"/>
          <w:b/>
          <w:bCs/>
          <w:sz w:val="30"/>
          <w:szCs w:val="30"/>
        </w:rPr>
        <w:t xml:space="preserve">2. Governing Law</w:t>
      </w:r>
    </w:p>
    <w:p>
      <w:pPr>
        <w:spacing w:after="160" w:line="360"/>
        <w:jc w:val="both"/>
      </w:pPr>
      <w:r>
        <w:rPr>
          <w:rFonts w:ascii="Times New Roman" w:cs="Times New Roman" w:eastAsia="Times New Roman" w:hAnsi="Times New Roman"/>
          <w:b w:val="false"/>
          <w:bCs w:val="false"/>
          <w:i w:val="false"/>
          <w:iCs w:val="false"/>
          <w:sz w:val="26"/>
          <w:szCs w:val="26"/>
        </w:rPr>
        <w:t xml:space="preserve">Protection of Human Rights Act, 1993 ('PHRA'), Sections 12-18.</w:t>
      </w:r>
    </w:p>
    <w:p>
      <w:pPr>
        <w:pStyle w:val="Heading2"/>
        <w:spacing w:after="160" w:before="300"/>
      </w:pPr>
      <w:r>
        <w:rPr>
          <w:rFonts w:ascii="Times New Roman" w:cs="Times New Roman" w:eastAsia="Times New Roman" w:hAnsi="Times New Roman"/>
          <w:b/>
          <w:bCs/>
          <w:sz w:val="30"/>
          <w:szCs w:val="30"/>
        </w:rPr>
        <w:t xml:space="preserve">3. Jurisdiction</w:t>
      </w:r>
    </w:p>
    <w:p>
      <w:pPr>
        <w:spacing w:after="160" w:line="360"/>
        <w:jc w:val="both"/>
      </w:pPr>
      <w:r>
        <w:rPr>
          <w:rFonts w:ascii="Times New Roman" w:cs="Times New Roman" w:eastAsia="Times New Roman" w:hAnsi="Times New Roman"/>
          <w:b w:val="false"/>
          <w:bCs w:val="false"/>
          <w:i w:val="false"/>
          <w:iCs w:val="false"/>
          <w:sz w:val="26"/>
          <w:szCs w:val="26"/>
        </w:rPr>
        <w:t xml:space="preserve">The National Human Rights Commission, for violations occurring anywhere in India, subject to the one-year limitation guideline and the exclusions applicable to certain armed forces matters.</w:t>
      </w:r>
    </w:p>
    <w:p>
      <w:pPr>
        <w:pStyle w:val="Heading2"/>
        <w:spacing w:after="160" w:before="300"/>
      </w:pPr>
      <w:r>
        <w:rPr>
          <w:rFonts w:ascii="Times New Roman" w:cs="Times New Roman" w:eastAsia="Times New Roman" w:hAnsi="Times New Roman"/>
          <w:b/>
          <w:bCs/>
          <w:sz w:val="30"/>
          <w:szCs w:val="30"/>
        </w:rPr>
        <w:t xml:space="preserve">4. Mandatory Ingredients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Mandatory Ingredient</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The specific human right violated and the state agency/actor responsible</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Date of the violation and, if beyond one year, reasons for delay</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Facts establishing the violation with supporting evidence</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4</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Relief sought (inquiry, compensation recommendation, departmental/prosecutorial action)</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5. Cause Title Format</w:t>
      </w:r>
    </w:p>
    <w:p>
      <w:pPr>
        <w:spacing w:after="160" w:line="360"/>
        <w:jc w:val="both"/>
      </w:pPr>
      <w:r>
        <w:rPr>
          <w:rFonts w:ascii="Times New Roman" w:cs="Times New Roman" w:eastAsia="Times New Roman" w:hAnsi="Times New Roman"/>
          <w:b w:val="false"/>
          <w:bCs w:val="false"/>
          <w:i w:val="false"/>
          <w:iCs w:val="false"/>
          <w:sz w:val="26"/>
          <w:szCs w:val="26"/>
        </w:rPr>
        <w:t xml:space="preserve">TO THE NATIONAL HUMAN RIGHTS COMMISSION, NEW DELHI / COMPLAINT UNDER SECTION 12, PROTECTION OF HUMAN RIGHTS ACT, 1993</w:t>
      </w:r>
    </w:p>
    <w:p>
      <w:pPr>
        <w:pStyle w:val="Heading2"/>
        <w:spacing w:after="160" w:before="300"/>
      </w:pPr>
      <w:r>
        <w:rPr>
          <w:rFonts w:ascii="Times New Roman" w:cs="Times New Roman" w:eastAsia="Times New Roman" w:hAnsi="Times New Roman"/>
          <w:b/>
          <w:bCs/>
          <w:sz w:val="30"/>
          <w:szCs w:val="30"/>
        </w:rPr>
        <w:t xml:space="preserve">6. Index (Standard Format)</w:t>
      </w:r>
    </w:p>
    <w:p>
      <w:pPr>
        <w:spacing w:after="160" w:line="360"/>
        <w:jc w:val="both"/>
      </w:pPr>
      <w:r>
        <w:rPr>
          <w:rFonts w:ascii="Times New Roman" w:cs="Times New Roman" w:eastAsia="Times New Roman" w:hAnsi="Times New Roman"/>
          <w:b w:val="false"/>
          <w:bCs w:val="false"/>
          <w:i w:val="false"/>
          <w:iCs w:val="false"/>
          <w:sz w:val="26"/>
          <w:szCs w:val="26"/>
        </w:rPr>
        <w:t xml:space="preserve">Sr. No. | Particulars | Page No. — tabulate all annexures and pleadings chronologically.</w:t>
      </w:r>
    </w:p>
    <w:p>
      <w:pPr>
        <w:pStyle w:val="Heading2"/>
        <w:spacing w:after="160" w:before="300"/>
      </w:pPr>
      <w:r>
        <w:rPr>
          <w:rFonts w:ascii="Times New Roman" w:cs="Times New Roman" w:eastAsia="Times New Roman" w:hAnsi="Times New Roman"/>
          <w:b/>
          <w:bCs/>
          <w:sz w:val="30"/>
          <w:szCs w:val="30"/>
        </w:rPr>
        <w:t xml:space="preserve">7. Synopsis</w:t>
      </w:r>
    </w:p>
    <w:p>
      <w:pPr>
        <w:spacing w:after="160" w:line="360"/>
        <w:jc w:val="both"/>
      </w:pPr>
      <w:r>
        <w:rPr>
          <w:rFonts w:ascii="Times New Roman" w:cs="Times New Roman" w:eastAsia="Times New Roman" w:hAnsi="Times New Roman"/>
          <w:b w:val="false"/>
          <w:bCs w:val="false"/>
          <w:i w:val="false"/>
          <w:iCs w:val="false"/>
          <w:sz w:val="26"/>
          <w:szCs w:val="26"/>
        </w:rPr>
        <w:t xml:space="preserve">Neutral statement of the violation, the state agency/actor responsible, and the relief sought.</w:t>
      </w:r>
    </w:p>
    <w:p>
      <w:pPr>
        <w:pStyle w:val="Heading2"/>
        <w:spacing w:after="160" w:before="300"/>
      </w:pPr>
      <w:r>
        <w:rPr>
          <w:rFonts w:ascii="Times New Roman" w:cs="Times New Roman" w:eastAsia="Times New Roman" w:hAnsi="Times New Roman"/>
          <w:b/>
          <w:bCs/>
          <w:sz w:val="30"/>
          <w:szCs w:val="30"/>
        </w:rPr>
        <w:t xml:space="preserve">8. List of Dates and Events</w:t>
      </w:r>
    </w:p>
    <w:p>
      <w:pPr>
        <w:spacing w:after="160" w:line="360"/>
        <w:jc w:val="both"/>
      </w:pPr>
      <w:r>
        <w:rPr>
          <w:rFonts w:ascii="Times New Roman" w:cs="Times New Roman" w:eastAsia="Times New Roman" w:hAnsi="Times New Roman"/>
          <w:b w:val="false"/>
          <w:bCs w:val="false"/>
          <w:i w:val="false"/>
          <w:iCs w:val="false"/>
          <w:sz w:val="26"/>
          <w:szCs w:val="26"/>
        </w:rPr>
        <w:t xml:space="preserve">Date | Event — chronological, each entry cross-referenced to an annexure letter.</w:t>
      </w:r>
    </w:p>
    <w:p>
      <w:pPr>
        <w:pStyle w:val="Heading2"/>
        <w:spacing w:after="160" w:before="300"/>
      </w:pPr>
      <w:r>
        <w:rPr>
          <w:rFonts w:ascii="Times New Roman" w:cs="Times New Roman" w:eastAsia="Times New Roman" w:hAnsi="Times New Roman"/>
          <w:b/>
          <w:bCs/>
          <w:sz w:val="30"/>
          <w:szCs w:val="30"/>
        </w:rPr>
        <w:t xml:space="preserve">9. Parties</w:t>
      </w:r>
    </w:p>
    <w:p>
      <w:pPr>
        <w:spacing w:after="160" w:line="360"/>
        <w:jc w:val="both"/>
      </w:pPr>
      <w:r>
        <w:rPr>
          <w:rFonts w:ascii="Times New Roman" w:cs="Times New Roman" w:eastAsia="Times New Roman" w:hAnsi="Times New Roman"/>
          <w:b w:val="false"/>
          <w:bCs w:val="false"/>
          <w:i w:val="false"/>
          <w:iCs w:val="false"/>
          <w:sz w:val="26"/>
          <w:szCs w:val="26"/>
        </w:rPr>
        <w:t xml:space="preserve">Complainant (victim or a person acting on the victim's behalf, since the PHRA permits third-party complaints) and the state agency/actor whose act or omission is complained of.</w:t>
      </w:r>
    </w:p>
    <w:p>
      <w:pPr>
        <w:pStyle w:val="Heading2"/>
        <w:spacing w:after="160" w:before="300"/>
      </w:pPr>
      <w:r>
        <w:rPr>
          <w:rFonts w:ascii="Times New Roman" w:cs="Times New Roman" w:eastAsia="Times New Roman" w:hAnsi="Times New Roman"/>
          <w:b/>
          <w:bCs/>
          <w:sz w:val="30"/>
          <w:szCs w:val="30"/>
        </w:rPr>
        <w:t xml:space="preserve">10. Facts</w:t>
      </w:r>
    </w:p>
    <w:p>
      <w:pPr>
        <w:spacing w:after="160" w:line="360"/>
        <w:jc w:val="both"/>
      </w:pPr>
      <w:r>
        <w:rPr>
          <w:rFonts w:ascii="Times New Roman" w:cs="Times New Roman" w:eastAsia="Times New Roman" w:hAnsi="Times New Roman"/>
          <w:b w:val="false"/>
          <w:bCs w:val="false"/>
          <w:i w:val="false"/>
          <w:iCs w:val="false"/>
          <w:sz w:val="26"/>
          <w:szCs w:val="26"/>
        </w:rPr>
        <w:t xml:space="preserve">Chronological, numbered facts establishing the violation, each cross-referenced to supporting evidence (medical records, photographs, witness statements, official correspondence).</w:t>
      </w:r>
    </w:p>
    <w:p>
      <w:pPr>
        <w:pStyle w:val="Heading2"/>
        <w:spacing w:after="160" w:before="300"/>
      </w:pPr>
      <w:r>
        <w:rPr>
          <w:rFonts w:ascii="Times New Roman" w:cs="Times New Roman" w:eastAsia="Times New Roman" w:hAnsi="Times New Roman"/>
          <w:b/>
          <w:bCs/>
          <w:sz w:val="30"/>
          <w:szCs w:val="30"/>
        </w:rPr>
        <w:t xml:space="preserve">11. Questions / Issues for Determination</w:t>
      </w:r>
    </w:p>
    <w:p>
      <w:pPr>
        <w:pStyle w:val="ListParagraph"/>
        <w:numPr>
          <w:ilvl w:val="0"/>
          <w:numId w:val="3"/>
        </w:numPr>
        <w:spacing w:after="100" w:line="360"/>
      </w:pPr>
      <w:r>
        <w:rPr>
          <w:rFonts w:ascii="Times New Roman" w:cs="Times New Roman" w:eastAsia="Times New Roman" w:hAnsi="Times New Roman"/>
          <w:sz w:val="26"/>
          <w:szCs w:val="26"/>
        </w:rPr>
        <w:t xml:space="preserve">Whether the facts disclose a violation of human rights by the State or its agency, or a failure to prevent such violation</w:t>
      </w:r>
    </w:p>
    <w:p>
      <w:pPr>
        <w:pStyle w:val="ListParagraph"/>
        <w:numPr>
          <w:ilvl w:val="0"/>
          <w:numId w:val="3"/>
        </w:numPr>
        <w:spacing w:after="100" w:line="360"/>
      </w:pPr>
      <w:r>
        <w:rPr>
          <w:rFonts w:ascii="Times New Roman" w:cs="Times New Roman" w:eastAsia="Times New Roman" w:hAnsi="Times New Roman"/>
          <w:sz w:val="26"/>
          <w:szCs w:val="26"/>
        </w:rPr>
        <w:t xml:space="preserve">Whether the complaint is within the one-year limitation guideline, or delay is adequately explained</w:t>
      </w:r>
    </w:p>
    <w:p>
      <w:pPr>
        <w:pStyle w:val="ListParagraph"/>
        <w:numPr>
          <w:ilvl w:val="0"/>
          <w:numId w:val="3"/>
        </w:numPr>
        <w:spacing w:after="100" w:line="360"/>
      </w:pPr>
      <w:r>
        <w:rPr>
          <w:rFonts w:ascii="Times New Roman" w:cs="Times New Roman" w:eastAsia="Times New Roman" w:hAnsi="Times New Roman"/>
          <w:sz w:val="26"/>
          <w:szCs w:val="26"/>
        </w:rPr>
        <w:t xml:space="preserve">The appropriate recommendatory relief</w:t>
      </w:r>
    </w:p>
    <w:p>
      <w:pPr>
        <w:pStyle w:val="Heading2"/>
        <w:spacing w:after="160" w:before="300"/>
      </w:pPr>
      <w:r>
        <w:rPr>
          <w:rFonts w:ascii="Times New Roman" w:cs="Times New Roman" w:eastAsia="Times New Roman" w:hAnsi="Times New Roman"/>
          <w:b/>
          <w:bCs/>
          <w:sz w:val="30"/>
          <w:szCs w:val="30"/>
        </w:rPr>
        <w:t xml:space="preserve">12. Statutory Provisions Invoked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Statutory Provision</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Section 12, PHRA, 1993 (functions of the Commission)</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Section 13, PHRA, 1993 (powers relating to inquiries, akin to a civil court)</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Section 18, PHRA, 1993 (steps the Commission may take after inquiry)</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13. Case-Law Citations</w:t>
      </w:r>
    </w:p>
    <w:p>
      <w:pPr>
        <w:spacing w:after="160" w:line="360"/>
        <w:jc w:val="both"/>
      </w:pPr>
      <w:r>
        <w:rPr>
          <w:rFonts w:ascii="Times New Roman" w:cs="Times New Roman" w:eastAsia="Times New Roman" w:hAnsi="Times New Roman"/>
          <w:b w:val="false"/>
          <w:bCs w:val="false"/>
          <w:i/>
          <w:iCs/>
          <w:sz w:val="26"/>
          <w:szCs w:val="26"/>
        </w:rPr>
        <w:t xml:space="preserve">The following are established, verifiable citations directly relevant to this instrument. Additional matter-specific case law should be added in the same tabular format; do not leave a case-law slot filled with an invented citation.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32"/>
        <w:gridCol w:w="60"/>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3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Case Citation</w:t>
            </w:r>
          </w:p>
        </w:tc>
        <w:tc>
          <w:tcPr>
            <w:tcW w:type="pct" w:w="60%"/>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Legal Proposition</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3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D.K. Basu v. State of West Bengal, (1997) 1 SCC 416</w:t>
            </w:r>
          </w:p>
        </w:tc>
        <w:tc>
          <w:tcPr>
            <w:tcW w:type="pct" w:w="60%"/>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Laid down eleven binding requirements to be followed in all cases of arrest and detention, to prevent custodial torture and deaths, and recognised that failure to comply with these safeguards renders the concerned official liable for departmental action and contempt of court, in addition to any other legal consequence.</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3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Nilabati Behera v. State of Orissa, AIR 1993 SC 1960</w:t>
            </w:r>
          </w:p>
        </w:tc>
        <w:tc>
          <w:tcPr>
            <w:tcW w:type="pct" w:w="60%"/>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Recognised a public law remedy of compensation for violation of the fundamental right to life and liberty under Article 21 caused by State action, distinct from and in addition to any private law remedy in tort — a foundational principle underlying the NHRC's compensation-recommendation function.</w:t>
            </w:r>
          </w:p>
        </w:tc>
      </w:tr>
    </w:tbl>
    <w:p>
      <w:pPr>
        <w:pStyle w:val="Heading2"/>
        <w:spacing w:after="160" w:before="300"/>
      </w:pPr>
      <w:r>
        <w:rPr>
          <w:rFonts w:ascii="Times New Roman" w:cs="Times New Roman" w:eastAsia="Times New Roman" w:hAnsi="Times New Roman"/>
          <w:b/>
          <w:bCs/>
          <w:sz w:val="30"/>
          <w:szCs w:val="30"/>
        </w:rPr>
        <w:t xml:space="preserve">14. Grounds</w:t>
      </w:r>
    </w:p>
    <w:p>
      <w:pPr>
        <w:pStyle w:val="ListParagraph"/>
        <w:numPr>
          <w:ilvl w:val="0"/>
          <w:numId w:val="3"/>
        </w:numPr>
        <w:spacing w:after="100" w:line="360"/>
      </w:pPr>
      <w:r>
        <w:rPr>
          <w:rFonts w:ascii="Times New Roman" w:cs="Times New Roman" w:eastAsia="Times New Roman" w:hAnsi="Times New Roman"/>
          <w:sz w:val="26"/>
          <w:szCs w:val="26"/>
        </w:rPr>
        <w:t xml:space="preserve">Specific human rights violation established by evidence</w:t>
      </w:r>
    </w:p>
    <w:p>
      <w:pPr>
        <w:pStyle w:val="ListParagraph"/>
        <w:numPr>
          <w:ilvl w:val="0"/>
          <w:numId w:val="3"/>
        </w:numPr>
        <w:spacing w:after="100" w:line="360"/>
      </w:pPr>
      <w:r>
        <w:rPr>
          <w:rFonts w:ascii="Times New Roman" w:cs="Times New Roman" w:eastAsia="Times New Roman" w:hAnsi="Times New Roman"/>
          <w:sz w:val="26"/>
          <w:szCs w:val="26"/>
        </w:rPr>
        <w:t xml:space="preserve">State agency/actor responsibility established</w:t>
      </w:r>
    </w:p>
    <w:p>
      <w:pPr>
        <w:pStyle w:val="ListParagraph"/>
        <w:numPr>
          <w:ilvl w:val="0"/>
          <w:numId w:val="3"/>
        </w:numPr>
        <w:spacing w:after="100" w:line="360"/>
      </w:pPr>
      <w:r>
        <w:rPr>
          <w:rFonts w:ascii="Times New Roman" w:cs="Times New Roman" w:eastAsia="Times New Roman" w:hAnsi="Times New Roman"/>
          <w:sz w:val="26"/>
          <w:szCs w:val="26"/>
        </w:rPr>
        <w:t xml:space="preserve">Relief sought is within the Commission's recommendatory powers under Sections 12-18</w:t>
      </w:r>
    </w:p>
    <w:p>
      <w:pPr>
        <w:pStyle w:val="Heading2"/>
        <w:spacing w:after="160" w:before="300"/>
      </w:pPr>
      <w:r>
        <w:rPr>
          <w:rFonts w:ascii="Times New Roman" w:cs="Times New Roman" w:eastAsia="Times New Roman" w:hAnsi="Times New Roman"/>
          <w:b/>
          <w:bCs/>
          <w:sz w:val="30"/>
          <w:szCs w:val="30"/>
        </w:rPr>
        <w:t xml:space="preserve">15. Interim Relief Sought</w:t>
      </w:r>
    </w:p>
    <w:p>
      <w:pPr>
        <w:spacing w:after="160" w:line="360"/>
        <w:jc w:val="both"/>
      </w:pPr>
      <w:r>
        <w:rPr>
          <w:rFonts w:ascii="Times New Roman" w:cs="Times New Roman" w:eastAsia="Times New Roman" w:hAnsi="Times New Roman"/>
          <w:b w:val="false"/>
          <w:bCs w:val="false"/>
          <w:i w:val="false"/>
          <w:iCs w:val="false"/>
          <w:sz w:val="26"/>
          <w:szCs w:val="26"/>
        </w:rPr>
        <w:t xml:space="preserve">State whether an urgent interim report/direction is sought from the concerned authority pending full inquiry, particularly in an ongoing custodial or detention situation.</w:t>
      </w:r>
    </w:p>
    <w:p>
      <w:pPr>
        <w:pStyle w:val="Heading2"/>
        <w:spacing w:after="160" w:before="300"/>
      </w:pPr>
      <w:r>
        <w:rPr>
          <w:rFonts w:ascii="Times New Roman" w:cs="Times New Roman" w:eastAsia="Times New Roman" w:hAnsi="Times New Roman"/>
          <w:b/>
          <w:bCs/>
          <w:sz w:val="30"/>
          <w:szCs w:val="30"/>
        </w:rPr>
        <w:t xml:space="preserve">16. Main Prayer</w:t>
      </w:r>
    </w:p>
    <w:p>
      <w:pPr>
        <w:pStyle w:val="ListParagraph"/>
        <w:numPr>
          <w:ilvl w:val="0"/>
          <w:numId w:val="3"/>
        </w:numPr>
        <w:spacing w:after="100" w:line="360"/>
      </w:pPr>
      <w:r>
        <w:rPr>
          <w:rFonts w:ascii="Times New Roman" w:cs="Times New Roman" w:eastAsia="Times New Roman" w:hAnsi="Times New Roman"/>
          <w:sz w:val="26"/>
          <w:szCs w:val="26"/>
        </w:rPr>
        <w:t xml:space="preserve">Inquiry into the violation under Section 12, PHRA, 1993</w:t>
      </w:r>
    </w:p>
    <w:p>
      <w:pPr>
        <w:pStyle w:val="ListParagraph"/>
        <w:numPr>
          <w:ilvl w:val="0"/>
          <w:numId w:val="3"/>
        </w:numPr>
        <w:spacing w:after="100" w:line="360"/>
      </w:pPr>
      <w:r>
        <w:rPr>
          <w:rFonts w:ascii="Times New Roman" w:cs="Times New Roman" w:eastAsia="Times New Roman" w:hAnsi="Times New Roman"/>
          <w:sz w:val="26"/>
          <w:szCs w:val="26"/>
        </w:rPr>
        <w:t xml:space="preserve">Recommendation of compensation to the victim</w:t>
      </w:r>
    </w:p>
    <w:p>
      <w:pPr>
        <w:pStyle w:val="ListParagraph"/>
        <w:numPr>
          <w:ilvl w:val="0"/>
          <w:numId w:val="3"/>
        </w:numPr>
        <w:spacing w:after="100" w:line="360"/>
      </w:pPr>
      <w:r>
        <w:rPr>
          <w:rFonts w:ascii="Times New Roman" w:cs="Times New Roman" w:eastAsia="Times New Roman" w:hAnsi="Times New Roman"/>
          <w:sz w:val="26"/>
          <w:szCs w:val="26"/>
        </w:rPr>
        <w:t xml:space="preserve">Recommendation of departmental/prosecutorial action against the responsible official(s)</w:t>
      </w:r>
    </w:p>
    <w:p>
      <w:pPr>
        <w:pStyle w:val="ListParagraph"/>
        <w:numPr>
          <w:ilvl w:val="0"/>
          <w:numId w:val="3"/>
        </w:numPr>
        <w:spacing w:after="100" w:line="360"/>
      </w:pPr>
      <w:r>
        <w:rPr>
          <w:rFonts w:ascii="Times New Roman" w:cs="Times New Roman" w:eastAsia="Times New Roman" w:hAnsi="Times New Roman"/>
          <w:sz w:val="26"/>
          <w:szCs w:val="26"/>
        </w:rPr>
        <w:t xml:space="preserve">Any other direction this Hon'ble Commission deems fit</w:t>
      </w:r>
    </w:p>
    <w:p>
      <w:pPr>
        <w:pStyle w:val="Heading2"/>
        <w:spacing w:after="160" w:before="300"/>
      </w:pPr>
      <w:r>
        <w:rPr>
          <w:rFonts w:ascii="Times New Roman" w:cs="Times New Roman" w:eastAsia="Times New Roman" w:hAnsi="Times New Roman"/>
          <w:b/>
          <w:bCs/>
          <w:sz w:val="30"/>
          <w:szCs w:val="30"/>
        </w:rPr>
        <w:t xml:space="preserve">17. Costs</w:t>
      </w:r>
    </w:p>
    <w:p>
      <w:pPr>
        <w:spacing w:after="160" w:line="360"/>
        <w:jc w:val="both"/>
      </w:pPr>
      <w:r>
        <w:rPr>
          <w:rFonts w:ascii="Times New Roman" w:cs="Times New Roman" w:eastAsia="Times New Roman" w:hAnsi="Times New Roman"/>
          <w:b w:val="false"/>
          <w:bCs w:val="false"/>
          <w:i w:val="false"/>
          <w:iCs w:val="false"/>
          <w:sz w:val="26"/>
          <w:szCs w:val="26"/>
        </w:rPr>
        <w:t xml:space="preserve">Costs of this proceeding be awarded to the Applicant/Complainant/Petitioner/Plaintiff as this Hon'ble Court/Forum deems fit.</w:t>
      </w:r>
    </w:p>
    <w:p>
      <w:pPr>
        <w:pStyle w:val="Heading2"/>
        <w:spacing w:after="160" w:before="300"/>
      </w:pPr>
      <w:r>
        <w:rPr>
          <w:rFonts w:ascii="Times New Roman" w:cs="Times New Roman" w:eastAsia="Times New Roman" w:hAnsi="Times New Roman"/>
          <w:b/>
          <w:bCs/>
          <w:sz w:val="30"/>
          <w:szCs w:val="30"/>
        </w:rPr>
        <w:t xml:space="preserve">18. Verification</w:t>
      </w:r>
    </w:p>
    <w:p>
      <w:pPr>
        <w:spacing w:after="160" w:line="360"/>
        <w:jc w:val="both"/>
      </w:pPr>
      <w:r>
        <w:rPr>
          <w:rFonts w:ascii="Times New Roman" w:cs="Times New Roman" w:eastAsia="Times New Roman" w:hAnsi="Times New Roman"/>
          <w:b w:val="false"/>
          <w:bCs w:val="false"/>
          <w:i w:val="false"/>
          <w:iCs w:val="false"/>
          <w:sz w:val="26"/>
          <w:szCs w:val="26"/>
        </w:rPr>
        <w:t xml:space="preserve">I, the party named above, do hereby verify that the contents of paragraphs __ to __ are true to my knowledge, paragraphs __ to __ are based on information received and believed to be true, and paragraphs __ to __ are based on legal advice, and nothing material has been concealed therefrom.</w:t>
      </w:r>
    </w:p>
    <w:p>
      <w:pPr>
        <w:pStyle w:val="Heading2"/>
        <w:spacing w:after="160" w:before="300"/>
      </w:pPr>
      <w:r>
        <w:rPr>
          <w:rFonts w:ascii="Times New Roman" w:cs="Times New Roman" w:eastAsia="Times New Roman" w:hAnsi="Times New Roman"/>
          <w:b/>
          <w:bCs/>
          <w:sz w:val="30"/>
          <w:szCs w:val="30"/>
        </w:rPr>
        <w:t xml:space="preserve">19. Affidavit</w:t>
      </w:r>
    </w:p>
    <w:p>
      <w:pPr>
        <w:spacing w:after="160" w:line="360"/>
        <w:jc w:val="both"/>
      </w:pPr>
      <w:r>
        <w:rPr>
          <w:rFonts w:ascii="Times New Roman" w:cs="Times New Roman" w:eastAsia="Times New Roman" w:hAnsi="Times New Roman"/>
          <w:b w:val="false"/>
          <w:bCs w:val="false"/>
          <w:i w:val="false"/>
          <w:iCs w:val="false"/>
          <w:sz w:val="26"/>
          <w:szCs w:val="26"/>
        </w:rPr>
        <w:t xml:space="preserve">Standard affidavit in support per Universal Affidavit Framework (Volume 1, UNI-02), sworn/affirmed before a Notary/Oath Commissioner, annexed as Annexure — Affidavit.</w:t>
      </w:r>
    </w:p>
    <w:p>
      <w:pPr>
        <w:pStyle w:val="Heading2"/>
        <w:spacing w:after="160" w:before="300"/>
      </w:pPr>
      <w:r>
        <w:rPr>
          <w:rFonts w:ascii="Times New Roman" w:cs="Times New Roman" w:eastAsia="Times New Roman" w:hAnsi="Times New Roman"/>
          <w:b/>
          <w:bCs/>
          <w:sz w:val="30"/>
          <w:szCs w:val="30"/>
        </w:rPr>
        <w:t xml:space="preserve">20. Annexure List</w:t>
      </w:r>
    </w:p>
    <w:p>
      <w:pPr>
        <w:spacing w:after="160" w:line="360"/>
        <w:jc w:val="both"/>
      </w:pPr>
      <w:r>
        <w:rPr>
          <w:rFonts w:ascii="Times New Roman" w:cs="Times New Roman" w:eastAsia="Times New Roman" w:hAnsi="Times New Roman"/>
          <w:b w:val="false"/>
          <w:bCs w:val="false"/>
          <w:i w:val="false"/>
          <w:iCs w:val="false"/>
          <w:sz w:val="26"/>
          <w:szCs w:val="26"/>
        </w:rPr>
        <w:t xml:space="preserve">Annexure A, B, C ... — each annexure indexed with a one-line description and page reference; maintain running alphabetical sequence across all filings in the matter.</w:t>
      </w:r>
    </w:p>
    <w:p>
      <w:pPr>
        <w:pStyle w:val="Heading2"/>
        <w:spacing w:after="160" w:before="300"/>
      </w:pPr>
      <w:r>
        <w:rPr>
          <w:rFonts w:ascii="Times New Roman" w:cs="Times New Roman" w:eastAsia="Times New Roman" w:hAnsi="Times New Roman"/>
          <w:b/>
          <w:bCs/>
          <w:sz w:val="30"/>
          <w:szCs w:val="30"/>
        </w:rPr>
        <w:t xml:space="preserve">21. Filing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w:t>
            </w:r>
          </w:p>
        </w:tc>
        <w:tc>
          <w:tcPr>
            <w:tcW w:type="pct" w:w="9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Filing Checklist Item</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Supporting evidence (medical records, photographs, correspondence, witness statements) annexed and indexed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Prior complaint to the police/departmental authority (if any) and its outcome annexed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Complaint filed within one year of the violation, or delay explained</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22. AI Review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w:t>
            </w:r>
          </w:p>
        </w:tc>
        <w:tc>
          <w:tcPr>
            <w:tcW w:type="pct" w:w="9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AI Review Item</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the violation alleged is attributable to State action/inaction, not a purely private dispute</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the one-year limitation guideline is addressed, with delay explained if applicable</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the relief sought is realistic given the Commission's recommendatory (not typically binding-adjudicatory) powers</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23. Common Drafting Mistakes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Common Mistake</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Filing a purely private dispute between individuals as an NHRC complaint, when no State action/inaction is involved</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Vague chronology without supporting evidence for each factual assertion</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Unrealistic expectations of the relief sought, given the Commission's predominantly recommendatory role</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24. Claude Optimization Prompt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GENERATOR PROMPT —</w:t>
            </w:r>
          </w:p>
          <w:p>
            <w:pPr>
              <w:spacing w:line="300"/>
              <w:jc w:val="both"/>
            </w:pPr>
            <w:r>
              <w:rPr>
                <w:rFonts w:ascii="Times New Roman" w:cs="Times New Roman" w:eastAsia="Times New Roman" w:hAnsi="Times New Roman"/>
                <w:i/>
                <w:iCs/>
                <w:sz w:val="26"/>
                <w:szCs w:val="26"/>
              </w:rPr>
              <w:t xml:space="preserve">Draft a complaint to the National Human Rights Commission under Section 12, PHRA, 1993, alleging [specific human rights violation] by [state agency/actor], based on [facts and evidence]. Address the one-year limitation guideline and state realistic relief within the Commission's recommendatory powers. Use only facts supplied by the user.</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25. Claude/GPT Reviewer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REVIEWER PROMPT —</w:t>
            </w:r>
          </w:p>
          <w:p>
            <w:pPr>
              <w:spacing w:line="300"/>
              <w:jc w:val="both"/>
            </w:pPr>
            <w:r>
              <w:rPr>
                <w:rFonts w:ascii="Times New Roman" w:cs="Times New Roman" w:eastAsia="Times New Roman" w:hAnsi="Times New Roman"/>
                <w:i/>
                <w:iCs/>
                <w:sz w:val="26"/>
                <w:szCs w:val="26"/>
              </w:rPr>
              <w:t xml:space="preserve">Review this NHRC complaint to confirm the violation is attributable to State action/inaction, the one-year limitation guideline is addressed, and the relief sought is realistic given the Commission's recommendatory powers under Sections 12-18.</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26. Senior Counsel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SENIOR COUNSEL PROMPT —</w:t>
            </w:r>
          </w:p>
          <w:p>
            <w:pPr>
              <w:spacing w:line="300"/>
              <w:jc w:val="both"/>
            </w:pPr>
            <w:r>
              <w:rPr>
                <w:rFonts w:ascii="Times New Roman" w:cs="Times New Roman" w:eastAsia="Times New Roman" w:hAnsi="Times New Roman"/>
                <w:i/>
                <w:iCs/>
                <w:sz w:val="26"/>
                <w:szCs w:val="26"/>
              </w:rPr>
              <w:t xml:space="preserve">Assess whether this complaint's fact pattern would be more effectively pursued in parallel before a court (for binding relief) in addition to the NHRC (for its investigatory and moral-authority functions), and apply the Senior Counsel Addendum's cross-forum consistency check if a parallel proceeding exists.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SENIOR COUNSEL PROMPT — STANDING ADDENDUM —</w:t>
            </w:r>
          </w:p>
          <w:p>
            <w:pPr>
              <w:spacing w:line="300"/>
              <w:jc w:val="both"/>
            </w:pPr>
            <w:r>
              <w:rPr>
                <w:rFonts w:ascii="Times New Roman" w:cs="Times New Roman" w:eastAsia="Times New Roman" w:hAnsi="Times New Roman"/>
                <w:i/>
                <w:iCs/>
                <w:sz w:val="26"/>
                <w:szCs w:val="26"/>
              </w:rPr>
              <w:t xml:space="preserve">STANDING CHECKS (apply in every matter): (1) Cross-forum admission risk — where the user is running simultaneous or parallel proceedings on overlapping facts before different forums (e.g., a regulatory complaint alongside a civil suit, criminal proceeding, or another regulatory body), flag any factual characterization, admission, or relief sought in this document that could be used against the user's position in a parallel proceeding, or that could later be read as inconsistent with a position taken elsewhere. (2) Attesting-professional conflicts — flag if any notary, auditor, valuer, or other certifying professional named in the facts has a disclosed or reasonably inferable relationship (familial, financial, employment) to an opposing party, since this bears on the evidentiary weight of the attestation. (3) Killcritic enforcement — the final draft must contain no AI-hedging language, meta-commentary, or unnecessary disclaimers; remove phrases like 'it appears that' or 'this may suggest' unless the underlying fact is genuinely unconfirmed by the user, in which case use only the legally precise hedge ('alleged', 'prima facie', 'based on information and belief') rather than a generic qualifier.</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27. High Court Formatting Compliance Prompt</w:t>
      </w:r>
    </w:p>
    <w:p>
      <w:pPr>
        <w:spacing w:after="100" w:line="360"/>
        <w:jc w:val="both"/>
      </w:pPr>
      <w:r>
        <w:rPr>
          <w:rFonts w:ascii="Times New Roman" w:cs="Times New Roman" w:eastAsia="Times New Roman" w:hAnsi="Times New Roman"/>
          <w:b w:val="false"/>
          <w:bCs w:val="false"/>
          <w:i/>
          <w:iCs/>
          <w:sz w:val="26"/>
          <w:szCs w:val="26"/>
        </w:rPr>
        <w:t xml:space="preserve">Applies to every document produced from this template: Times New Roman 13pt, 1.5 line spacing, A4 page, 1.75-inch left/binding margin, 0.8-inch top/bottom/right margins, justified text, numbered paragraphs, centered page numbers in footer.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FORMATTING PROMPT —</w:t>
            </w:r>
          </w:p>
          <w:p>
            <w:pPr>
              <w:spacing w:line="300"/>
              <w:jc w:val="both"/>
            </w:pPr>
            <w:r>
              <w:rPr>
                <w:rFonts w:ascii="Times New Roman" w:cs="Times New Roman" w:eastAsia="Times New Roman" w:hAnsi="Times New Roman"/>
                <w:i/>
                <w:iCs/>
                <w:sz w:val="26"/>
                <w:szCs w:val="26"/>
              </w:rPr>
              <w:t xml:space="preserve">Format this document strictly in High Court filing format: font Times New Roman, size 13pt throughout (headings may be bold at the same size), line spacing 1.5, page size A4, left/binding margin 1.75 inches, top/bottom/right margins 0.8 inches each, text fully justified, paragraphs numbered consecutively, and page numbers centered in the footer. Do not use any other font, spacing, or margin configuration even if a template default suggests otherwise.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FORMATTING PROMPT — STANDING ADDENDUM —</w:t>
            </w:r>
          </w:p>
          <w:p>
            <w:pPr>
              <w:spacing w:line="300"/>
              <w:jc w:val="both"/>
            </w:pPr>
            <w:r>
              <w:rPr>
                <w:rFonts w:ascii="Times New Roman" w:cs="Times New Roman" w:eastAsia="Times New Roman" w:hAnsi="Times New Roman"/>
                <w:i/>
                <w:iCs/>
                <w:sz w:val="26"/>
                <w:szCs w:val="26"/>
              </w:rPr>
              <w:t xml:space="preserve">STANDING CHECKS (apply in every matter): (1) Forum-specific override — before applying this High Court format by default, confirm whether the actual receiving forum (e.g., a regulatory tribunal, portal-based e-filing system, consumer commission, or advertising body) has its own prescribed format, page-limit, or upload specification, and apply that instead where it differs. (2) International/embassy/UN submissions — where a document is intended for use abroad or before an international body, note that: India is a party to the Hague Apostille Convention, so documents for use in other member states should be apostilled rather than merely notarised; documents not in English require a certified translation; and international bodies typically expect single line spacing and no page-binding margin, so the High Court margin/spacing spec should not be applied to those documents — flag this distinction rather than silently carrying over Indian court formatting. (3) Self-represented litigant — do not assume a law-firm letterhead or advocate signature block; use the party's own name, address, and 'Party-in-Person' designation in the signature and service blocks.</w:t>
            </w:r>
          </w:p>
        </w:tc>
      </w:tr>
    </w:tbl>
    <w:p>
      <w:pPr>
        <w:pStyle w:val="Heading1"/>
        <w:pageBreakBefore/>
        <w:spacing w:after="160" w:before="300"/>
      </w:pPr>
      <w:r>
        <w:rPr>
          <w:rFonts w:ascii="Times New Roman" w:cs="Times New Roman" w:eastAsia="Times New Roman" w:hAnsi="Times New Roman"/>
          <w:b/>
          <w:bCs/>
          <w:sz w:val="30"/>
          <w:szCs w:val="30"/>
        </w:rPr>
        <w:t xml:space="preserve">Complaint Regarding Custodial Violence / Torture</w:t>
      </w:r>
    </w:p>
    <w:p>
      <w:pPr>
        <w:spacing w:after="60" w:line="360"/>
        <w:jc w:val="both"/>
      </w:pPr>
      <w:r>
        <w:rPr>
          <w:rFonts w:ascii="Times New Roman" w:cs="Times New Roman" w:eastAsia="Times New Roman" w:hAnsi="Times New Roman"/>
          <w:b w:val="false"/>
          <w:bCs w:val="false"/>
          <w:i/>
          <w:iCs/>
          <w:sz w:val="26"/>
          <w:szCs w:val="26"/>
        </w:rPr>
        <w:t xml:space="preserve">Template Code: HR-02</w:t>
      </w:r>
    </w:p>
    <w:p>
      <w:pPr>
        <w:spacing w:after="240" w:line="360"/>
        <w:jc w:val="both"/>
      </w:pPr>
      <w:r>
        <w:rPr>
          <w:rFonts w:ascii="Times New Roman" w:cs="Times New Roman" w:eastAsia="Times New Roman" w:hAnsi="Times New Roman"/>
          <w:b w:val="false"/>
          <w:bCs w:val="false"/>
          <w:i/>
          <w:iCs/>
          <w:sz w:val="26"/>
          <w:szCs w:val="26"/>
        </w:rPr>
        <w:t xml:space="preserve">Applicable Volume Cross-Reference: A specific fact-pattern variant of HR-01; cross-refer to Volume 3 (Criminal Litigation) for any accompanying criminal complaint against the responsible official(s).</w:t>
      </w:r>
    </w:p>
    <w:p>
      <w:pPr>
        <w:pStyle w:val="Heading2"/>
        <w:spacing w:after="160" w:before="300"/>
      </w:pPr>
      <w:r>
        <w:rPr>
          <w:rFonts w:ascii="Times New Roman" w:cs="Times New Roman" w:eastAsia="Times New Roman" w:hAnsi="Times New Roman"/>
          <w:b/>
          <w:bCs/>
          <w:sz w:val="30"/>
          <w:szCs w:val="30"/>
        </w:rPr>
        <w:t xml:space="preserve">1. AI Drafting Instructions</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Plead compliance (or non-compliance) with each of the eleven D.K. Basu safeguards specifically and individually — a checklist-style factual comparison against each safeguard is far more persuasive than a general allegation of custodial mistreatment.</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Where the victim is deceased, plead the requirement of a magisterial inquiry/post-mortem and cross-reference any parallel criminal proceeding against the responsible official(s).</w:t>
      </w:r>
    </w:p>
    <w:p>
      <w:pPr>
        <w:pStyle w:val="Heading2"/>
        <w:spacing w:after="160" w:before="300"/>
      </w:pPr>
      <w:r>
        <w:rPr>
          <w:rFonts w:ascii="Times New Roman" w:cs="Times New Roman" w:eastAsia="Times New Roman" w:hAnsi="Times New Roman"/>
          <w:b/>
          <w:bCs/>
          <w:sz w:val="30"/>
          <w:szCs w:val="30"/>
        </w:rPr>
        <w:t xml:space="preserve">2. Governing Law</w:t>
      </w:r>
    </w:p>
    <w:p>
      <w:pPr>
        <w:spacing w:after="160" w:line="360"/>
        <w:jc w:val="both"/>
      </w:pPr>
      <w:r>
        <w:rPr>
          <w:rFonts w:ascii="Times New Roman" w:cs="Times New Roman" w:eastAsia="Times New Roman" w:hAnsi="Times New Roman"/>
          <w:b w:val="false"/>
          <w:bCs w:val="false"/>
          <w:i w:val="false"/>
          <w:iCs w:val="false"/>
          <w:sz w:val="26"/>
          <w:szCs w:val="26"/>
        </w:rPr>
        <w:t xml:space="preserve">Protection of Human Rights Act, 1993; Article 21 of the Constitution of India, as elaborated in D.K. Basu v. State of West Bengal.</w:t>
      </w:r>
    </w:p>
    <w:p>
      <w:pPr>
        <w:pStyle w:val="Heading2"/>
        <w:spacing w:after="160" w:before="300"/>
      </w:pPr>
      <w:r>
        <w:rPr>
          <w:rFonts w:ascii="Times New Roman" w:cs="Times New Roman" w:eastAsia="Times New Roman" w:hAnsi="Times New Roman"/>
          <w:b/>
          <w:bCs/>
          <w:sz w:val="30"/>
          <w:szCs w:val="30"/>
        </w:rPr>
        <w:t xml:space="preserve">3. Jurisdiction</w:t>
      </w:r>
    </w:p>
    <w:p>
      <w:pPr>
        <w:spacing w:after="160" w:line="360"/>
        <w:jc w:val="both"/>
      </w:pPr>
      <w:r>
        <w:rPr>
          <w:rFonts w:ascii="Times New Roman" w:cs="Times New Roman" w:eastAsia="Times New Roman" w:hAnsi="Times New Roman"/>
          <w:b w:val="false"/>
          <w:bCs w:val="false"/>
          <w:i w:val="false"/>
          <w:iCs w:val="false"/>
          <w:sz w:val="26"/>
          <w:szCs w:val="26"/>
        </w:rPr>
        <w:t xml:space="preserve">The National Human Rights Commission or the concerned State Human Rights Commission (HR-04), depending on the state agency involved and the gravity/inter-state character of the matter.</w:t>
      </w:r>
    </w:p>
    <w:p>
      <w:pPr>
        <w:pStyle w:val="Heading2"/>
        <w:spacing w:after="160" w:before="300"/>
      </w:pPr>
      <w:r>
        <w:rPr>
          <w:rFonts w:ascii="Times New Roman" w:cs="Times New Roman" w:eastAsia="Times New Roman" w:hAnsi="Times New Roman"/>
          <w:b/>
          <w:bCs/>
          <w:sz w:val="30"/>
          <w:szCs w:val="30"/>
        </w:rPr>
        <w:t xml:space="preserve">4. Mandatory Ingredients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Mandatory Ingredient</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Date, time, and place of the custody/detention</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Specific facts establishing which of the D.K. Basu safeguards were violated</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Medical evidence of injury, where applicable</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4</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Any parallel FIR/criminal complaint filed against the responsible official(s)</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5. Cause Title Format</w:t>
      </w:r>
    </w:p>
    <w:p>
      <w:pPr>
        <w:spacing w:after="160" w:line="360"/>
        <w:jc w:val="both"/>
      </w:pPr>
      <w:r>
        <w:rPr>
          <w:rFonts w:ascii="Times New Roman" w:cs="Times New Roman" w:eastAsia="Times New Roman" w:hAnsi="Times New Roman"/>
          <w:b w:val="false"/>
          <w:bCs w:val="false"/>
          <w:i w:val="false"/>
          <w:iCs w:val="false"/>
          <w:sz w:val="26"/>
          <w:szCs w:val="26"/>
        </w:rPr>
        <w:t xml:space="preserve">TO THE NATIONAL/STATE HUMAN RIGHTS COMMISSION / COMPLAINT REGARDING CUSTODIAL VIOLENCE UNDER SECTION 12, PHRA, 1993</w:t>
      </w:r>
    </w:p>
    <w:p>
      <w:pPr>
        <w:pStyle w:val="Heading2"/>
        <w:spacing w:after="160" w:before="300"/>
      </w:pPr>
      <w:r>
        <w:rPr>
          <w:rFonts w:ascii="Times New Roman" w:cs="Times New Roman" w:eastAsia="Times New Roman" w:hAnsi="Times New Roman"/>
          <w:b/>
          <w:bCs/>
          <w:sz w:val="30"/>
          <w:szCs w:val="30"/>
        </w:rPr>
        <w:t xml:space="preserve">6. Index (Standard Format)</w:t>
      </w:r>
    </w:p>
    <w:p>
      <w:pPr>
        <w:spacing w:after="160" w:line="360"/>
        <w:jc w:val="both"/>
      </w:pPr>
      <w:r>
        <w:rPr>
          <w:rFonts w:ascii="Times New Roman" w:cs="Times New Roman" w:eastAsia="Times New Roman" w:hAnsi="Times New Roman"/>
          <w:b w:val="false"/>
          <w:bCs w:val="false"/>
          <w:i w:val="false"/>
          <w:iCs w:val="false"/>
          <w:sz w:val="26"/>
          <w:szCs w:val="26"/>
        </w:rPr>
        <w:t xml:space="preserve">Sr. No. | Particulars | Page No. — tabulate all annexures and pleadings chronologically.</w:t>
      </w:r>
    </w:p>
    <w:p>
      <w:pPr>
        <w:pStyle w:val="Heading2"/>
        <w:spacing w:after="160" w:before="300"/>
      </w:pPr>
      <w:r>
        <w:rPr>
          <w:rFonts w:ascii="Times New Roman" w:cs="Times New Roman" w:eastAsia="Times New Roman" w:hAnsi="Times New Roman"/>
          <w:b/>
          <w:bCs/>
          <w:sz w:val="30"/>
          <w:szCs w:val="30"/>
        </w:rPr>
        <w:t xml:space="preserve">7. Synopsis</w:t>
      </w:r>
    </w:p>
    <w:p>
      <w:pPr>
        <w:spacing w:after="160" w:line="360"/>
        <w:jc w:val="both"/>
      </w:pPr>
      <w:r>
        <w:rPr>
          <w:rFonts w:ascii="Times New Roman" w:cs="Times New Roman" w:eastAsia="Times New Roman" w:hAnsi="Times New Roman"/>
          <w:b w:val="false"/>
          <w:bCs w:val="false"/>
          <w:i w:val="false"/>
          <w:iCs w:val="false"/>
          <w:sz w:val="26"/>
          <w:szCs w:val="26"/>
        </w:rPr>
        <w:t xml:space="preserve">Concise statement of the custody, the specific D.K. Basu safeguards violated, and the resulting harm.</w:t>
      </w:r>
    </w:p>
    <w:p>
      <w:pPr>
        <w:pStyle w:val="Heading2"/>
        <w:spacing w:after="160" w:before="300"/>
      </w:pPr>
      <w:r>
        <w:rPr>
          <w:rFonts w:ascii="Times New Roman" w:cs="Times New Roman" w:eastAsia="Times New Roman" w:hAnsi="Times New Roman"/>
          <w:b/>
          <w:bCs/>
          <w:sz w:val="30"/>
          <w:szCs w:val="30"/>
        </w:rPr>
        <w:t xml:space="preserve">8. List of Dates and Events</w:t>
      </w:r>
    </w:p>
    <w:p>
      <w:pPr>
        <w:spacing w:after="160" w:line="360"/>
        <w:jc w:val="both"/>
      </w:pPr>
      <w:r>
        <w:rPr>
          <w:rFonts w:ascii="Times New Roman" w:cs="Times New Roman" w:eastAsia="Times New Roman" w:hAnsi="Times New Roman"/>
          <w:b w:val="false"/>
          <w:bCs w:val="false"/>
          <w:i w:val="false"/>
          <w:iCs w:val="false"/>
          <w:sz w:val="26"/>
          <w:szCs w:val="26"/>
        </w:rPr>
        <w:t xml:space="preserve">Date | Event — chronological, each entry cross-referenced to an annexure letter.</w:t>
      </w:r>
    </w:p>
    <w:p>
      <w:pPr>
        <w:pStyle w:val="Heading2"/>
        <w:spacing w:after="160" w:before="300"/>
      </w:pPr>
      <w:r>
        <w:rPr>
          <w:rFonts w:ascii="Times New Roman" w:cs="Times New Roman" w:eastAsia="Times New Roman" w:hAnsi="Times New Roman"/>
          <w:b/>
          <w:bCs/>
          <w:sz w:val="30"/>
          <w:szCs w:val="30"/>
        </w:rPr>
        <w:t xml:space="preserve">9. Parties</w:t>
      </w:r>
    </w:p>
    <w:p>
      <w:pPr>
        <w:spacing w:after="160" w:line="360"/>
        <w:jc w:val="both"/>
      </w:pPr>
      <w:r>
        <w:rPr>
          <w:rFonts w:ascii="Times New Roman" w:cs="Times New Roman" w:eastAsia="Times New Roman" w:hAnsi="Times New Roman"/>
          <w:b w:val="false"/>
          <w:bCs w:val="false"/>
          <w:i w:val="false"/>
          <w:iCs w:val="false"/>
          <w:sz w:val="26"/>
          <w:szCs w:val="26"/>
        </w:rPr>
        <w:t xml:space="preserve">Complainant (victim or person acting on their behalf) and the police/custodial authority responsible.</w:t>
      </w:r>
    </w:p>
    <w:p>
      <w:pPr>
        <w:pStyle w:val="Heading2"/>
        <w:spacing w:after="160" w:before="300"/>
      </w:pPr>
      <w:r>
        <w:rPr>
          <w:rFonts w:ascii="Times New Roman" w:cs="Times New Roman" w:eastAsia="Times New Roman" w:hAnsi="Times New Roman"/>
          <w:b/>
          <w:bCs/>
          <w:sz w:val="30"/>
          <w:szCs w:val="30"/>
        </w:rPr>
        <w:t xml:space="preserve">10. Facts</w:t>
      </w:r>
    </w:p>
    <w:p>
      <w:pPr>
        <w:spacing w:after="160" w:line="360"/>
        <w:jc w:val="both"/>
      </w:pPr>
      <w:r>
        <w:rPr>
          <w:rFonts w:ascii="Times New Roman" w:cs="Times New Roman" w:eastAsia="Times New Roman" w:hAnsi="Times New Roman"/>
          <w:b w:val="false"/>
          <w:bCs w:val="false"/>
          <w:i w:val="false"/>
          <w:iCs w:val="false"/>
          <w:sz w:val="26"/>
          <w:szCs w:val="26"/>
        </w:rPr>
        <w:t xml:space="preserve">Chronological facts establishing the custody, the specific procedural safeguards violated (arrest memo, right to inform a relative, medical examination, right to counsel), and the resulting injury/harm.</w:t>
      </w:r>
    </w:p>
    <w:p>
      <w:pPr>
        <w:pStyle w:val="Heading2"/>
        <w:spacing w:after="160" w:before="300"/>
      </w:pPr>
      <w:r>
        <w:rPr>
          <w:rFonts w:ascii="Times New Roman" w:cs="Times New Roman" w:eastAsia="Times New Roman" w:hAnsi="Times New Roman"/>
          <w:b/>
          <w:bCs/>
          <w:sz w:val="30"/>
          <w:szCs w:val="30"/>
        </w:rPr>
        <w:t xml:space="preserve">11. Questions / Issues for Determination</w:t>
      </w:r>
    </w:p>
    <w:p>
      <w:pPr>
        <w:pStyle w:val="ListParagraph"/>
        <w:numPr>
          <w:ilvl w:val="0"/>
          <w:numId w:val="3"/>
        </w:numPr>
        <w:spacing w:after="100" w:line="360"/>
      </w:pPr>
      <w:r>
        <w:rPr>
          <w:rFonts w:ascii="Times New Roman" w:cs="Times New Roman" w:eastAsia="Times New Roman" w:hAnsi="Times New Roman"/>
          <w:sz w:val="26"/>
          <w:szCs w:val="26"/>
        </w:rPr>
        <w:t xml:space="preserve">Which specific D.K. Basu safeguards were violated</w:t>
      </w:r>
    </w:p>
    <w:p>
      <w:pPr>
        <w:pStyle w:val="ListParagraph"/>
        <w:numPr>
          <w:ilvl w:val="0"/>
          <w:numId w:val="3"/>
        </w:numPr>
        <w:spacing w:after="100" w:line="360"/>
      </w:pPr>
      <w:r>
        <w:rPr>
          <w:rFonts w:ascii="Times New Roman" w:cs="Times New Roman" w:eastAsia="Times New Roman" w:hAnsi="Times New Roman"/>
          <w:sz w:val="26"/>
          <w:szCs w:val="26"/>
        </w:rPr>
        <w:t xml:space="preserve">Whether the injury/harm is causally linked to the custodial period</w:t>
      </w:r>
    </w:p>
    <w:p>
      <w:pPr>
        <w:pStyle w:val="ListParagraph"/>
        <w:numPr>
          <w:ilvl w:val="0"/>
          <w:numId w:val="3"/>
        </w:numPr>
        <w:spacing w:after="100" w:line="360"/>
      </w:pPr>
      <w:r>
        <w:rPr>
          <w:rFonts w:ascii="Times New Roman" w:cs="Times New Roman" w:eastAsia="Times New Roman" w:hAnsi="Times New Roman"/>
          <w:sz w:val="26"/>
          <w:szCs w:val="26"/>
        </w:rPr>
        <w:t xml:space="preserve">Whether a parallel criminal complaint against the responsible official(s) has been filed</w:t>
      </w:r>
    </w:p>
    <w:p>
      <w:pPr>
        <w:pStyle w:val="Heading2"/>
        <w:spacing w:after="160" w:before="300"/>
      </w:pPr>
      <w:r>
        <w:rPr>
          <w:rFonts w:ascii="Times New Roman" w:cs="Times New Roman" w:eastAsia="Times New Roman" w:hAnsi="Times New Roman"/>
          <w:b/>
          <w:bCs/>
          <w:sz w:val="30"/>
          <w:szCs w:val="30"/>
        </w:rPr>
        <w:t xml:space="preserve">12. Statutory Provisions Invoked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Statutory Provision</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Section 12, PHRA, 1993</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Article 21 of the Constitution of India</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Relevant Indian Penal Code/Bharatiya Nyaya Sanhita provisions for the parallel criminal complaint (matched to the date of the incident per Volume 3's CrPC/BNSS distinction)</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13. Case-Law Citations</w:t>
      </w:r>
    </w:p>
    <w:p>
      <w:pPr>
        <w:spacing w:after="160" w:line="360"/>
        <w:jc w:val="both"/>
      </w:pPr>
      <w:r>
        <w:rPr>
          <w:rFonts w:ascii="Times New Roman" w:cs="Times New Roman" w:eastAsia="Times New Roman" w:hAnsi="Times New Roman"/>
          <w:b w:val="false"/>
          <w:bCs w:val="false"/>
          <w:i/>
          <w:iCs/>
          <w:sz w:val="26"/>
          <w:szCs w:val="26"/>
        </w:rPr>
        <w:t xml:space="preserve">The following are established, verifiable citations directly relevant to this instrument. Additional matter-specific case law should be added in the same tabular format; do not leave a case-law slot filled with an invented citation.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32"/>
        <w:gridCol w:w="60"/>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3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Case Citation</w:t>
            </w:r>
          </w:p>
        </w:tc>
        <w:tc>
          <w:tcPr>
            <w:tcW w:type="pct" w:w="60%"/>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Legal Proposition</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3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D.K. Basu v. State of West Bengal, (1997) 1 SCC 416</w:t>
            </w:r>
          </w:p>
        </w:tc>
        <w:tc>
          <w:tcPr>
            <w:tcW w:type="pct" w:w="60%"/>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Mandated eleven specific safeguards for arrest and detention (preparation of an arrest memo attested by a witness, informing a relative/friend, medical examination at the time of arrest and every 48 hours thereafter, right to legal counsel, among others), non-compliance with which renders the concerned officials liable to departmental action and contempt of court.</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3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Joginder Kumar v. State of U.P., (1994) 4 SCC 260</w:t>
            </w:r>
          </w:p>
        </w:tc>
        <w:tc>
          <w:tcPr>
            <w:tcW w:type="pct" w:w="60%"/>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Held that the mere power to arrest does not justify arrest in every case; an arrest must be justified by the facts of the case, and the arrested person has a right to have a relative or friend informed of the arrest and the place of detention.</w:t>
            </w:r>
          </w:p>
        </w:tc>
      </w:tr>
    </w:tbl>
    <w:p>
      <w:pPr>
        <w:pStyle w:val="Heading2"/>
        <w:spacing w:after="160" w:before="300"/>
      </w:pPr>
      <w:r>
        <w:rPr>
          <w:rFonts w:ascii="Times New Roman" w:cs="Times New Roman" w:eastAsia="Times New Roman" w:hAnsi="Times New Roman"/>
          <w:b/>
          <w:bCs/>
          <w:sz w:val="30"/>
          <w:szCs w:val="30"/>
        </w:rPr>
        <w:t xml:space="preserve">14. Grounds</w:t>
      </w:r>
    </w:p>
    <w:p>
      <w:pPr>
        <w:pStyle w:val="ListParagraph"/>
        <w:numPr>
          <w:ilvl w:val="0"/>
          <w:numId w:val="3"/>
        </w:numPr>
        <w:spacing w:after="100" w:line="360"/>
      </w:pPr>
      <w:r>
        <w:rPr>
          <w:rFonts w:ascii="Times New Roman" w:cs="Times New Roman" w:eastAsia="Times New Roman" w:hAnsi="Times New Roman"/>
          <w:sz w:val="26"/>
          <w:szCs w:val="26"/>
        </w:rPr>
        <w:t xml:space="preserve">Specific D.K. Basu safeguard(s) violated, established by evidence</w:t>
      </w:r>
    </w:p>
    <w:p>
      <w:pPr>
        <w:pStyle w:val="ListParagraph"/>
        <w:numPr>
          <w:ilvl w:val="0"/>
          <w:numId w:val="3"/>
        </w:numPr>
        <w:spacing w:after="100" w:line="360"/>
      </w:pPr>
      <w:r>
        <w:rPr>
          <w:rFonts w:ascii="Times New Roman" w:cs="Times New Roman" w:eastAsia="Times New Roman" w:hAnsi="Times New Roman"/>
          <w:sz w:val="26"/>
          <w:szCs w:val="26"/>
        </w:rPr>
        <w:t xml:space="preserve">Injury/harm causally linked to the custodial period</w:t>
      </w:r>
    </w:p>
    <w:p>
      <w:pPr>
        <w:pStyle w:val="ListParagraph"/>
        <w:numPr>
          <w:ilvl w:val="0"/>
          <w:numId w:val="3"/>
        </w:numPr>
        <w:spacing w:after="100" w:line="360"/>
      </w:pPr>
      <w:r>
        <w:rPr>
          <w:rFonts w:ascii="Times New Roman" w:cs="Times New Roman" w:eastAsia="Times New Roman" w:hAnsi="Times New Roman"/>
          <w:sz w:val="26"/>
          <w:szCs w:val="26"/>
        </w:rPr>
        <w:t xml:space="preserve">Absence of any lawful justification for the treatment</w:t>
      </w:r>
    </w:p>
    <w:p>
      <w:pPr>
        <w:pStyle w:val="Heading2"/>
        <w:spacing w:after="160" w:before="300"/>
      </w:pPr>
      <w:r>
        <w:rPr>
          <w:rFonts w:ascii="Times New Roman" w:cs="Times New Roman" w:eastAsia="Times New Roman" w:hAnsi="Times New Roman"/>
          <w:b/>
          <w:bCs/>
          <w:sz w:val="30"/>
          <w:szCs w:val="30"/>
        </w:rPr>
        <w:t xml:space="preserve">15. Interim Relief Sought</w:t>
      </w:r>
    </w:p>
    <w:p>
      <w:pPr>
        <w:spacing w:after="160" w:line="360"/>
        <w:jc w:val="both"/>
      </w:pPr>
      <w:r>
        <w:rPr>
          <w:rFonts w:ascii="Times New Roman" w:cs="Times New Roman" w:eastAsia="Times New Roman" w:hAnsi="Times New Roman"/>
          <w:b w:val="false"/>
          <w:bCs w:val="false"/>
          <w:i w:val="false"/>
          <w:iCs w:val="false"/>
          <w:sz w:val="26"/>
          <w:szCs w:val="26"/>
        </w:rPr>
        <w:t xml:space="preserve">State whether an urgent direction for immediate medical examination/production before a Magistrate is sought, particularly if the custody is ongoing.</w:t>
      </w:r>
    </w:p>
    <w:p>
      <w:pPr>
        <w:pStyle w:val="Heading2"/>
        <w:spacing w:after="160" w:before="300"/>
      </w:pPr>
      <w:r>
        <w:rPr>
          <w:rFonts w:ascii="Times New Roman" w:cs="Times New Roman" w:eastAsia="Times New Roman" w:hAnsi="Times New Roman"/>
          <w:b/>
          <w:bCs/>
          <w:sz w:val="30"/>
          <w:szCs w:val="30"/>
        </w:rPr>
        <w:t xml:space="preserve">16. Main Prayer</w:t>
      </w:r>
    </w:p>
    <w:p>
      <w:pPr>
        <w:pStyle w:val="ListParagraph"/>
        <w:numPr>
          <w:ilvl w:val="0"/>
          <w:numId w:val="3"/>
        </w:numPr>
        <w:spacing w:after="100" w:line="360"/>
      </w:pPr>
      <w:r>
        <w:rPr>
          <w:rFonts w:ascii="Times New Roman" w:cs="Times New Roman" w:eastAsia="Times New Roman" w:hAnsi="Times New Roman"/>
          <w:sz w:val="26"/>
          <w:szCs w:val="26"/>
        </w:rPr>
        <w:t xml:space="preserve">Inquiry into the custodial violence alleged</w:t>
      </w:r>
    </w:p>
    <w:p>
      <w:pPr>
        <w:pStyle w:val="ListParagraph"/>
        <w:numPr>
          <w:ilvl w:val="0"/>
          <w:numId w:val="3"/>
        </w:numPr>
        <w:spacing w:after="100" w:line="360"/>
      </w:pPr>
      <w:r>
        <w:rPr>
          <w:rFonts w:ascii="Times New Roman" w:cs="Times New Roman" w:eastAsia="Times New Roman" w:hAnsi="Times New Roman"/>
          <w:sz w:val="26"/>
          <w:szCs w:val="26"/>
        </w:rPr>
        <w:t xml:space="preserve">Recommendation of compensation to the victim/family</w:t>
      </w:r>
    </w:p>
    <w:p>
      <w:pPr>
        <w:pStyle w:val="ListParagraph"/>
        <w:numPr>
          <w:ilvl w:val="0"/>
          <w:numId w:val="3"/>
        </w:numPr>
        <w:spacing w:after="100" w:line="360"/>
      </w:pPr>
      <w:r>
        <w:rPr>
          <w:rFonts w:ascii="Times New Roman" w:cs="Times New Roman" w:eastAsia="Times New Roman" w:hAnsi="Times New Roman"/>
          <w:sz w:val="26"/>
          <w:szCs w:val="26"/>
        </w:rPr>
        <w:t xml:space="preserve">Recommendation of departmental action and prosecution of the responsible official(s)</w:t>
      </w:r>
    </w:p>
    <w:p>
      <w:pPr>
        <w:pStyle w:val="ListParagraph"/>
        <w:numPr>
          <w:ilvl w:val="0"/>
          <w:numId w:val="3"/>
        </w:numPr>
        <w:spacing w:after="100" w:line="360"/>
      </w:pPr>
      <w:r>
        <w:rPr>
          <w:rFonts w:ascii="Times New Roman" w:cs="Times New Roman" w:eastAsia="Times New Roman" w:hAnsi="Times New Roman"/>
          <w:sz w:val="26"/>
          <w:szCs w:val="26"/>
        </w:rPr>
        <w:t xml:space="preserve">Directions to ensure future D.K. Basu compliance at the concerned facility</w:t>
      </w:r>
    </w:p>
    <w:p>
      <w:pPr>
        <w:pStyle w:val="Heading2"/>
        <w:spacing w:after="160" w:before="300"/>
      </w:pPr>
      <w:r>
        <w:rPr>
          <w:rFonts w:ascii="Times New Roman" w:cs="Times New Roman" w:eastAsia="Times New Roman" w:hAnsi="Times New Roman"/>
          <w:b/>
          <w:bCs/>
          <w:sz w:val="30"/>
          <w:szCs w:val="30"/>
        </w:rPr>
        <w:t xml:space="preserve">17. Costs</w:t>
      </w:r>
    </w:p>
    <w:p>
      <w:pPr>
        <w:spacing w:after="160" w:line="360"/>
        <w:jc w:val="both"/>
      </w:pPr>
      <w:r>
        <w:rPr>
          <w:rFonts w:ascii="Times New Roman" w:cs="Times New Roman" w:eastAsia="Times New Roman" w:hAnsi="Times New Roman"/>
          <w:b w:val="false"/>
          <w:bCs w:val="false"/>
          <w:i w:val="false"/>
          <w:iCs w:val="false"/>
          <w:sz w:val="26"/>
          <w:szCs w:val="26"/>
        </w:rPr>
        <w:t xml:space="preserve">Costs of this proceeding be awarded to the Applicant/Complainant/Petitioner/Plaintiff as this Hon'ble Court/Forum deems fit.</w:t>
      </w:r>
    </w:p>
    <w:p>
      <w:pPr>
        <w:pStyle w:val="Heading2"/>
        <w:spacing w:after="160" w:before="300"/>
      </w:pPr>
      <w:r>
        <w:rPr>
          <w:rFonts w:ascii="Times New Roman" w:cs="Times New Roman" w:eastAsia="Times New Roman" w:hAnsi="Times New Roman"/>
          <w:b/>
          <w:bCs/>
          <w:sz w:val="30"/>
          <w:szCs w:val="30"/>
        </w:rPr>
        <w:t xml:space="preserve">18. Verification</w:t>
      </w:r>
    </w:p>
    <w:p>
      <w:pPr>
        <w:spacing w:after="160" w:line="360"/>
        <w:jc w:val="both"/>
      </w:pPr>
      <w:r>
        <w:rPr>
          <w:rFonts w:ascii="Times New Roman" w:cs="Times New Roman" w:eastAsia="Times New Roman" w:hAnsi="Times New Roman"/>
          <w:b w:val="false"/>
          <w:bCs w:val="false"/>
          <w:i w:val="false"/>
          <w:iCs w:val="false"/>
          <w:sz w:val="26"/>
          <w:szCs w:val="26"/>
        </w:rPr>
        <w:t xml:space="preserve">I, the party named above, do hereby verify that the contents of paragraphs __ to __ are true to my knowledge, paragraphs __ to __ are based on information received and believed to be true, and paragraphs __ to __ are based on legal advice, and nothing material has been concealed therefrom.</w:t>
      </w:r>
    </w:p>
    <w:p>
      <w:pPr>
        <w:pStyle w:val="Heading2"/>
        <w:spacing w:after="160" w:before="300"/>
      </w:pPr>
      <w:r>
        <w:rPr>
          <w:rFonts w:ascii="Times New Roman" w:cs="Times New Roman" w:eastAsia="Times New Roman" w:hAnsi="Times New Roman"/>
          <w:b/>
          <w:bCs/>
          <w:sz w:val="30"/>
          <w:szCs w:val="30"/>
        </w:rPr>
        <w:t xml:space="preserve">19. Affidavit</w:t>
      </w:r>
    </w:p>
    <w:p>
      <w:pPr>
        <w:spacing w:after="160" w:line="360"/>
        <w:jc w:val="both"/>
      </w:pPr>
      <w:r>
        <w:rPr>
          <w:rFonts w:ascii="Times New Roman" w:cs="Times New Roman" w:eastAsia="Times New Roman" w:hAnsi="Times New Roman"/>
          <w:b w:val="false"/>
          <w:bCs w:val="false"/>
          <w:i w:val="false"/>
          <w:iCs w:val="false"/>
          <w:sz w:val="26"/>
          <w:szCs w:val="26"/>
        </w:rPr>
        <w:t xml:space="preserve">Standard affidavit in support per Universal Affidavit Framework (Volume 1, UNI-02), sworn/affirmed before a Notary/Oath Commissioner, annexed as Annexure — Affidavit.</w:t>
      </w:r>
    </w:p>
    <w:p>
      <w:pPr>
        <w:pStyle w:val="Heading2"/>
        <w:spacing w:after="160" w:before="300"/>
      </w:pPr>
      <w:r>
        <w:rPr>
          <w:rFonts w:ascii="Times New Roman" w:cs="Times New Roman" w:eastAsia="Times New Roman" w:hAnsi="Times New Roman"/>
          <w:b/>
          <w:bCs/>
          <w:sz w:val="30"/>
          <w:szCs w:val="30"/>
        </w:rPr>
        <w:t xml:space="preserve">20. Annexure List</w:t>
      </w:r>
    </w:p>
    <w:p>
      <w:pPr>
        <w:spacing w:after="160" w:line="360"/>
        <w:jc w:val="both"/>
      </w:pPr>
      <w:r>
        <w:rPr>
          <w:rFonts w:ascii="Times New Roman" w:cs="Times New Roman" w:eastAsia="Times New Roman" w:hAnsi="Times New Roman"/>
          <w:b w:val="false"/>
          <w:bCs w:val="false"/>
          <w:i w:val="false"/>
          <w:iCs w:val="false"/>
          <w:sz w:val="26"/>
          <w:szCs w:val="26"/>
        </w:rPr>
        <w:t xml:space="preserve">Annexure A, B, C ... — each annexure indexed with a one-line description and page reference; maintain running alphabetical sequence across all filings in the matter.</w:t>
      </w:r>
    </w:p>
    <w:p>
      <w:pPr>
        <w:pStyle w:val="Heading2"/>
        <w:spacing w:after="160" w:before="300"/>
      </w:pPr>
      <w:r>
        <w:rPr>
          <w:rFonts w:ascii="Times New Roman" w:cs="Times New Roman" w:eastAsia="Times New Roman" w:hAnsi="Times New Roman"/>
          <w:b/>
          <w:bCs/>
          <w:sz w:val="30"/>
          <w:szCs w:val="30"/>
        </w:rPr>
        <w:t xml:space="preserve">21. Filing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w:t>
            </w:r>
          </w:p>
        </w:tc>
        <w:tc>
          <w:tcPr>
            <w:tcW w:type="pct" w:w="9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Filing Checklist Item</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Medical records/post-mortem report annexed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Arrest memo (or its absence) documented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Any parallel FIR/criminal complaint against the responsible official(s) annexed</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22. AI Review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w:t>
            </w:r>
          </w:p>
        </w:tc>
        <w:tc>
          <w:tcPr>
            <w:tcW w:type="pct" w:w="9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AI Review Item</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each D.K. Basu safeguard alleged to be violated is specifically and individually addressed, not generally asserted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medical evidence is linked to the specific custodial period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any parallel criminal complaint is disclosed and its status stated</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23. Common Drafting Mistakes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Common Mistake</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General allegation of 'custodial abuse' without specifically identifying which D.K. Basu safeguards were violated</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Medical evidence not clearly linked in time to the custodial period, weakening the causal claim</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No parallel criminal complaint filed against the responsible official(s), leaving the NHRC complaint as the sole avenue for accountability</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24. Claude Optimization Prompt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GENERATOR PROMPT —</w:t>
            </w:r>
          </w:p>
          <w:p>
            <w:pPr>
              <w:spacing w:line="300"/>
              <w:jc w:val="both"/>
            </w:pPr>
            <w:r>
              <w:rPr>
                <w:rFonts w:ascii="Times New Roman" w:cs="Times New Roman" w:eastAsia="Times New Roman" w:hAnsi="Times New Roman"/>
                <w:i/>
                <w:iCs/>
                <w:sz w:val="26"/>
                <w:szCs w:val="26"/>
              </w:rPr>
              <w:t xml:space="preserve">Draft a complaint regarding custodial violence/torture to the [National/State] Human Rights Commission, concerning the custody of [victim] at [facility] from [date], alleging violation of [specific D.K. Basu safeguards]. Cross-reference any parallel FIR/criminal complaint. Use only facts and medical evidence supplied by the user.</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25. Claude/GPT Reviewer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REVIEWER PROMPT —</w:t>
            </w:r>
          </w:p>
          <w:p>
            <w:pPr>
              <w:spacing w:line="300"/>
              <w:jc w:val="both"/>
            </w:pPr>
            <w:r>
              <w:rPr>
                <w:rFonts w:ascii="Times New Roman" w:cs="Times New Roman" w:eastAsia="Times New Roman" w:hAnsi="Times New Roman"/>
                <w:i/>
                <w:iCs/>
                <w:sz w:val="26"/>
                <w:szCs w:val="26"/>
              </w:rPr>
              <w:t xml:space="preserve">Review this custodial violence complaint to confirm each D.K. Basu safeguard violated is specifically addressed, medical evidence is linked to the custodial period, and any parallel criminal complaint is disclosed.</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26. Senior Counsel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SENIOR COUNSEL PROMPT —</w:t>
            </w:r>
          </w:p>
          <w:p>
            <w:pPr>
              <w:spacing w:line="300"/>
              <w:jc w:val="both"/>
            </w:pPr>
            <w:r>
              <w:rPr>
                <w:rFonts w:ascii="Times New Roman" w:cs="Times New Roman" w:eastAsia="Times New Roman" w:hAnsi="Times New Roman"/>
                <w:i/>
                <w:iCs/>
                <w:sz w:val="26"/>
                <w:szCs w:val="26"/>
              </w:rPr>
              <w:t xml:space="preserve">Assess whether the evidentiary record (medical, arrest memo, witness statements) is strong enough to support both the NHRC complaint and a parallel criminal complaint against the responsible official(s), and ensure the factual narrative in both is fully consistent, per the Senior Counsel Addendum.</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SENIOR COUNSEL PROMPT — STANDING ADDENDUM —</w:t>
            </w:r>
          </w:p>
          <w:p>
            <w:pPr>
              <w:spacing w:line="300"/>
              <w:jc w:val="both"/>
            </w:pPr>
            <w:r>
              <w:rPr>
                <w:rFonts w:ascii="Times New Roman" w:cs="Times New Roman" w:eastAsia="Times New Roman" w:hAnsi="Times New Roman"/>
                <w:i/>
                <w:iCs/>
                <w:sz w:val="26"/>
                <w:szCs w:val="26"/>
              </w:rPr>
              <w:t xml:space="preserve">STANDING CHECKS (apply in every matter): (1) Cross-forum admission risk — where the user is running simultaneous or parallel proceedings on overlapping facts before different forums (e.g., a regulatory complaint alongside a civil suit, criminal proceeding, or another regulatory body), flag any factual characterization, admission, or relief sought in this document that could be used against the user's position in a parallel proceeding, or that could later be read as inconsistent with a position taken elsewhere. (2) Attesting-professional conflicts — flag if any notary, auditor, valuer, or other certifying professional named in the facts has a disclosed or reasonably inferable relationship (familial, financial, employment) to an opposing party, since this bears on the evidentiary weight of the attestation. (3) Killcritic enforcement — the final draft must contain no AI-hedging language, meta-commentary, or unnecessary disclaimers; remove phrases like 'it appears that' or 'this may suggest' unless the underlying fact is genuinely unconfirmed by the user, in which case use only the legally precise hedge ('alleged', 'prima facie', 'based on information and belief') rather than a generic qualifier.</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27. High Court Formatting Compliance Prompt</w:t>
      </w:r>
    </w:p>
    <w:p>
      <w:pPr>
        <w:spacing w:after="100" w:line="360"/>
        <w:jc w:val="both"/>
      </w:pPr>
      <w:r>
        <w:rPr>
          <w:rFonts w:ascii="Times New Roman" w:cs="Times New Roman" w:eastAsia="Times New Roman" w:hAnsi="Times New Roman"/>
          <w:b w:val="false"/>
          <w:bCs w:val="false"/>
          <w:i/>
          <w:iCs/>
          <w:sz w:val="26"/>
          <w:szCs w:val="26"/>
        </w:rPr>
        <w:t xml:space="preserve">Applies to every document produced from this template: Times New Roman 13pt, 1.5 line spacing, A4 page, 1.75-inch left/binding margin, 0.8-inch top/bottom/right margins, justified text, numbered paragraphs, centered page numbers in footer.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FORMATTING PROMPT —</w:t>
            </w:r>
          </w:p>
          <w:p>
            <w:pPr>
              <w:spacing w:line="300"/>
              <w:jc w:val="both"/>
            </w:pPr>
            <w:r>
              <w:rPr>
                <w:rFonts w:ascii="Times New Roman" w:cs="Times New Roman" w:eastAsia="Times New Roman" w:hAnsi="Times New Roman"/>
                <w:i/>
                <w:iCs/>
                <w:sz w:val="26"/>
                <w:szCs w:val="26"/>
              </w:rPr>
              <w:t xml:space="preserve">Format this document strictly in High Court filing format: font Times New Roman, size 13pt throughout (headings may be bold at the same size), line spacing 1.5, page size A4, left/binding margin 1.75 inches, top/bottom/right margins 0.8 inches each, text fully justified, paragraphs numbered consecutively, and page numbers centered in the footer. Do not use any other font, spacing, or margin configuration even if a template default suggests otherwise.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FORMATTING PROMPT — STANDING ADDENDUM —</w:t>
            </w:r>
          </w:p>
          <w:p>
            <w:pPr>
              <w:spacing w:line="300"/>
              <w:jc w:val="both"/>
            </w:pPr>
            <w:r>
              <w:rPr>
                <w:rFonts w:ascii="Times New Roman" w:cs="Times New Roman" w:eastAsia="Times New Roman" w:hAnsi="Times New Roman"/>
                <w:i/>
                <w:iCs/>
                <w:sz w:val="26"/>
                <w:szCs w:val="26"/>
              </w:rPr>
              <w:t xml:space="preserve">STANDING CHECKS (apply in every matter): (1) Forum-specific override — before applying this High Court format by default, confirm whether the actual receiving forum (e.g., a regulatory tribunal, portal-based e-filing system, consumer commission, or advertising body) has its own prescribed format, page-limit, or upload specification, and apply that instead where it differs. (2) International/embassy/UN submissions — where a document is intended for use abroad or before an international body, note that: India is a party to the Hague Apostille Convention, so documents for use in other member states should be apostilled rather than merely notarised; documents not in English require a certified translation; and international bodies typically expect single line spacing and no page-binding margin, so the High Court margin/spacing spec should not be applied to those documents — flag this distinction rather than silently carrying over Indian court formatting. (3) Self-represented litigant — do not assume a law-firm letterhead or advocate signature block; use the party's own name, address, and 'Party-in-Person' designation in the signature and service blocks.</w:t>
            </w:r>
          </w:p>
        </w:tc>
      </w:tr>
    </w:tbl>
    <w:p>
      <w:pPr>
        <w:pStyle w:val="Heading1"/>
        <w:pageBreakBefore/>
        <w:spacing w:after="160" w:before="300"/>
      </w:pPr>
      <w:r>
        <w:rPr>
          <w:rFonts w:ascii="Times New Roman" w:cs="Times New Roman" w:eastAsia="Times New Roman" w:hAnsi="Times New Roman"/>
          <w:b/>
          <w:bCs/>
          <w:sz w:val="30"/>
          <w:szCs w:val="30"/>
        </w:rPr>
        <w:t xml:space="preserve">Complaint Regarding Arbitrary Detention</w:t>
      </w:r>
    </w:p>
    <w:p>
      <w:pPr>
        <w:spacing w:after="60" w:line="360"/>
        <w:jc w:val="both"/>
      </w:pPr>
      <w:r>
        <w:rPr>
          <w:rFonts w:ascii="Times New Roman" w:cs="Times New Roman" w:eastAsia="Times New Roman" w:hAnsi="Times New Roman"/>
          <w:b w:val="false"/>
          <w:bCs w:val="false"/>
          <w:i/>
          <w:iCs/>
          <w:sz w:val="26"/>
          <w:szCs w:val="26"/>
        </w:rPr>
        <w:t xml:space="preserve">Template Code: HR-03</w:t>
      </w:r>
    </w:p>
    <w:p>
      <w:pPr>
        <w:spacing w:after="240" w:line="360"/>
        <w:jc w:val="both"/>
      </w:pPr>
      <w:r>
        <w:rPr>
          <w:rFonts w:ascii="Times New Roman" w:cs="Times New Roman" w:eastAsia="Times New Roman" w:hAnsi="Times New Roman"/>
          <w:b w:val="false"/>
          <w:bCs w:val="false"/>
          <w:i/>
          <w:iCs/>
          <w:sz w:val="26"/>
          <w:szCs w:val="26"/>
        </w:rPr>
        <w:t xml:space="preserve">Applicable Volume Cross-Reference: A specific fact-pattern variant of HR-01; cross-refer to Volume 4 (Constitutional Litigation, CONST-05 Habeas Corpus) for the urgent judicial remedy where detention is ongoing.</w:t>
      </w:r>
    </w:p>
    <w:p>
      <w:pPr>
        <w:pStyle w:val="Heading2"/>
        <w:spacing w:after="160" w:before="300"/>
      </w:pPr>
      <w:r>
        <w:rPr>
          <w:rFonts w:ascii="Times New Roman" w:cs="Times New Roman" w:eastAsia="Times New Roman" w:hAnsi="Times New Roman"/>
          <w:b/>
          <w:bCs/>
          <w:sz w:val="30"/>
          <w:szCs w:val="30"/>
        </w:rPr>
        <w:t xml:space="preserve">1. AI Drafting Instructions</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Where the detention is ongoing, prioritise a habeas corpus petition (Volume 4, CONST-05) for urgent judicial relief; this NHRC complaint is complementary, addressing accountability and compensation, not a substitute for the urgent court remedy.</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Plead the absence of a lawful basis for the arrest/detention specifically (no valid FIR, no order of remand, detention beyond the permissible period without production before a Magistrate) rather than a general assertion of unfairness.</w:t>
      </w:r>
    </w:p>
    <w:p>
      <w:pPr>
        <w:pStyle w:val="Heading2"/>
        <w:spacing w:after="160" w:before="300"/>
      </w:pPr>
      <w:r>
        <w:rPr>
          <w:rFonts w:ascii="Times New Roman" w:cs="Times New Roman" w:eastAsia="Times New Roman" w:hAnsi="Times New Roman"/>
          <w:b/>
          <w:bCs/>
          <w:sz w:val="30"/>
          <w:szCs w:val="30"/>
        </w:rPr>
        <w:t xml:space="preserve">2. Governing Law</w:t>
      </w:r>
    </w:p>
    <w:p>
      <w:pPr>
        <w:spacing w:after="160" w:line="360"/>
        <w:jc w:val="both"/>
      </w:pPr>
      <w:r>
        <w:rPr>
          <w:rFonts w:ascii="Times New Roman" w:cs="Times New Roman" w:eastAsia="Times New Roman" w:hAnsi="Times New Roman"/>
          <w:b w:val="false"/>
          <w:bCs w:val="false"/>
          <w:i w:val="false"/>
          <w:iCs w:val="false"/>
          <w:sz w:val="26"/>
          <w:szCs w:val="26"/>
        </w:rPr>
        <w:t xml:space="preserve">Protection of Human Rights Act, 1993; Article 21 and Article 22 of the Constitution of India.</w:t>
      </w:r>
    </w:p>
    <w:p>
      <w:pPr>
        <w:pStyle w:val="Heading2"/>
        <w:spacing w:after="160" w:before="300"/>
      </w:pPr>
      <w:r>
        <w:rPr>
          <w:rFonts w:ascii="Times New Roman" w:cs="Times New Roman" w:eastAsia="Times New Roman" w:hAnsi="Times New Roman"/>
          <w:b/>
          <w:bCs/>
          <w:sz w:val="30"/>
          <w:szCs w:val="30"/>
        </w:rPr>
        <w:t xml:space="preserve">3. Jurisdiction</w:t>
      </w:r>
    </w:p>
    <w:p>
      <w:pPr>
        <w:spacing w:after="160" w:line="360"/>
        <w:jc w:val="both"/>
      </w:pPr>
      <w:r>
        <w:rPr>
          <w:rFonts w:ascii="Times New Roman" w:cs="Times New Roman" w:eastAsia="Times New Roman" w:hAnsi="Times New Roman"/>
          <w:b w:val="false"/>
          <w:bCs w:val="false"/>
          <w:i w:val="false"/>
          <w:iCs w:val="false"/>
          <w:sz w:val="26"/>
          <w:szCs w:val="26"/>
        </w:rPr>
        <w:t xml:space="preserve">The National Human Rights Commission or the concerned State Human Rights Commission (HR-04).</w:t>
      </w:r>
    </w:p>
    <w:p>
      <w:pPr>
        <w:pStyle w:val="Heading2"/>
        <w:spacing w:after="160" w:before="300"/>
      </w:pPr>
      <w:r>
        <w:rPr>
          <w:rFonts w:ascii="Times New Roman" w:cs="Times New Roman" w:eastAsia="Times New Roman" w:hAnsi="Times New Roman"/>
          <w:b/>
          <w:bCs/>
          <w:sz w:val="30"/>
          <w:szCs w:val="30"/>
        </w:rPr>
        <w:t xml:space="preserve">4. Mandatory Ingredients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Mandatory Ingredient</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Date, time, and circumstances of the arrest/detention</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The specific absence of lawful basis (no FIR, no remand order, detention beyond permissible period)</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Whether a habeas corpus petition has been filed and its status</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5. Cause Title Format</w:t>
      </w:r>
    </w:p>
    <w:p>
      <w:pPr>
        <w:spacing w:after="160" w:line="360"/>
        <w:jc w:val="both"/>
      </w:pPr>
      <w:r>
        <w:rPr>
          <w:rFonts w:ascii="Times New Roman" w:cs="Times New Roman" w:eastAsia="Times New Roman" w:hAnsi="Times New Roman"/>
          <w:b w:val="false"/>
          <w:bCs w:val="false"/>
          <w:i w:val="false"/>
          <w:iCs w:val="false"/>
          <w:sz w:val="26"/>
          <w:szCs w:val="26"/>
        </w:rPr>
        <w:t xml:space="preserve">TO THE NATIONAL/STATE HUMAN RIGHTS COMMISSION / COMPLAINT REGARDING ARBITRARY DETENTION UNDER SECTION 12, PHRA, 1993</w:t>
      </w:r>
    </w:p>
    <w:p>
      <w:pPr>
        <w:pStyle w:val="Heading2"/>
        <w:spacing w:after="160" w:before="300"/>
      </w:pPr>
      <w:r>
        <w:rPr>
          <w:rFonts w:ascii="Times New Roman" w:cs="Times New Roman" w:eastAsia="Times New Roman" w:hAnsi="Times New Roman"/>
          <w:b/>
          <w:bCs/>
          <w:sz w:val="30"/>
          <w:szCs w:val="30"/>
        </w:rPr>
        <w:t xml:space="preserve">6. Index (Standard Format)</w:t>
      </w:r>
    </w:p>
    <w:p>
      <w:pPr>
        <w:spacing w:after="160" w:line="360"/>
        <w:jc w:val="both"/>
      </w:pPr>
      <w:r>
        <w:rPr>
          <w:rFonts w:ascii="Times New Roman" w:cs="Times New Roman" w:eastAsia="Times New Roman" w:hAnsi="Times New Roman"/>
          <w:b w:val="false"/>
          <w:bCs w:val="false"/>
          <w:i w:val="false"/>
          <w:iCs w:val="false"/>
          <w:sz w:val="26"/>
          <w:szCs w:val="26"/>
        </w:rPr>
        <w:t xml:space="preserve">Sr. No. | Particulars | Page No. — tabulate all annexures and pleadings chronologically.</w:t>
      </w:r>
    </w:p>
    <w:p>
      <w:pPr>
        <w:pStyle w:val="Heading2"/>
        <w:spacing w:after="160" w:before="300"/>
      </w:pPr>
      <w:r>
        <w:rPr>
          <w:rFonts w:ascii="Times New Roman" w:cs="Times New Roman" w:eastAsia="Times New Roman" w:hAnsi="Times New Roman"/>
          <w:b/>
          <w:bCs/>
          <w:sz w:val="30"/>
          <w:szCs w:val="30"/>
        </w:rPr>
        <w:t xml:space="preserve">7. Synopsis</w:t>
      </w:r>
    </w:p>
    <w:p>
      <w:pPr>
        <w:spacing w:after="160" w:line="360"/>
        <w:jc w:val="both"/>
      </w:pPr>
      <w:r>
        <w:rPr>
          <w:rFonts w:ascii="Times New Roman" w:cs="Times New Roman" w:eastAsia="Times New Roman" w:hAnsi="Times New Roman"/>
          <w:b w:val="false"/>
          <w:bCs w:val="false"/>
          <w:i w:val="false"/>
          <w:iCs w:val="false"/>
          <w:sz w:val="26"/>
          <w:szCs w:val="26"/>
        </w:rPr>
        <w:t xml:space="preserve">Concise statement of the detention, the specific absence of lawful basis, and the relief sought.</w:t>
      </w:r>
    </w:p>
    <w:p>
      <w:pPr>
        <w:pStyle w:val="Heading2"/>
        <w:spacing w:after="160" w:before="300"/>
      </w:pPr>
      <w:r>
        <w:rPr>
          <w:rFonts w:ascii="Times New Roman" w:cs="Times New Roman" w:eastAsia="Times New Roman" w:hAnsi="Times New Roman"/>
          <w:b/>
          <w:bCs/>
          <w:sz w:val="30"/>
          <w:szCs w:val="30"/>
        </w:rPr>
        <w:t xml:space="preserve">8. List of Dates and Events</w:t>
      </w:r>
    </w:p>
    <w:p>
      <w:pPr>
        <w:spacing w:after="160" w:line="360"/>
        <w:jc w:val="both"/>
      </w:pPr>
      <w:r>
        <w:rPr>
          <w:rFonts w:ascii="Times New Roman" w:cs="Times New Roman" w:eastAsia="Times New Roman" w:hAnsi="Times New Roman"/>
          <w:b w:val="false"/>
          <w:bCs w:val="false"/>
          <w:i w:val="false"/>
          <w:iCs w:val="false"/>
          <w:sz w:val="26"/>
          <w:szCs w:val="26"/>
        </w:rPr>
        <w:t xml:space="preserve">Date | Event — chronological, each entry cross-referenced to an annexure letter.</w:t>
      </w:r>
    </w:p>
    <w:p>
      <w:pPr>
        <w:pStyle w:val="Heading2"/>
        <w:spacing w:after="160" w:before="300"/>
      </w:pPr>
      <w:r>
        <w:rPr>
          <w:rFonts w:ascii="Times New Roman" w:cs="Times New Roman" w:eastAsia="Times New Roman" w:hAnsi="Times New Roman"/>
          <w:b/>
          <w:bCs/>
          <w:sz w:val="30"/>
          <w:szCs w:val="30"/>
        </w:rPr>
        <w:t xml:space="preserve">9. Parties</w:t>
      </w:r>
    </w:p>
    <w:p>
      <w:pPr>
        <w:spacing w:after="160" w:line="360"/>
        <w:jc w:val="both"/>
      </w:pPr>
      <w:r>
        <w:rPr>
          <w:rFonts w:ascii="Times New Roman" w:cs="Times New Roman" w:eastAsia="Times New Roman" w:hAnsi="Times New Roman"/>
          <w:b w:val="false"/>
          <w:bCs w:val="false"/>
          <w:i w:val="false"/>
          <w:iCs w:val="false"/>
          <w:sz w:val="26"/>
          <w:szCs w:val="26"/>
        </w:rPr>
        <w:t xml:space="preserve">Complainant (detainee or person acting on their behalf) and the authority responsible for the detention.</w:t>
      </w:r>
    </w:p>
    <w:p>
      <w:pPr>
        <w:pStyle w:val="Heading2"/>
        <w:spacing w:after="160" w:before="300"/>
      </w:pPr>
      <w:r>
        <w:rPr>
          <w:rFonts w:ascii="Times New Roman" w:cs="Times New Roman" w:eastAsia="Times New Roman" w:hAnsi="Times New Roman"/>
          <w:b/>
          <w:bCs/>
          <w:sz w:val="30"/>
          <w:szCs w:val="30"/>
        </w:rPr>
        <w:t xml:space="preserve">10. Facts</w:t>
      </w:r>
    </w:p>
    <w:p>
      <w:pPr>
        <w:spacing w:after="160" w:line="360"/>
        <w:jc w:val="both"/>
      </w:pPr>
      <w:r>
        <w:rPr>
          <w:rFonts w:ascii="Times New Roman" w:cs="Times New Roman" w:eastAsia="Times New Roman" w:hAnsi="Times New Roman"/>
          <w:b w:val="false"/>
          <w:bCs w:val="false"/>
          <w:i w:val="false"/>
          <w:iCs w:val="false"/>
          <w:sz w:val="26"/>
          <w:szCs w:val="26"/>
        </w:rPr>
        <w:t xml:space="preserve">Chronological facts establishing the detention and the specific absence of lawful basis for it.</w:t>
      </w:r>
    </w:p>
    <w:p>
      <w:pPr>
        <w:pStyle w:val="Heading2"/>
        <w:spacing w:after="160" w:before="300"/>
      </w:pPr>
      <w:r>
        <w:rPr>
          <w:rFonts w:ascii="Times New Roman" w:cs="Times New Roman" w:eastAsia="Times New Roman" w:hAnsi="Times New Roman"/>
          <w:b/>
          <w:bCs/>
          <w:sz w:val="30"/>
          <w:szCs w:val="30"/>
        </w:rPr>
        <w:t xml:space="preserve">11. Questions / Issues for Determination</w:t>
      </w:r>
    </w:p>
    <w:p>
      <w:pPr>
        <w:pStyle w:val="ListParagraph"/>
        <w:numPr>
          <w:ilvl w:val="0"/>
          <w:numId w:val="3"/>
        </w:numPr>
        <w:spacing w:after="100" w:line="360"/>
      </w:pPr>
      <w:r>
        <w:rPr>
          <w:rFonts w:ascii="Times New Roman" w:cs="Times New Roman" w:eastAsia="Times New Roman" w:hAnsi="Times New Roman"/>
          <w:sz w:val="26"/>
          <w:szCs w:val="26"/>
        </w:rPr>
        <w:t xml:space="preserve">Whether the detention has a lawful basis</w:t>
      </w:r>
    </w:p>
    <w:p>
      <w:pPr>
        <w:pStyle w:val="ListParagraph"/>
        <w:numPr>
          <w:ilvl w:val="0"/>
          <w:numId w:val="3"/>
        </w:numPr>
        <w:spacing w:after="100" w:line="360"/>
      </w:pPr>
      <w:r>
        <w:rPr>
          <w:rFonts w:ascii="Times New Roman" w:cs="Times New Roman" w:eastAsia="Times New Roman" w:hAnsi="Times New Roman"/>
          <w:sz w:val="26"/>
          <w:szCs w:val="26"/>
        </w:rPr>
        <w:t xml:space="preserve">Whether mandatory procedural safeguards (production before a Magistrate within 24 hours) were complied with</w:t>
      </w:r>
    </w:p>
    <w:p>
      <w:pPr>
        <w:pStyle w:val="ListParagraph"/>
        <w:numPr>
          <w:ilvl w:val="0"/>
          <w:numId w:val="3"/>
        </w:numPr>
        <w:spacing w:after="100" w:line="360"/>
      </w:pPr>
      <w:r>
        <w:rPr>
          <w:rFonts w:ascii="Times New Roman" w:cs="Times New Roman" w:eastAsia="Times New Roman" w:hAnsi="Times New Roman"/>
          <w:sz w:val="26"/>
          <w:szCs w:val="26"/>
        </w:rPr>
        <w:t xml:space="preserve">Whether the detention is ongoing (requiring urgent parallel habeas corpus relief)</w:t>
      </w:r>
    </w:p>
    <w:p>
      <w:pPr>
        <w:pStyle w:val="Heading2"/>
        <w:spacing w:after="160" w:before="300"/>
      </w:pPr>
      <w:r>
        <w:rPr>
          <w:rFonts w:ascii="Times New Roman" w:cs="Times New Roman" w:eastAsia="Times New Roman" w:hAnsi="Times New Roman"/>
          <w:b/>
          <w:bCs/>
          <w:sz w:val="30"/>
          <w:szCs w:val="30"/>
        </w:rPr>
        <w:t xml:space="preserve">12. Statutory Provisions Invoked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Statutory Provision</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Section 12, PHRA, 1993</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Article 21 and Article 22 of the Constitution of India</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Section 57 CrPC (person arrested not to be detained beyond 24 hours) for pre-BNSS matters, or the applicable BNSS equivalent for post-1-July-2024 matters</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13. Case-Law Citations</w:t>
      </w:r>
    </w:p>
    <w:p>
      <w:pPr>
        <w:spacing w:after="160" w:line="360"/>
        <w:jc w:val="both"/>
      </w:pPr>
      <w:r>
        <w:rPr>
          <w:rFonts w:ascii="Times New Roman" w:cs="Times New Roman" w:eastAsia="Times New Roman" w:hAnsi="Times New Roman"/>
          <w:b w:val="false"/>
          <w:bCs w:val="false"/>
          <w:i/>
          <w:iCs/>
          <w:sz w:val="26"/>
          <w:szCs w:val="26"/>
        </w:rPr>
        <w:t xml:space="preserve">The following are established, verifiable citations directly relevant to this instrument. Additional matter-specific case law should be added in the same tabular format; do not leave a case-law slot filled with an invented citation.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32"/>
        <w:gridCol w:w="60"/>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3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Case Citation</w:t>
            </w:r>
          </w:p>
        </w:tc>
        <w:tc>
          <w:tcPr>
            <w:tcW w:type="pct" w:w="60%"/>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Legal Proposition</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3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Joginder Kumar v. State of U.P., (1994) 4 SCC 260</w:t>
            </w:r>
          </w:p>
        </w:tc>
        <w:tc>
          <w:tcPr>
            <w:tcW w:type="pct" w:w="60%"/>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Arrest cannot be made merely because it is lawful to do so; the police officer must be able to justify the arrest apart from the power to do so, and unnecessary arrest and detention amount to a violation of personal liberty under Article 21.</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3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D.K. Basu v. State of West Bengal, (1997) 1 SCC 416</w:t>
            </w:r>
          </w:p>
        </w:tc>
        <w:tc>
          <w:tcPr>
            <w:tcW w:type="pct" w:w="60%"/>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Reinforced that a person must be produced before a Magistrate within the mandatory period following arrest, and failure to do so, along with other listed safeguards, renders the detention procedurally unlawful and the responsible officials liable to departmental and contempt action.</w:t>
            </w:r>
          </w:p>
        </w:tc>
      </w:tr>
    </w:tbl>
    <w:p>
      <w:pPr>
        <w:pStyle w:val="Heading2"/>
        <w:spacing w:after="160" w:before="300"/>
      </w:pPr>
      <w:r>
        <w:rPr>
          <w:rFonts w:ascii="Times New Roman" w:cs="Times New Roman" w:eastAsia="Times New Roman" w:hAnsi="Times New Roman"/>
          <w:b/>
          <w:bCs/>
          <w:sz w:val="30"/>
          <w:szCs w:val="30"/>
        </w:rPr>
        <w:t xml:space="preserve">14. Grounds</w:t>
      </w:r>
    </w:p>
    <w:p>
      <w:pPr>
        <w:pStyle w:val="ListParagraph"/>
        <w:numPr>
          <w:ilvl w:val="0"/>
          <w:numId w:val="3"/>
        </w:numPr>
        <w:spacing w:after="100" w:line="360"/>
      </w:pPr>
      <w:r>
        <w:rPr>
          <w:rFonts w:ascii="Times New Roman" w:cs="Times New Roman" w:eastAsia="Times New Roman" w:hAnsi="Times New Roman"/>
          <w:sz w:val="26"/>
          <w:szCs w:val="26"/>
        </w:rPr>
        <w:t xml:space="preserve">Absence of lawful basis for the arrest/detention</w:t>
      </w:r>
    </w:p>
    <w:p>
      <w:pPr>
        <w:pStyle w:val="ListParagraph"/>
        <w:numPr>
          <w:ilvl w:val="0"/>
          <w:numId w:val="3"/>
        </w:numPr>
        <w:spacing w:after="100" w:line="360"/>
      </w:pPr>
      <w:r>
        <w:rPr>
          <w:rFonts w:ascii="Times New Roman" w:cs="Times New Roman" w:eastAsia="Times New Roman" w:hAnsi="Times New Roman"/>
          <w:sz w:val="26"/>
          <w:szCs w:val="26"/>
        </w:rPr>
        <w:t xml:space="preserve">Non-compliance with mandatory production-before-Magistrate requirement</w:t>
      </w:r>
    </w:p>
    <w:p>
      <w:pPr>
        <w:pStyle w:val="ListParagraph"/>
        <w:numPr>
          <w:ilvl w:val="0"/>
          <w:numId w:val="3"/>
        </w:numPr>
        <w:spacing w:after="100" w:line="360"/>
      </w:pPr>
      <w:r>
        <w:rPr>
          <w:rFonts w:ascii="Times New Roman" w:cs="Times New Roman" w:eastAsia="Times New Roman" w:hAnsi="Times New Roman"/>
          <w:sz w:val="26"/>
          <w:szCs w:val="26"/>
        </w:rPr>
        <w:t xml:space="preserve">No other lawful justification demonstrated by the authority</w:t>
      </w:r>
    </w:p>
    <w:p>
      <w:pPr>
        <w:pStyle w:val="Heading2"/>
        <w:spacing w:after="160" w:before="300"/>
      </w:pPr>
      <w:r>
        <w:rPr>
          <w:rFonts w:ascii="Times New Roman" w:cs="Times New Roman" w:eastAsia="Times New Roman" w:hAnsi="Times New Roman"/>
          <w:b/>
          <w:bCs/>
          <w:sz w:val="30"/>
          <w:szCs w:val="30"/>
        </w:rPr>
        <w:t xml:space="preserve">15. Interim Relief Sought</w:t>
      </w:r>
    </w:p>
    <w:p>
      <w:pPr>
        <w:spacing w:after="160" w:line="360"/>
        <w:jc w:val="both"/>
      </w:pPr>
      <w:r>
        <w:rPr>
          <w:rFonts w:ascii="Times New Roman" w:cs="Times New Roman" w:eastAsia="Times New Roman" w:hAnsi="Times New Roman"/>
          <w:b w:val="false"/>
          <w:bCs w:val="false"/>
          <w:i w:val="false"/>
          <w:iCs w:val="false"/>
          <w:sz w:val="26"/>
          <w:szCs w:val="26"/>
        </w:rPr>
        <w:t xml:space="preserve">If the detention is ongoing, state clearly that a parallel habeas corpus petition (Volume 4, CONST-05) has been or is being filed, since that is the appropriate urgent remedy; this complaint addresses accountability and compensation.</w:t>
      </w:r>
    </w:p>
    <w:p>
      <w:pPr>
        <w:pStyle w:val="Heading2"/>
        <w:spacing w:after="160" w:before="300"/>
      </w:pPr>
      <w:r>
        <w:rPr>
          <w:rFonts w:ascii="Times New Roman" w:cs="Times New Roman" w:eastAsia="Times New Roman" w:hAnsi="Times New Roman"/>
          <w:b/>
          <w:bCs/>
          <w:sz w:val="30"/>
          <w:szCs w:val="30"/>
        </w:rPr>
        <w:t xml:space="preserve">16. Main Prayer</w:t>
      </w:r>
    </w:p>
    <w:p>
      <w:pPr>
        <w:pStyle w:val="ListParagraph"/>
        <w:numPr>
          <w:ilvl w:val="0"/>
          <w:numId w:val="3"/>
        </w:numPr>
        <w:spacing w:after="100" w:line="360"/>
      </w:pPr>
      <w:r>
        <w:rPr>
          <w:rFonts w:ascii="Times New Roman" w:cs="Times New Roman" w:eastAsia="Times New Roman" w:hAnsi="Times New Roman"/>
          <w:sz w:val="26"/>
          <w:szCs w:val="26"/>
        </w:rPr>
        <w:t xml:space="preserve">Inquiry into the arbitrary detention</w:t>
      </w:r>
    </w:p>
    <w:p>
      <w:pPr>
        <w:pStyle w:val="ListParagraph"/>
        <w:numPr>
          <w:ilvl w:val="0"/>
          <w:numId w:val="3"/>
        </w:numPr>
        <w:spacing w:after="100" w:line="360"/>
      </w:pPr>
      <w:r>
        <w:rPr>
          <w:rFonts w:ascii="Times New Roman" w:cs="Times New Roman" w:eastAsia="Times New Roman" w:hAnsi="Times New Roman"/>
          <w:sz w:val="26"/>
          <w:szCs w:val="26"/>
        </w:rPr>
        <w:t xml:space="preserve">Recommendation of compensation for the period of unlawful detention</w:t>
      </w:r>
    </w:p>
    <w:p>
      <w:pPr>
        <w:pStyle w:val="ListParagraph"/>
        <w:numPr>
          <w:ilvl w:val="0"/>
          <w:numId w:val="3"/>
        </w:numPr>
        <w:spacing w:after="100" w:line="360"/>
      </w:pPr>
      <w:r>
        <w:rPr>
          <w:rFonts w:ascii="Times New Roman" w:cs="Times New Roman" w:eastAsia="Times New Roman" w:hAnsi="Times New Roman"/>
          <w:sz w:val="26"/>
          <w:szCs w:val="26"/>
        </w:rPr>
        <w:t xml:space="preserve">Recommendation of departmental action against the responsible official(s)</w:t>
      </w:r>
    </w:p>
    <w:p>
      <w:pPr>
        <w:pStyle w:val="Heading2"/>
        <w:spacing w:after="160" w:before="300"/>
      </w:pPr>
      <w:r>
        <w:rPr>
          <w:rFonts w:ascii="Times New Roman" w:cs="Times New Roman" w:eastAsia="Times New Roman" w:hAnsi="Times New Roman"/>
          <w:b/>
          <w:bCs/>
          <w:sz w:val="30"/>
          <w:szCs w:val="30"/>
        </w:rPr>
        <w:t xml:space="preserve">17. Costs</w:t>
      </w:r>
    </w:p>
    <w:p>
      <w:pPr>
        <w:spacing w:after="160" w:line="360"/>
        <w:jc w:val="both"/>
      </w:pPr>
      <w:r>
        <w:rPr>
          <w:rFonts w:ascii="Times New Roman" w:cs="Times New Roman" w:eastAsia="Times New Roman" w:hAnsi="Times New Roman"/>
          <w:b w:val="false"/>
          <w:bCs w:val="false"/>
          <w:i w:val="false"/>
          <w:iCs w:val="false"/>
          <w:sz w:val="26"/>
          <w:szCs w:val="26"/>
        </w:rPr>
        <w:t xml:space="preserve">Costs of this proceeding be awarded to the Applicant/Complainant/Petitioner/Plaintiff as this Hon'ble Court/Forum deems fit.</w:t>
      </w:r>
    </w:p>
    <w:p>
      <w:pPr>
        <w:pStyle w:val="Heading2"/>
        <w:spacing w:after="160" w:before="300"/>
      </w:pPr>
      <w:r>
        <w:rPr>
          <w:rFonts w:ascii="Times New Roman" w:cs="Times New Roman" w:eastAsia="Times New Roman" w:hAnsi="Times New Roman"/>
          <w:b/>
          <w:bCs/>
          <w:sz w:val="30"/>
          <w:szCs w:val="30"/>
        </w:rPr>
        <w:t xml:space="preserve">18. Verification</w:t>
      </w:r>
    </w:p>
    <w:p>
      <w:pPr>
        <w:spacing w:after="160" w:line="360"/>
        <w:jc w:val="both"/>
      </w:pPr>
      <w:r>
        <w:rPr>
          <w:rFonts w:ascii="Times New Roman" w:cs="Times New Roman" w:eastAsia="Times New Roman" w:hAnsi="Times New Roman"/>
          <w:b w:val="false"/>
          <w:bCs w:val="false"/>
          <w:i w:val="false"/>
          <w:iCs w:val="false"/>
          <w:sz w:val="26"/>
          <w:szCs w:val="26"/>
        </w:rPr>
        <w:t xml:space="preserve">I, the party named above, do hereby verify that the contents of paragraphs __ to __ are true to my knowledge, paragraphs __ to __ are based on information received and believed to be true, and paragraphs __ to __ are based on legal advice, and nothing material has been concealed therefrom.</w:t>
      </w:r>
    </w:p>
    <w:p>
      <w:pPr>
        <w:pStyle w:val="Heading2"/>
        <w:spacing w:after="160" w:before="300"/>
      </w:pPr>
      <w:r>
        <w:rPr>
          <w:rFonts w:ascii="Times New Roman" w:cs="Times New Roman" w:eastAsia="Times New Roman" w:hAnsi="Times New Roman"/>
          <w:b/>
          <w:bCs/>
          <w:sz w:val="30"/>
          <w:szCs w:val="30"/>
        </w:rPr>
        <w:t xml:space="preserve">19. Affidavit</w:t>
      </w:r>
    </w:p>
    <w:p>
      <w:pPr>
        <w:spacing w:after="160" w:line="360"/>
        <w:jc w:val="both"/>
      </w:pPr>
      <w:r>
        <w:rPr>
          <w:rFonts w:ascii="Times New Roman" w:cs="Times New Roman" w:eastAsia="Times New Roman" w:hAnsi="Times New Roman"/>
          <w:b w:val="false"/>
          <w:bCs w:val="false"/>
          <w:i w:val="false"/>
          <w:iCs w:val="false"/>
          <w:sz w:val="26"/>
          <w:szCs w:val="26"/>
        </w:rPr>
        <w:t xml:space="preserve">Standard affidavit in support per Universal Affidavit Framework (Volume 1, UNI-02), sworn/affirmed before a Notary/Oath Commissioner, annexed as Annexure — Affidavit.</w:t>
      </w:r>
    </w:p>
    <w:p>
      <w:pPr>
        <w:pStyle w:val="Heading2"/>
        <w:spacing w:after="160" w:before="300"/>
      </w:pPr>
      <w:r>
        <w:rPr>
          <w:rFonts w:ascii="Times New Roman" w:cs="Times New Roman" w:eastAsia="Times New Roman" w:hAnsi="Times New Roman"/>
          <w:b/>
          <w:bCs/>
          <w:sz w:val="30"/>
          <w:szCs w:val="30"/>
        </w:rPr>
        <w:t xml:space="preserve">20. Annexure List</w:t>
      </w:r>
    </w:p>
    <w:p>
      <w:pPr>
        <w:spacing w:after="160" w:line="360"/>
        <w:jc w:val="both"/>
      </w:pPr>
      <w:r>
        <w:rPr>
          <w:rFonts w:ascii="Times New Roman" w:cs="Times New Roman" w:eastAsia="Times New Roman" w:hAnsi="Times New Roman"/>
          <w:b w:val="false"/>
          <w:bCs w:val="false"/>
          <w:i w:val="false"/>
          <w:iCs w:val="false"/>
          <w:sz w:val="26"/>
          <w:szCs w:val="26"/>
        </w:rPr>
        <w:t xml:space="preserve">Annexure A, B, C ... — each annexure indexed with a one-line description and page reference; maintain running alphabetical sequence across all filings in the matter.</w:t>
      </w:r>
    </w:p>
    <w:p>
      <w:pPr>
        <w:pStyle w:val="Heading2"/>
        <w:spacing w:after="160" w:before="300"/>
      </w:pPr>
      <w:r>
        <w:rPr>
          <w:rFonts w:ascii="Times New Roman" w:cs="Times New Roman" w:eastAsia="Times New Roman" w:hAnsi="Times New Roman"/>
          <w:b/>
          <w:bCs/>
          <w:sz w:val="30"/>
          <w:szCs w:val="30"/>
        </w:rPr>
        <w:t xml:space="preserve">21. Filing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w:t>
            </w:r>
          </w:p>
        </w:tc>
        <w:tc>
          <w:tcPr>
            <w:tcW w:type="pct" w:w="9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Filing Checklist Item</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Arrest/detention record (or its absence) documented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Any habeas corpus petition filed and its status annexed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Evidence of the period of detention and its circumstances</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22. AI Review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w:t>
            </w:r>
          </w:p>
        </w:tc>
        <w:tc>
          <w:tcPr>
            <w:tcW w:type="pct" w:w="9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AI Review Item</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the specific absence of lawful basis is pleaded, not a general unfairness claim</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that, if the detention is ongoing, a parallel habeas corpus petition is referenced as the urgent remedy</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the mandatory production-before-Magistrate timeline is specifically addressed</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23. Common Drafting Mistakes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Common Mistake</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Relying solely on this NHRC complaint for an ongoing detention, when a habeas corpus petition is the urgent, appropriate remedy</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General assertion of unlawful detention without specifically identifying the absent legal basis or the specific procedural safeguard breached</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24. Claude Optimization Prompt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GENERATOR PROMPT —</w:t>
            </w:r>
          </w:p>
          <w:p>
            <w:pPr>
              <w:spacing w:line="300"/>
              <w:jc w:val="both"/>
            </w:pPr>
            <w:r>
              <w:rPr>
                <w:rFonts w:ascii="Times New Roman" w:cs="Times New Roman" w:eastAsia="Times New Roman" w:hAnsi="Times New Roman"/>
                <w:i/>
                <w:iCs/>
                <w:sz w:val="26"/>
                <w:szCs w:val="26"/>
              </w:rPr>
              <w:t xml:space="preserve">Draft a complaint regarding arbitrary detention to the [National/State] Human Rights Commission, concerning the detention of [complainant] from [date] by [authority], on the ground of [specific absence of lawful basis]. If the detention is ongoing, reference the parallel habeas corpus petition being filed. Use only facts supplied by the user.</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25. Claude/GPT Reviewer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REVIEWER PROMPT —</w:t>
            </w:r>
          </w:p>
          <w:p>
            <w:pPr>
              <w:spacing w:line="300"/>
              <w:jc w:val="both"/>
            </w:pPr>
            <w:r>
              <w:rPr>
                <w:rFonts w:ascii="Times New Roman" w:cs="Times New Roman" w:eastAsia="Times New Roman" w:hAnsi="Times New Roman"/>
                <w:i/>
                <w:iCs/>
                <w:sz w:val="26"/>
                <w:szCs w:val="26"/>
              </w:rPr>
              <w:t xml:space="preserve">Review this arbitrary detention complaint to confirm the specific absence of lawful basis is pleaded, the mandatory production timeline is addressed, and — if detention is ongoing — a parallel habeas corpus petition is referenced as the urgent remedy.</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26. Senior Counsel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SENIOR COUNSEL PROMPT —</w:t>
            </w:r>
          </w:p>
          <w:p>
            <w:pPr>
              <w:spacing w:line="300"/>
              <w:jc w:val="both"/>
            </w:pPr>
            <w:r>
              <w:rPr>
                <w:rFonts w:ascii="Times New Roman" w:cs="Times New Roman" w:eastAsia="Times New Roman" w:hAnsi="Times New Roman"/>
                <w:i/>
                <w:iCs/>
                <w:sz w:val="26"/>
                <w:szCs w:val="26"/>
              </w:rPr>
              <w:t xml:space="preserve">Assess whether the detention is ongoing and, if so, ensure the client understands this NHRC complaint does not substitute for immediate habeas corpus relief; prioritise the court remedy for urgency and treat this complaint as the accountability/compensation track running in parallel.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SENIOR COUNSEL PROMPT — STANDING ADDENDUM —</w:t>
            </w:r>
          </w:p>
          <w:p>
            <w:pPr>
              <w:spacing w:line="300"/>
              <w:jc w:val="both"/>
            </w:pPr>
            <w:r>
              <w:rPr>
                <w:rFonts w:ascii="Times New Roman" w:cs="Times New Roman" w:eastAsia="Times New Roman" w:hAnsi="Times New Roman"/>
                <w:i/>
                <w:iCs/>
                <w:sz w:val="26"/>
                <w:szCs w:val="26"/>
              </w:rPr>
              <w:t xml:space="preserve">STANDING CHECKS (apply in every matter): (1) Cross-forum admission risk — where the user is running simultaneous or parallel proceedings on overlapping facts before different forums (e.g., a regulatory complaint alongside a civil suit, criminal proceeding, or another regulatory body), flag any factual characterization, admission, or relief sought in this document that could be used against the user's position in a parallel proceeding, or that could later be read as inconsistent with a position taken elsewhere. (2) Attesting-professional conflicts — flag if any notary, auditor, valuer, or other certifying professional named in the facts has a disclosed or reasonably inferable relationship (familial, financial, employment) to an opposing party, since this bears on the evidentiary weight of the attestation. (3) Killcritic enforcement — the final draft must contain no AI-hedging language, meta-commentary, or unnecessary disclaimers; remove phrases like 'it appears that' or 'this may suggest' unless the underlying fact is genuinely unconfirmed by the user, in which case use only the legally precise hedge ('alleged', 'prima facie', 'based on information and belief') rather than a generic qualifier.</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27. High Court Formatting Compliance Prompt</w:t>
      </w:r>
    </w:p>
    <w:p>
      <w:pPr>
        <w:spacing w:after="100" w:line="360"/>
        <w:jc w:val="both"/>
      </w:pPr>
      <w:r>
        <w:rPr>
          <w:rFonts w:ascii="Times New Roman" w:cs="Times New Roman" w:eastAsia="Times New Roman" w:hAnsi="Times New Roman"/>
          <w:b w:val="false"/>
          <w:bCs w:val="false"/>
          <w:i/>
          <w:iCs/>
          <w:sz w:val="26"/>
          <w:szCs w:val="26"/>
        </w:rPr>
        <w:t xml:space="preserve">Applies to every document produced from this template: Times New Roman 13pt, 1.5 line spacing, A4 page, 1.75-inch left/binding margin, 0.8-inch top/bottom/right margins, justified text, numbered paragraphs, centered page numbers in footer.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FORMATTING PROMPT —</w:t>
            </w:r>
          </w:p>
          <w:p>
            <w:pPr>
              <w:spacing w:line="300"/>
              <w:jc w:val="both"/>
            </w:pPr>
            <w:r>
              <w:rPr>
                <w:rFonts w:ascii="Times New Roman" w:cs="Times New Roman" w:eastAsia="Times New Roman" w:hAnsi="Times New Roman"/>
                <w:i/>
                <w:iCs/>
                <w:sz w:val="26"/>
                <w:szCs w:val="26"/>
              </w:rPr>
              <w:t xml:space="preserve">Format this document strictly in High Court filing format: font Times New Roman, size 13pt throughout (headings may be bold at the same size), line spacing 1.5, page size A4, left/binding margin 1.75 inches, top/bottom/right margins 0.8 inches each, text fully justified, paragraphs numbered consecutively, and page numbers centered in the footer. Do not use any other font, spacing, or margin configuration even if a template default suggests otherwise.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FORMATTING PROMPT — STANDING ADDENDUM —</w:t>
            </w:r>
          </w:p>
          <w:p>
            <w:pPr>
              <w:spacing w:line="300"/>
              <w:jc w:val="both"/>
            </w:pPr>
            <w:r>
              <w:rPr>
                <w:rFonts w:ascii="Times New Roman" w:cs="Times New Roman" w:eastAsia="Times New Roman" w:hAnsi="Times New Roman"/>
                <w:i/>
                <w:iCs/>
                <w:sz w:val="26"/>
                <w:szCs w:val="26"/>
              </w:rPr>
              <w:t xml:space="preserve">STANDING CHECKS (apply in every matter): (1) Forum-specific override — before applying this High Court format by default, confirm whether the actual receiving forum (e.g., a regulatory tribunal, portal-based e-filing system, consumer commission, or advertising body) has its own prescribed format, page-limit, or upload specification, and apply that instead where it differs. (2) International/embassy/UN submissions — where a document is intended for use abroad or before an international body, note that: India is a party to the Hague Apostille Convention, so documents for use in other member states should be apostilled rather than merely notarised; documents not in English require a certified translation; and international bodies typically expect single line spacing and no page-binding margin, so the High Court margin/spacing spec should not be applied to those documents — flag this distinction rather than silently carrying over Indian court formatting. (3) Self-represented litigant — do not assume a law-firm letterhead or advocate signature block; use the party's own name, address, and 'Party-in-Person' designation in the signature and service blocks.</w:t>
            </w:r>
          </w:p>
        </w:tc>
      </w:tr>
    </w:tbl>
    <w:p>
      <w:pPr>
        <w:pStyle w:val="Heading1"/>
        <w:pageBreakBefore/>
        <w:spacing w:after="160" w:before="300"/>
      </w:pPr>
      <w:r>
        <w:rPr>
          <w:rFonts w:ascii="Times New Roman" w:cs="Times New Roman" w:eastAsia="Times New Roman" w:hAnsi="Times New Roman"/>
          <w:b/>
          <w:bCs/>
          <w:sz w:val="30"/>
          <w:szCs w:val="30"/>
        </w:rPr>
        <w:t xml:space="preserve">Complaint to a State Human Rights Commission</w:t>
      </w:r>
    </w:p>
    <w:p>
      <w:pPr>
        <w:spacing w:after="60" w:line="360"/>
        <w:jc w:val="both"/>
      </w:pPr>
      <w:r>
        <w:rPr>
          <w:rFonts w:ascii="Times New Roman" w:cs="Times New Roman" w:eastAsia="Times New Roman" w:hAnsi="Times New Roman"/>
          <w:b w:val="false"/>
          <w:bCs w:val="false"/>
          <w:i/>
          <w:iCs/>
          <w:sz w:val="26"/>
          <w:szCs w:val="26"/>
        </w:rPr>
        <w:t xml:space="preserve">Template Code: HR-04</w:t>
      </w:r>
    </w:p>
    <w:p>
      <w:pPr>
        <w:spacing w:after="240" w:line="360"/>
        <w:jc w:val="both"/>
      </w:pPr>
      <w:r>
        <w:rPr>
          <w:rFonts w:ascii="Times New Roman" w:cs="Times New Roman" w:eastAsia="Times New Roman" w:hAnsi="Times New Roman"/>
          <w:b w:val="false"/>
          <w:bCs w:val="false"/>
          <w:i/>
          <w:iCs/>
          <w:sz w:val="26"/>
          <w:szCs w:val="26"/>
        </w:rPr>
        <w:t xml:space="preserve">Applicable Volume Cross-Reference: Uses the same architecture as HR-01, filed before the State Commission rather than the NHRC where the violation is confined to that state and does not raise an inter-state or exceptionally grave issue.</w:t>
      </w:r>
    </w:p>
    <w:p>
      <w:pPr>
        <w:pStyle w:val="Heading2"/>
        <w:spacing w:after="160" w:before="300"/>
      </w:pPr>
      <w:r>
        <w:rPr>
          <w:rFonts w:ascii="Times New Roman" w:cs="Times New Roman" w:eastAsia="Times New Roman" w:hAnsi="Times New Roman"/>
          <w:b/>
          <w:bCs/>
          <w:sz w:val="30"/>
          <w:szCs w:val="30"/>
        </w:rPr>
        <w:t xml:space="preserve">1. AI Drafting Instructions</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A State Human Rights Commission has jurisdiction over violations within that state by state (not central) agencies — confirm the responsible agency is a state, not central, authority before filing here rather than with the NHRC.</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Where the NHRC has taken up substantially the same matter, the State Commission ordinarily should not proceed in parallel — check and disclose this before filing.</w:t>
      </w:r>
    </w:p>
    <w:p>
      <w:pPr>
        <w:pStyle w:val="Heading2"/>
        <w:spacing w:after="160" w:before="300"/>
      </w:pPr>
      <w:r>
        <w:rPr>
          <w:rFonts w:ascii="Times New Roman" w:cs="Times New Roman" w:eastAsia="Times New Roman" w:hAnsi="Times New Roman"/>
          <w:b/>
          <w:bCs/>
          <w:sz w:val="30"/>
          <w:szCs w:val="30"/>
        </w:rPr>
        <w:t xml:space="preserve">2. Governing Law</w:t>
      </w:r>
    </w:p>
    <w:p>
      <w:pPr>
        <w:spacing w:after="160" w:line="360"/>
        <w:jc w:val="both"/>
      </w:pPr>
      <w:r>
        <w:rPr>
          <w:rFonts w:ascii="Times New Roman" w:cs="Times New Roman" w:eastAsia="Times New Roman" w:hAnsi="Times New Roman"/>
          <w:b w:val="false"/>
          <w:bCs w:val="false"/>
          <w:i w:val="false"/>
          <w:iCs w:val="false"/>
          <w:sz w:val="26"/>
          <w:szCs w:val="26"/>
        </w:rPr>
        <w:t xml:space="preserve">Protection of Human Rights Act, 1993, Section 21 (constitution of State Human Rights Commissions) and Sections 29-30 (application of NHRC provisions, with modifications, to State Commissions).</w:t>
      </w:r>
    </w:p>
    <w:p>
      <w:pPr>
        <w:pStyle w:val="Heading2"/>
        <w:spacing w:after="160" w:before="300"/>
      </w:pPr>
      <w:r>
        <w:rPr>
          <w:rFonts w:ascii="Times New Roman" w:cs="Times New Roman" w:eastAsia="Times New Roman" w:hAnsi="Times New Roman"/>
          <w:b/>
          <w:bCs/>
          <w:sz w:val="30"/>
          <w:szCs w:val="30"/>
        </w:rPr>
        <w:t xml:space="preserve">3. Jurisdiction</w:t>
      </w:r>
    </w:p>
    <w:p>
      <w:pPr>
        <w:spacing w:after="160" w:line="360"/>
        <w:jc w:val="both"/>
      </w:pPr>
      <w:r>
        <w:rPr>
          <w:rFonts w:ascii="Times New Roman" w:cs="Times New Roman" w:eastAsia="Times New Roman" w:hAnsi="Times New Roman"/>
          <w:b w:val="false"/>
          <w:bCs w:val="false"/>
          <w:i w:val="false"/>
          <w:iCs w:val="false"/>
          <w:sz w:val="26"/>
          <w:szCs w:val="26"/>
        </w:rPr>
        <w:t xml:space="preserve">The State Human Rights Commission of the state in which the violation occurred, in respect of state (not central) agencies.</w:t>
      </w:r>
    </w:p>
    <w:p>
      <w:pPr>
        <w:pStyle w:val="Heading2"/>
        <w:spacing w:after="160" w:before="300"/>
      </w:pPr>
      <w:r>
        <w:rPr>
          <w:rFonts w:ascii="Times New Roman" w:cs="Times New Roman" w:eastAsia="Times New Roman" w:hAnsi="Times New Roman"/>
          <w:b/>
          <w:bCs/>
          <w:sz w:val="30"/>
          <w:szCs w:val="30"/>
        </w:rPr>
        <w:t xml:space="preserve">4. Mandatory Ingredients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Mandatory Ingredient</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Confirmation the responsible agency is a state authority</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The specific human right violated</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Confirmation the same matter is not already before the NHRC</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5. Cause Title Format</w:t>
      </w:r>
    </w:p>
    <w:p>
      <w:pPr>
        <w:spacing w:after="160" w:line="360"/>
        <w:jc w:val="both"/>
      </w:pPr>
      <w:r>
        <w:rPr>
          <w:rFonts w:ascii="Times New Roman" w:cs="Times New Roman" w:eastAsia="Times New Roman" w:hAnsi="Times New Roman"/>
          <w:b w:val="false"/>
          <w:bCs w:val="false"/>
          <w:i w:val="false"/>
          <w:iCs w:val="false"/>
          <w:sz w:val="26"/>
          <w:szCs w:val="26"/>
        </w:rPr>
        <w:t xml:space="preserve">TO THE [STATE] HUMAN RIGHTS COMMISSION / COMPLAINT UNDER SECTION 12 READ WITH SECTION 21, PHRA, 1993</w:t>
      </w:r>
    </w:p>
    <w:p>
      <w:pPr>
        <w:pStyle w:val="Heading2"/>
        <w:spacing w:after="160" w:before="300"/>
      </w:pPr>
      <w:r>
        <w:rPr>
          <w:rFonts w:ascii="Times New Roman" w:cs="Times New Roman" w:eastAsia="Times New Roman" w:hAnsi="Times New Roman"/>
          <w:b/>
          <w:bCs/>
          <w:sz w:val="30"/>
          <w:szCs w:val="30"/>
        </w:rPr>
        <w:t xml:space="preserve">6. Index (Standard Format)</w:t>
      </w:r>
    </w:p>
    <w:p>
      <w:pPr>
        <w:spacing w:after="160" w:line="360"/>
        <w:jc w:val="both"/>
      </w:pPr>
      <w:r>
        <w:rPr>
          <w:rFonts w:ascii="Times New Roman" w:cs="Times New Roman" w:eastAsia="Times New Roman" w:hAnsi="Times New Roman"/>
          <w:b w:val="false"/>
          <w:bCs w:val="false"/>
          <w:i w:val="false"/>
          <w:iCs w:val="false"/>
          <w:sz w:val="26"/>
          <w:szCs w:val="26"/>
        </w:rPr>
        <w:t xml:space="preserve">Sr. No. | Particulars | Page No. — tabulate all annexures and pleadings chronologically.</w:t>
      </w:r>
    </w:p>
    <w:p>
      <w:pPr>
        <w:pStyle w:val="Heading2"/>
        <w:spacing w:after="160" w:before="300"/>
      </w:pPr>
      <w:r>
        <w:rPr>
          <w:rFonts w:ascii="Times New Roman" w:cs="Times New Roman" w:eastAsia="Times New Roman" w:hAnsi="Times New Roman"/>
          <w:b/>
          <w:bCs/>
          <w:sz w:val="30"/>
          <w:szCs w:val="30"/>
        </w:rPr>
        <w:t xml:space="preserve">7. Synopsis</w:t>
      </w:r>
    </w:p>
    <w:p>
      <w:pPr>
        <w:spacing w:after="160" w:line="360"/>
        <w:jc w:val="both"/>
      </w:pPr>
      <w:r>
        <w:rPr>
          <w:rFonts w:ascii="Times New Roman" w:cs="Times New Roman" w:eastAsia="Times New Roman" w:hAnsi="Times New Roman"/>
          <w:b w:val="false"/>
          <w:bCs w:val="false"/>
          <w:i w:val="false"/>
          <w:iCs w:val="false"/>
          <w:sz w:val="26"/>
          <w:szCs w:val="26"/>
        </w:rPr>
        <w:t xml:space="preserve">Neutral statement of the violation, the state agency/actor responsible, and the relief sought.</w:t>
      </w:r>
    </w:p>
    <w:p>
      <w:pPr>
        <w:pStyle w:val="Heading2"/>
        <w:spacing w:after="160" w:before="300"/>
      </w:pPr>
      <w:r>
        <w:rPr>
          <w:rFonts w:ascii="Times New Roman" w:cs="Times New Roman" w:eastAsia="Times New Roman" w:hAnsi="Times New Roman"/>
          <w:b/>
          <w:bCs/>
          <w:sz w:val="30"/>
          <w:szCs w:val="30"/>
        </w:rPr>
        <w:t xml:space="preserve">8. List of Dates and Events</w:t>
      </w:r>
    </w:p>
    <w:p>
      <w:pPr>
        <w:spacing w:after="160" w:line="360"/>
        <w:jc w:val="both"/>
      </w:pPr>
      <w:r>
        <w:rPr>
          <w:rFonts w:ascii="Times New Roman" w:cs="Times New Roman" w:eastAsia="Times New Roman" w:hAnsi="Times New Roman"/>
          <w:b w:val="false"/>
          <w:bCs w:val="false"/>
          <w:i w:val="false"/>
          <w:iCs w:val="false"/>
          <w:sz w:val="26"/>
          <w:szCs w:val="26"/>
        </w:rPr>
        <w:t xml:space="preserve">Date | Event — chronological, each entry cross-referenced to an annexure letter.</w:t>
      </w:r>
    </w:p>
    <w:p>
      <w:pPr>
        <w:pStyle w:val="Heading2"/>
        <w:spacing w:after="160" w:before="300"/>
      </w:pPr>
      <w:r>
        <w:rPr>
          <w:rFonts w:ascii="Times New Roman" w:cs="Times New Roman" w:eastAsia="Times New Roman" w:hAnsi="Times New Roman"/>
          <w:b/>
          <w:bCs/>
          <w:sz w:val="30"/>
          <w:szCs w:val="30"/>
        </w:rPr>
        <w:t xml:space="preserve">9. Parties</w:t>
      </w:r>
    </w:p>
    <w:p>
      <w:pPr>
        <w:spacing w:after="160" w:line="360"/>
        <w:jc w:val="both"/>
      </w:pPr>
      <w:r>
        <w:rPr>
          <w:rFonts w:ascii="Times New Roman" w:cs="Times New Roman" w:eastAsia="Times New Roman" w:hAnsi="Times New Roman"/>
          <w:b w:val="false"/>
          <w:bCs w:val="false"/>
          <w:i w:val="false"/>
          <w:iCs w:val="false"/>
          <w:sz w:val="26"/>
          <w:szCs w:val="26"/>
        </w:rPr>
        <w:t xml:space="preserve">Complainant and the state agency/actor whose act or omission is complained of.</w:t>
      </w:r>
    </w:p>
    <w:p>
      <w:pPr>
        <w:pStyle w:val="Heading2"/>
        <w:spacing w:after="160" w:before="300"/>
      </w:pPr>
      <w:r>
        <w:rPr>
          <w:rFonts w:ascii="Times New Roman" w:cs="Times New Roman" w:eastAsia="Times New Roman" w:hAnsi="Times New Roman"/>
          <w:b/>
          <w:bCs/>
          <w:sz w:val="30"/>
          <w:szCs w:val="30"/>
        </w:rPr>
        <w:t xml:space="preserve">10. Facts</w:t>
      </w:r>
    </w:p>
    <w:p>
      <w:pPr>
        <w:spacing w:after="160" w:line="360"/>
        <w:jc w:val="both"/>
      </w:pPr>
      <w:r>
        <w:rPr>
          <w:rFonts w:ascii="Times New Roman" w:cs="Times New Roman" w:eastAsia="Times New Roman" w:hAnsi="Times New Roman"/>
          <w:b w:val="false"/>
          <w:bCs w:val="false"/>
          <w:i w:val="false"/>
          <w:iCs w:val="false"/>
          <w:sz w:val="26"/>
          <w:szCs w:val="26"/>
        </w:rPr>
        <w:t xml:space="preserve">Chronological, numbered facts establishing the violation, cross-referenced to supporting evidence.</w:t>
      </w:r>
    </w:p>
    <w:p>
      <w:pPr>
        <w:pStyle w:val="Heading2"/>
        <w:spacing w:after="160" w:before="300"/>
      </w:pPr>
      <w:r>
        <w:rPr>
          <w:rFonts w:ascii="Times New Roman" w:cs="Times New Roman" w:eastAsia="Times New Roman" w:hAnsi="Times New Roman"/>
          <w:b/>
          <w:bCs/>
          <w:sz w:val="30"/>
          <w:szCs w:val="30"/>
        </w:rPr>
        <w:t xml:space="preserve">11. Questions / Issues for Determination</w:t>
      </w:r>
    </w:p>
    <w:p>
      <w:pPr>
        <w:pStyle w:val="ListParagraph"/>
        <w:numPr>
          <w:ilvl w:val="0"/>
          <w:numId w:val="3"/>
        </w:numPr>
        <w:spacing w:after="100" w:line="360"/>
      </w:pPr>
      <w:r>
        <w:rPr>
          <w:rFonts w:ascii="Times New Roman" w:cs="Times New Roman" w:eastAsia="Times New Roman" w:hAnsi="Times New Roman"/>
          <w:sz w:val="26"/>
          <w:szCs w:val="26"/>
        </w:rPr>
        <w:t xml:space="preserve">Whether the responsible agency is a state (not central) authority, confirming the State Commission's jurisdiction</w:t>
      </w:r>
    </w:p>
    <w:p>
      <w:pPr>
        <w:pStyle w:val="ListParagraph"/>
        <w:numPr>
          <w:ilvl w:val="0"/>
          <w:numId w:val="3"/>
        </w:numPr>
        <w:spacing w:after="100" w:line="360"/>
      </w:pPr>
      <w:r>
        <w:rPr>
          <w:rFonts w:ascii="Times New Roman" w:cs="Times New Roman" w:eastAsia="Times New Roman" w:hAnsi="Times New Roman"/>
          <w:sz w:val="26"/>
          <w:szCs w:val="26"/>
        </w:rPr>
        <w:t xml:space="preserve">Whether the facts disclose a human rights violation</w:t>
      </w:r>
    </w:p>
    <w:p>
      <w:pPr>
        <w:pStyle w:val="ListParagraph"/>
        <w:numPr>
          <w:ilvl w:val="0"/>
          <w:numId w:val="3"/>
        </w:numPr>
        <w:spacing w:after="100" w:line="360"/>
      </w:pPr>
      <w:r>
        <w:rPr>
          <w:rFonts w:ascii="Times New Roman" w:cs="Times New Roman" w:eastAsia="Times New Roman" w:hAnsi="Times New Roman"/>
          <w:sz w:val="26"/>
          <w:szCs w:val="26"/>
        </w:rPr>
        <w:t xml:space="preserve">Whether the same matter is already before the NHRC</w:t>
      </w:r>
    </w:p>
    <w:p>
      <w:pPr>
        <w:pStyle w:val="Heading2"/>
        <w:spacing w:after="160" w:before="300"/>
      </w:pPr>
      <w:r>
        <w:rPr>
          <w:rFonts w:ascii="Times New Roman" w:cs="Times New Roman" w:eastAsia="Times New Roman" w:hAnsi="Times New Roman"/>
          <w:b/>
          <w:bCs/>
          <w:sz w:val="30"/>
          <w:szCs w:val="30"/>
        </w:rPr>
        <w:t xml:space="preserve">12. Statutory Provisions Invoked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Statutory Provision</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Section 21, PHRA, 1993</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Sections 29-30, PHRA, 1993</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13. Case-Law Citations</w:t>
      </w:r>
    </w:p>
    <w:p>
      <w:pPr>
        <w:spacing w:after="160" w:line="360"/>
        <w:jc w:val="both"/>
      </w:pPr>
      <w:r>
        <w:rPr>
          <w:rFonts w:ascii="Times New Roman" w:cs="Times New Roman" w:eastAsia="Times New Roman" w:hAnsi="Times New Roman"/>
          <w:b w:val="false"/>
          <w:bCs w:val="false"/>
          <w:i/>
          <w:iCs/>
          <w:sz w:val="26"/>
          <w:szCs w:val="26"/>
        </w:rPr>
        <w:t xml:space="preserve">The following are established, verifiable citations directly relevant to this instrument. Additional matter-specific case law should be added in the same tabular format; do not leave a case-law slot filled with an invented citation.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32"/>
        <w:gridCol w:w="60"/>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3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Case Citation</w:t>
            </w:r>
          </w:p>
        </w:tc>
        <w:tc>
          <w:tcPr>
            <w:tcW w:type="pct" w:w="60%"/>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Legal Proposition</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3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D.K. Basu v. State of West Bengal, (1997) 1 SCC 416</w:t>
            </w:r>
          </w:p>
        </w:tc>
        <w:tc>
          <w:tcPr>
            <w:tcW w:type="pct" w:w="60%"/>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The safeguards mandated in D.K. Basu apply equally to state police authorities, giving State Human Rights Commissions a clear evidentiary framework for assessing complaints of custodial violence or arbitrary detention by state police.</w:t>
            </w:r>
          </w:p>
        </w:tc>
      </w:tr>
    </w:tbl>
    <w:p>
      <w:pPr>
        <w:pStyle w:val="Heading2"/>
        <w:spacing w:after="160" w:before="300"/>
      </w:pPr>
      <w:r>
        <w:rPr>
          <w:rFonts w:ascii="Times New Roman" w:cs="Times New Roman" w:eastAsia="Times New Roman" w:hAnsi="Times New Roman"/>
          <w:b/>
          <w:bCs/>
          <w:sz w:val="30"/>
          <w:szCs w:val="30"/>
        </w:rPr>
        <w:t xml:space="preserve">14. Grounds</w:t>
      </w:r>
    </w:p>
    <w:p>
      <w:pPr>
        <w:pStyle w:val="ListParagraph"/>
        <w:numPr>
          <w:ilvl w:val="0"/>
          <w:numId w:val="3"/>
        </w:numPr>
        <w:spacing w:after="100" w:line="360"/>
      </w:pPr>
      <w:r>
        <w:rPr>
          <w:rFonts w:ascii="Times New Roman" w:cs="Times New Roman" w:eastAsia="Times New Roman" w:hAnsi="Times New Roman"/>
          <w:sz w:val="26"/>
          <w:szCs w:val="26"/>
        </w:rPr>
        <w:t xml:space="preserve">Specific human rights violation established by evidence</w:t>
      </w:r>
    </w:p>
    <w:p>
      <w:pPr>
        <w:pStyle w:val="ListParagraph"/>
        <w:numPr>
          <w:ilvl w:val="0"/>
          <w:numId w:val="3"/>
        </w:numPr>
        <w:spacing w:after="100" w:line="360"/>
      </w:pPr>
      <w:r>
        <w:rPr>
          <w:rFonts w:ascii="Times New Roman" w:cs="Times New Roman" w:eastAsia="Times New Roman" w:hAnsi="Times New Roman"/>
          <w:sz w:val="26"/>
          <w:szCs w:val="26"/>
        </w:rPr>
        <w:t xml:space="preserve">State agency responsibility confirmed</w:t>
      </w:r>
    </w:p>
    <w:p>
      <w:pPr>
        <w:pStyle w:val="ListParagraph"/>
        <w:numPr>
          <w:ilvl w:val="0"/>
          <w:numId w:val="3"/>
        </w:numPr>
        <w:spacing w:after="100" w:line="360"/>
      </w:pPr>
      <w:r>
        <w:rPr>
          <w:rFonts w:ascii="Times New Roman" w:cs="Times New Roman" w:eastAsia="Times New Roman" w:hAnsi="Times New Roman"/>
          <w:sz w:val="26"/>
          <w:szCs w:val="26"/>
        </w:rPr>
        <w:t xml:space="preserve">No parallel NHRC proceeding on the same matter</w:t>
      </w:r>
    </w:p>
    <w:p>
      <w:pPr>
        <w:pStyle w:val="Heading2"/>
        <w:spacing w:after="160" w:before="300"/>
      </w:pPr>
      <w:r>
        <w:rPr>
          <w:rFonts w:ascii="Times New Roman" w:cs="Times New Roman" w:eastAsia="Times New Roman" w:hAnsi="Times New Roman"/>
          <w:b/>
          <w:bCs/>
          <w:sz w:val="30"/>
          <w:szCs w:val="30"/>
        </w:rPr>
        <w:t xml:space="preserve">15. Interim Relief Sought</w:t>
      </w:r>
    </w:p>
    <w:p>
      <w:pPr>
        <w:spacing w:after="160" w:line="360"/>
        <w:jc w:val="both"/>
      </w:pPr>
      <w:r>
        <w:rPr>
          <w:rFonts w:ascii="Times New Roman" w:cs="Times New Roman" w:eastAsia="Times New Roman" w:hAnsi="Times New Roman"/>
          <w:b w:val="false"/>
          <w:bCs w:val="false"/>
          <w:i w:val="false"/>
          <w:iCs w:val="false"/>
          <w:sz w:val="26"/>
          <w:szCs w:val="26"/>
        </w:rPr>
        <w:t xml:space="preserve">As applicable to the specific fact pattern (custodial violence per HR-02, detention per HR-03).</w:t>
      </w:r>
    </w:p>
    <w:p>
      <w:pPr>
        <w:pStyle w:val="Heading2"/>
        <w:spacing w:after="160" w:before="300"/>
      </w:pPr>
      <w:r>
        <w:rPr>
          <w:rFonts w:ascii="Times New Roman" w:cs="Times New Roman" w:eastAsia="Times New Roman" w:hAnsi="Times New Roman"/>
          <w:b/>
          <w:bCs/>
          <w:sz w:val="30"/>
          <w:szCs w:val="30"/>
        </w:rPr>
        <w:t xml:space="preserve">16. Main Prayer</w:t>
      </w:r>
    </w:p>
    <w:p>
      <w:pPr>
        <w:pStyle w:val="ListParagraph"/>
        <w:numPr>
          <w:ilvl w:val="0"/>
          <w:numId w:val="3"/>
        </w:numPr>
        <w:spacing w:after="100" w:line="360"/>
      </w:pPr>
      <w:r>
        <w:rPr>
          <w:rFonts w:ascii="Times New Roman" w:cs="Times New Roman" w:eastAsia="Times New Roman" w:hAnsi="Times New Roman"/>
          <w:sz w:val="26"/>
          <w:szCs w:val="26"/>
        </w:rPr>
        <w:t xml:space="preserve">Inquiry into the violation</w:t>
      </w:r>
    </w:p>
    <w:p>
      <w:pPr>
        <w:pStyle w:val="ListParagraph"/>
        <w:numPr>
          <w:ilvl w:val="0"/>
          <w:numId w:val="3"/>
        </w:numPr>
        <w:spacing w:after="100" w:line="360"/>
      </w:pPr>
      <w:r>
        <w:rPr>
          <w:rFonts w:ascii="Times New Roman" w:cs="Times New Roman" w:eastAsia="Times New Roman" w:hAnsi="Times New Roman"/>
          <w:sz w:val="26"/>
          <w:szCs w:val="26"/>
        </w:rPr>
        <w:t xml:space="preserve">Recommendation of compensation</w:t>
      </w:r>
    </w:p>
    <w:p>
      <w:pPr>
        <w:pStyle w:val="ListParagraph"/>
        <w:numPr>
          <w:ilvl w:val="0"/>
          <w:numId w:val="3"/>
        </w:numPr>
        <w:spacing w:after="100" w:line="360"/>
      </w:pPr>
      <w:r>
        <w:rPr>
          <w:rFonts w:ascii="Times New Roman" w:cs="Times New Roman" w:eastAsia="Times New Roman" w:hAnsi="Times New Roman"/>
          <w:sz w:val="26"/>
          <w:szCs w:val="26"/>
        </w:rPr>
        <w:t xml:space="preserve">Recommendation of departmental/prosecutorial action</w:t>
      </w:r>
    </w:p>
    <w:p>
      <w:pPr>
        <w:pStyle w:val="ListParagraph"/>
        <w:numPr>
          <w:ilvl w:val="0"/>
          <w:numId w:val="3"/>
        </w:numPr>
        <w:spacing w:after="100" w:line="360"/>
      </w:pPr>
      <w:r>
        <w:rPr>
          <w:rFonts w:ascii="Times New Roman" w:cs="Times New Roman" w:eastAsia="Times New Roman" w:hAnsi="Times New Roman"/>
          <w:sz w:val="26"/>
          <w:szCs w:val="26"/>
        </w:rPr>
        <w:t xml:space="preserve">Any other direction this Hon'ble Commission deems fit</w:t>
      </w:r>
    </w:p>
    <w:p>
      <w:pPr>
        <w:pStyle w:val="Heading2"/>
        <w:spacing w:after="160" w:before="300"/>
      </w:pPr>
      <w:r>
        <w:rPr>
          <w:rFonts w:ascii="Times New Roman" w:cs="Times New Roman" w:eastAsia="Times New Roman" w:hAnsi="Times New Roman"/>
          <w:b/>
          <w:bCs/>
          <w:sz w:val="30"/>
          <w:szCs w:val="30"/>
        </w:rPr>
        <w:t xml:space="preserve">17. Costs</w:t>
      </w:r>
    </w:p>
    <w:p>
      <w:pPr>
        <w:spacing w:after="160" w:line="360"/>
        <w:jc w:val="both"/>
      </w:pPr>
      <w:r>
        <w:rPr>
          <w:rFonts w:ascii="Times New Roman" w:cs="Times New Roman" w:eastAsia="Times New Roman" w:hAnsi="Times New Roman"/>
          <w:b w:val="false"/>
          <w:bCs w:val="false"/>
          <w:i w:val="false"/>
          <w:iCs w:val="false"/>
          <w:sz w:val="26"/>
          <w:szCs w:val="26"/>
        </w:rPr>
        <w:t xml:space="preserve">Costs of this proceeding be awarded to the Applicant/Complainant/Petitioner/Plaintiff as this Hon'ble Court/Forum deems fit.</w:t>
      </w:r>
    </w:p>
    <w:p>
      <w:pPr>
        <w:pStyle w:val="Heading2"/>
        <w:spacing w:after="160" w:before="300"/>
      </w:pPr>
      <w:r>
        <w:rPr>
          <w:rFonts w:ascii="Times New Roman" w:cs="Times New Roman" w:eastAsia="Times New Roman" w:hAnsi="Times New Roman"/>
          <w:b/>
          <w:bCs/>
          <w:sz w:val="30"/>
          <w:szCs w:val="30"/>
        </w:rPr>
        <w:t xml:space="preserve">18. Verification</w:t>
      </w:r>
    </w:p>
    <w:p>
      <w:pPr>
        <w:spacing w:after="160" w:line="360"/>
        <w:jc w:val="both"/>
      </w:pPr>
      <w:r>
        <w:rPr>
          <w:rFonts w:ascii="Times New Roman" w:cs="Times New Roman" w:eastAsia="Times New Roman" w:hAnsi="Times New Roman"/>
          <w:b w:val="false"/>
          <w:bCs w:val="false"/>
          <w:i w:val="false"/>
          <w:iCs w:val="false"/>
          <w:sz w:val="26"/>
          <w:szCs w:val="26"/>
        </w:rPr>
        <w:t xml:space="preserve">I, the party named above, do hereby verify that the contents of paragraphs __ to __ are true to my knowledge, paragraphs __ to __ are based on information received and believed to be true, and paragraphs __ to __ are based on legal advice, and nothing material has been concealed therefrom.</w:t>
      </w:r>
    </w:p>
    <w:p>
      <w:pPr>
        <w:pStyle w:val="Heading2"/>
        <w:spacing w:after="160" w:before="300"/>
      </w:pPr>
      <w:r>
        <w:rPr>
          <w:rFonts w:ascii="Times New Roman" w:cs="Times New Roman" w:eastAsia="Times New Roman" w:hAnsi="Times New Roman"/>
          <w:b/>
          <w:bCs/>
          <w:sz w:val="30"/>
          <w:szCs w:val="30"/>
        </w:rPr>
        <w:t xml:space="preserve">19. Affidavit</w:t>
      </w:r>
    </w:p>
    <w:p>
      <w:pPr>
        <w:spacing w:after="160" w:line="360"/>
        <w:jc w:val="both"/>
      </w:pPr>
      <w:r>
        <w:rPr>
          <w:rFonts w:ascii="Times New Roman" w:cs="Times New Roman" w:eastAsia="Times New Roman" w:hAnsi="Times New Roman"/>
          <w:b w:val="false"/>
          <w:bCs w:val="false"/>
          <w:i w:val="false"/>
          <w:iCs w:val="false"/>
          <w:sz w:val="26"/>
          <w:szCs w:val="26"/>
        </w:rPr>
        <w:t xml:space="preserve">Standard affidavit in support per Universal Affidavit Framework (Volume 1, UNI-02), sworn/affirmed before a Notary/Oath Commissioner, annexed as Annexure — Affidavit.</w:t>
      </w:r>
    </w:p>
    <w:p>
      <w:pPr>
        <w:pStyle w:val="Heading2"/>
        <w:spacing w:after="160" w:before="300"/>
      </w:pPr>
      <w:r>
        <w:rPr>
          <w:rFonts w:ascii="Times New Roman" w:cs="Times New Roman" w:eastAsia="Times New Roman" w:hAnsi="Times New Roman"/>
          <w:b/>
          <w:bCs/>
          <w:sz w:val="30"/>
          <w:szCs w:val="30"/>
        </w:rPr>
        <w:t xml:space="preserve">20. Annexure List</w:t>
      </w:r>
    </w:p>
    <w:p>
      <w:pPr>
        <w:spacing w:after="160" w:line="360"/>
        <w:jc w:val="both"/>
      </w:pPr>
      <w:r>
        <w:rPr>
          <w:rFonts w:ascii="Times New Roman" w:cs="Times New Roman" w:eastAsia="Times New Roman" w:hAnsi="Times New Roman"/>
          <w:b w:val="false"/>
          <w:bCs w:val="false"/>
          <w:i w:val="false"/>
          <w:iCs w:val="false"/>
          <w:sz w:val="26"/>
          <w:szCs w:val="26"/>
        </w:rPr>
        <w:t xml:space="preserve">Annexure A, B, C ... — each annexure indexed with a one-line description and page reference; maintain running alphabetical sequence across all filings in the matter.</w:t>
      </w:r>
    </w:p>
    <w:p>
      <w:pPr>
        <w:pStyle w:val="Heading2"/>
        <w:spacing w:after="160" w:before="300"/>
      </w:pPr>
      <w:r>
        <w:rPr>
          <w:rFonts w:ascii="Times New Roman" w:cs="Times New Roman" w:eastAsia="Times New Roman" w:hAnsi="Times New Roman"/>
          <w:b/>
          <w:bCs/>
          <w:sz w:val="30"/>
          <w:szCs w:val="30"/>
        </w:rPr>
        <w:t xml:space="preserve">21. Filing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w:t>
            </w:r>
          </w:p>
        </w:tc>
        <w:tc>
          <w:tcPr>
            <w:tcW w:type="pct" w:w="9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Filing Checklist Item</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Supporting evidence annexed and indexed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Confirmation the same matter is not already before the NHRC</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22. AI Review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w:t>
            </w:r>
          </w:p>
        </w:tc>
        <w:tc>
          <w:tcPr>
            <w:tcW w:type="pct" w:w="9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AI Review Item</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the responsible agency is genuinely a state (not central) authority</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no parallel NHRC proceeding exists on the same matter</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23. Common Drafting Mistakes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Common Mistake</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Filing before the State Commission where the responsible agency is actually a central authority, which falls outside its jurisdiction</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Filing in parallel with an NHRC complaint on the same facts without disclosure, risking duplicative or inconsistent proceedings</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24. Claude Optimization Prompt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GENERATOR PROMPT —</w:t>
            </w:r>
          </w:p>
          <w:p>
            <w:pPr>
              <w:spacing w:line="300"/>
              <w:jc w:val="both"/>
            </w:pPr>
            <w:r>
              <w:rPr>
                <w:rFonts w:ascii="Times New Roman" w:cs="Times New Roman" w:eastAsia="Times New Roman" w:hAnsi="Times New Roman"/>
                <w:i/>
                <w:iCs/>
                <w:sz w:val="26"/>
                <w:szCs w:val="26"/>
              </w:rPr>
              <w:t xml:space="preserve">Draft a complaint to the [State] Human Rights Commission under Section 21, PHRA, 1993, alleging [violation] by [state agency], based on [facts]. Confirm the agency is a state authority and that no parallel NHRC proceeding exists. Use only facts supplied by the user.</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25. Claude/GPT Reviewer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REVIEWER PROMPT —</w:t>
            </w:r>
          </w:p>
          <w:p>
            <w:pPr>
              <w:spacing w:line="300"/>
              <w:jc w:val="both"/>
            </w:pPr>
            <w:r>
              <w:rPr>
                <w:rFonts w:ascii="Times New Roman" w:cs="Times New Roman" w:eastAsia="Times New Roman" w:hAnsi="Times New Roman"/>
                <w:i/>
                <w:iCs/>
                <w:sz w:val="26"/>
                <w:szCs w:val="26"/>
              </w:rPr>
              <w:t xml:space="preserve">Review this State Human Rights Commission complaint to confirm the responsible agency is genuinely a state authority and no parallel NHRC proceeding exists on the same matter.</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26. Senior Counsel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SENIOR COUNSEL PROMPT —</w:t>
            </w:r>
          </w:p>
          <w:p>
            <w:pPr>
              <w:spacing w:line="300"/>
              <w:jc w:val="both"/>
            </w:pPr>
            <w:r>
              <w:rPr>
                <w:rFonts w:ascii="Times New Roman" w:cs="Times New Roman" w:eastAsia="Times New Roman" w:hAnsi="Times New Roman"/>
                <w:i/>
                <w:iCs/>
                <w:sz w:val="26"/>
                <w:szCs w:val="26"/>
              </w:rPr>
              <w:t xml:space="preserve">Assess whether the gravity or inter-state character of the matter would be better served by approaching the NHRC directly rather than the State Commission, and advise on the forum most likely to secure an effective and timely response.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SENIOR COUNSEL PROMPT — STANDING ADDENDUM —</w:t>
            </w:r>
          </w:p>
          <w:p>
            <w:pPr>
              <w:spacing w:line="300"/>
              <w:jc w:val="both"/>
            </w:pPr>
            <w:r>
              <w:rPr>
                <w:rFonts w:ascii="Times New Roman" w:cs="Times New Roman" w:eastAsia="Times New Roman" w:hAnsi="Times New Roman"/>
                <w:i/>
                <w:iCs/>
                <w:sz w:val="26"/>
                <w:szCs w:val="26"/>
              </w:rPr>
              <w:t xml:space="preserve">STANDING CHECKS (apply in every matter): (1) Cross-forum admission risk — where the user is running simultaneous or parallel proceedings on overlapping facts before different forums (e.g., a regulatory complaint alongside a civil suit, criminal proceeding, or another regulatory body), flag any factual characterization, admission, or relief sought in this document that could be used against the user's position in a parallel proceeding, or that could later be read as inconsistent with a position taken elsewhere. (2) Attesting-professional conflicts — flag if any notary, auditor, valuer, or other certifying professional named in the facts has a disclosed or reasonably inferable relationship (familial, financial, employment) to an opposing party, since this bears on the evidentiary weight of the attestation. (3) Killcritic enforcement — the final draft must contain no AI-hedging language, meta-commentary, or unnecessary disclaimers; remove phrases like 'it appears that' or 'this may suggest' unless the underlying fact is genuinely unconfirmed by the user, in which case use only the legally precise hedge ('alleged', 'prima facie', 'based on information and belief') rather than a generic qualifier.</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27. High Court Formatting Compliance Prompt</w:t>
      </w:r>
    </w:p>
    <w:p>
      <w:pPr>
        <w:spacing w:after="100" w:line="360"/>
        <w:jc w:val="both"/>
      </w:pPr>
      <w:r>
        <w:rPr>
          <w:rFonts w:ascii="Times New Roman" w:cs="Times New Roman" w:eastAsia="Times New Roman" w:hAnsi="Times New Roman"/>
          <w:b w:val="false"/>
          <w:bCs w:val="false"/>
          <w:i/>
          <w:iCs/>
          <w:sz w:val="26"/>
          <w:szCs w:val="26"/>
        </w:rPr>
        <w:t xml:space="preserve">Applies to every document produced from this template: Times New Roman 13pt, 1.5 line spacing, A4 page, 1.75-inch left/binding margin, 0.8-inch top/bottom/right margins, justified text, numbered paragraphs, centered page numbers in footer.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FORMATTING PROMPT —</w:t>
            </w:r>
          </w:p>
          <w:p>
            <w:pPr>
              <w:spacing w:line="300"/>
              <w:jc w:val="both"/>
            </w:pPr>
            <w:r>
              <w:rPr>
                <w:rFonts w:ascii="Times New Roman" w:cs="Times New Roman" w:eastAsia="Times New Roman" w:hAnsi="Times New Roman"/>
                <w:i/>
                <w:iCs/>
                <w:sz w:val="26"/>
                <w:szCs w:val="26"/>
              </w:rPr>
              <w:t xml:space="preserve">Format this document strictly in High Court filing format: font Times New Roman, size 13pt throughout (headings may be bold at the same size), line spacing 1.5, page size A4, left/binding margin 1.75 inches, top/bottom/right margins 0.8 inches each, text fully justified, paragraphs numbered consecutively, and page numbers centered in the footer. Do not use any other font, spacing, or margin configuration even if a template default suggests otherwise.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FORMATTING PROMPT — STANDING ADDENDUM —</w:t>
            </w:r>
          </w:p>
          <w:p>
            <w:pPr>
              <w:spacing w:line="300"/>
              <w:jc w:val="both"/>
            </w:pPr>
            <w:r>
              <w:rPr>
                <w:rFonts w:ascii="Times New Roman" w:cs="Times New Roman" w:eastAsia="Times New Roman" w:hAnsi="Times New Roman"/>
                <w:i/>
                <w:iCs/>
                <w:sz w:val="26"/>
                <w:szCs w:val="26"/>
              </w:rPr>
              <w:t xml:space="preserve">STANDING CHECKS (apply in every matter): (1) Forum-specific override — before applying this High Court format by default, confirm whether the actual receiving forum (e.g., a regulatory tribunal, portal-based e-filing system, consumer commission, or advertising body) has its own prescribed format, page-limit, or upload specification, and apply that instead where it differs. (2) International/embassy/UN submissions — where a document is intended for use abroad or before an international body, note that: India is a party to the Hague Apostille Convention, so documents for use in other member states should be apostilled rather than merely notarised; documents not in English require a certified translation; and international bodies typically expect single line spacing and no page-binding margin, so the High Court margin/spacing spec should not be applied to those documents — flag this distinction rather than silently carrying over Indian court formatting. (3) Self-represented litigant — do not assume a law-firm letterhead or advocate signature block; use the party's own name, address, and 'Party-in-Person' designation in the signature and service blocks.</w:t>
            </w:r>
          </w:p>
        </w:tc>
      </w:tr>
    </w:tbl>
    <w:p>
      <w:pPr>
        <w:pStyle w:val="Heading1"/>
        <w:pageBreakBefore/>
        <w:spacing w:after="160" w:before="300"/>
      </w:pPr>
      <w:r>
        <w:rPr>
          <w:rFonts w:ascii="Times New Roman" w:cs="Times New Roman" w:eastAsia="Times New Roman" w:hAnsi="Times New Roman"/>
          <w:b/>
          <w:bCs/>
          <w:sz w:val="30"/>
          <w:szCs w:val="30"/>
        </w:rPr>
        <w:t xml:space="preserve">Complaint to the National Commission for Women (NCW)</w:t>
      </w:r>
    </w:p>
    <w:p>
      <w:pPr>
        <w:spacing w:after="60" w:line="360"/>
        <w:jc w:val="both"/>
      </w:pPr>
      <w:r>
        <w:rPr>
          <w:rFonts w:ascii="Times New Roman" w:cs="Times New Roman" w:eastAsia="Times New Roman" w:hAnsi="Times New Roman"/>
          <w:b w:val="false"/>
          <w:bCs w:val="false"/>
          <w:i/>
          <w:iCs/>
          <w:sz w:val="26"/>
          <w:szCs w:val="26"/>
        </w:rPr>
        <w:t xml:space="preserve">Template Code: HR-05</w:t>
      </w:r>
    </w:p>
    <w:p>
      <w:pPr>
        <w:spacing w:after="240" w:line="360"/>
        <w:jc w:val="both"/>
      </w:pPr>
      <w:r>
        <w:rPr>
          <w:rFonts w:ascii="Times New Roman" w:cs="Times New Roman" w:eastAsia="Times New Roman" w:hAnsi="Times New Roman"/>
          <w:b w:val="false"/>
          <w:bCs w:val="false"/>
          <w:i/>
          <w:iCs/>
          <w:sz w:val="26"/>
          <w:szCs w:val="26"/>
        </w:rPr>
        <w:t xml:space="preserve">Applicable Volume Cross-Reference: Uses the same architecture as HR-01, filed under the National Commission for Women Act, 1990.</w:t>
      </w:r>
    </w:p>
    <w:p>
      <w:pPr>
        <w:pStyle w:val="Heading2"/>
        <w:spacing w:after="160" w:before="300"/>
      </w:pPr>
      <w:r>
        <w:rPr>
          <w:rFonts w:ascii="Times New Roman" w:cs="Times New Roman" w:eastAsia="Times New Roman" w:hAnsi="Times New Roman"/>
          <w:b/>
          <w:bCs/>
          <w:sz w:val="30"/>
          <w:szCs w:val="30"/>
        </w:rPr>
        <w:t xml:space="preserve">1. AI Drafting Instructions</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The NCW's mandate covers safeguarding women's rights broadly, including violence, workplace harassment, and discrimination — plead the specific right/protection violated (e.g., under the Sexual Harassment of Women at Workplace Act, domestic violence law, or a specific discriminatory practice) rather than a general grievance.</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Where the complaint concerns workplace sexual harassment, confirm and state whether an Internal Complaints Committee complaint has also been filed, since that is typically the primary statutory mechanism under the POSH Act.</w:t>
      </w:r>
    </w:p>
    <w:p>
      <w:pPr>
        <w:pStyle w:val="Heading2"/>
        <w:spacing w:after="160" w:before="300"/>
      </w:pPr>
      <w:r>
        <w:rPr>
          <w:rFonts w:ascii="Times New Roman" w:cs="Times New Roman" w:eastAsia="Times New Roman" w:hAnsi="Times New Roman"/>
          <w:b/>
          <w:bCs/>
          <w:sz w:val="30"/>
          <w:szCs w:val="30"/>
        </w:rPr>
        <w:t xml:space="preserve">2. Governing Law</w:t>
      </w:r>
    </w:p>
    <w:p>
      <w:pPr>
        <w:spacing w:after="160" w:line="360"/>
        <w:jc w:val="both"/>
      </w:pPr>
      <w:r>
        <w:rPr>
          <w:rFonts w:ascii="Times New Roman" w:cs="Times New Roman" w:eastAsia="Times New Roman" w:hAnsi="Times New Roman"/>
          <w:b w:val="false"/>
          <w:bCs w:val="false"/>
          <w:i w:val="false"/>
          <w:iCs w:val="false"/>
          <w:sz w:val="26"/>
          <w:szCs w:val="26"/>
        </w:rPr>
        <w:t xml:space="preserve">National Commission for Women Act, 1990; the specific substantive statute violated (e.g., Sexual Harassment of Women at Workplace (Prevention, Prohibition and Redressal) Act, 2013; Protection of Women from Domestic Violence Act, 2005).</w:t>
      </w:r>
    </w:p>
    <w:p>
      <w:pPr>
        <w:pStyle w:val="Heading2"/>
        <w:spacing w:after="160" w:before="300"/>
      </w:pPr>
      <w:r>
        <w:rPr>
          <w:rFonts w:ascii="Times New Roman" w:cs="Times New Roman" w:eastAsia="Times New Roman" w:hAnsi="Times New Roman"/>
          <w:b/>
          <w:bCs/>
          <w:sz w:val="30"/>
          <w:szCs w:val="30"/>
        </w:rPr>
        <w:t xml:space="preserve">3. Jurisdiction</w:t>
      </w:r>
    </w:p>
    <w:p>
      <w:pPr>
        <w:spacing w:after="160" w:line="360"/>
        <w:jc w:val="both"/>
      </w:pPr>
      <w:r>
        <w:rPr>
          <w:rFonts w:ascii="Times New Roman" w:cs="Times New Roman" w:eastAsia="Times New Roman" w:hAnsi="Times New Roman"/>
          <w:b w:val="false"/>
          <w:bCs w:val="false"/>
          <w:i w:val="false"/>
          <w:iCs w:val="false"/>
          <w:sz w:val="26"/>
          <w:szCs w:val="26"/>
        </w:rPr>
        <w:t xml:space="preserve">The National Commission for Women, for complaints concerning safeguards for women's rights across India.</w:t>
      </w:r>
    </w:p>
    <w:p>
      <w:pPr>
        <w:pStyle w:val="Heading2"/>
        <w:spacing w:after="160" w:before="300"/>
      </w:pPr>
      <w:r>
        <w:rPr>
          <w:rFonts w:ascii="Times New Roman" w:cs="Times New Roman" w:eastAsia="Times New Roman" w:hAnsi="Times New Roman"/>
          <w:b/>
          <w:bCs/>
          <w:sz w:val="30"/>
          <w:szCs w:val="30"/>
        </w:rPr>
        <w:t xml:space="preserve">4. Mandatory Ingredients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Mandatory Ingredient</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The specific right/protection violated</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Facts establishing the violation</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Status of any parallel statutory mechanism (ICC complaint under POSH Act, protection order application under the Domestic Violence Act) already pursued</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5. Cause Title Format</w:t>
      </w:r>
    </w:p>
    <w:p>
      <w:pPr>
        <w:spacing w:after="160" w:line="360"/>
        <w:jc w:val="both"/>
      </w:pPr>
      <w:r>
        <w:rPr>
          <w:rFonts w:ascii="Times New Roman" w:cs="Times New Roman" w:eastAsia="Times New Roman" w:hAnsi="Times New Roman"/>
          <w:b w:val="false"/>
          <w:bCs w:val="false"/>
          <w:i w:val="false"/>
          <w:iCs w:val="false"/>
          <w:sz w:val="26"/>
          <w:szCs w:val="26"/>
        </w:rPr>
        <w:t xml:space="preserve">TO THE NATIONAL COMMISSION FOR WOMEN, NEW DELHI / COMPLAINT UNDER THE NATIONAL COMMISSION FOR WOMEN ACT, 1990</w:t>
      </w:r>
    </w:p>
    <w:p>
      <w:pPr>
        <w:pStyle w:val="Heading2"/>
        <w:spacing w:after="160" w:before="300"/>
      </w:pPr>
      <w:r>
        <w:rPr>
          <w:rFonts w:ascii="Times New Roman" w:cs="Times New Roman" w:eastAsia="Times New Roman" w:hAnsi="Times New Roman"/>
          <w:b/>
          <w:bCs/>
          <w:sz w:val="30"/>
          <w:szCs w:val="30"/>
        </w:rPr>
        <w:t xml:space="preserve">6. Index (Standard Format)</w:t>
      </w:r>
    </w:p>
    <w:p>
      <w:pPr>
        <w:spacing w:after="160" w:line="360"/>
        <w:jc w:val="both"/>
      </w:pPr>
      <w:r>
        <w:rPr>
          <w:rFonts w:ascii="Times New Roman" w:cs="Times New Roman" w:eastAsia="Times New Roman" w:hAnsi="Times New Roman"/>
          <w:b w:val="false"/>
          <w:bCs w:val="false"/>
          <w:i w:val="false"/>
          <w:iCs w:val="false"/>
          <w:sz w:val="26"/>
          <w:szCs w:val="26"/>
        </w:rPr>
        <w:t xml:space="preserve">Sr. No. | Particulars | Page No. — tabulate all annexures and pleadings chronologically.</w:t>
      </w:r>
    </w:p>
    <w:p>
      <w:pPr>
        <w:pStyle w:val="Heading2"/>
        <w:spacing w:after="160" w:before="300"/>
      </w:pPr>
      <w:r>
        <w:rPr>
          <w:rFonts w:ascii="Times New Roman" w:cs="Times New Roman" w:eastAsia="Times New Roman" w:hAnsi="Times New Roman"/>
          <w:b/>
          <w:bCs/>
          <w:sz w:val="30"/>
          <w:szCs w:val="30"/>
        </w:rPr>
        <w:t xml:space="preserve">7. Synopsis</w:t>
      </w:r>
    </w:p>
    <w:p>
      <w:pPr>
        <w:spacing w:after="160" w:line="360"/>
        <w:jc w:val="both"/>
      </w:pPr>
      <w:r>
        <w:rPr>
          <w:rFonts w:ascii="Times New Roman" w:cs="Times New Roman" w:eastAsia="Times New Roman" w:hAnsi="Times New Roman"/>
          <w:b w:val="false"/>
          <w:bCs w:val="false"/>
          <w:i w:val="false"/>
          <w:iCs w:val="false"/>
          <w:sz w:val="26"/>
          <w:szCs w:val="26"/>
        </w:rPr>
        <w:t xml:space="preserve">Neutral statement of the violation, the specific protection/right at stake, and the relief sought.</w:t>
      </w:r>
    </w:p>
    <w:p>
      <w:pPr>
        <w:pStyle w:val="Heading2"/>
        <w:spacing w:after="160" w:before="300"/>
      </w:pPr>
      <w:r>
        <w:rPr>
          <w:rFonts w:ascii="Times New Roman" w:cs="Times New Roman" w:eastAsia="Times New Roman" w:hAnsi="Times New Roman"/>
          <w:b/>
          <w:bCs/>
          <w:sz w:val="30"/>
          <w:szCs w:val="30"/>
        </w:rPr>
        <w:t xml:space="preserve">8. List of Dates and Events</w:t>
      </w:r>
    </w:p>
    <w:p>
      <w:pPr>
        <w:spacing w:after="160" w:line="360"/>
        <w:jc w:val="both"/>
      </w:pPr>
      <w:r>
        <w:rPr>
          <w:rFonts w:ascii="Times New Roman" w:cs="Times New Roman" w:eastAsia="Times New Roman" w:hAnsi="Times New Roman"/>
          <w:b w:val="false"/>
          <w:bCs w:val="false"/>
          <w:i w:val="false"/>
          <w:iCs w:val="false"/>
          <w:sz w:val="26"/>
          <w:szCs w:val="26"/>
        </w:rPr>
        <w:t xml:space="preserve">Date | Event — chronological, each entry cross-referenced to an annexure letter.</w:t>
      </w:r>
    </w:p>
    <w:p>
      <w:pPr>
        <w:pStyle w:val="Heading2"/>
        <w:spacing w:after="160" w:before="300"/>
      </w:pPr>
      <w:r>
        <w:rPr>
          <w:rFonts w:ascii="Times New Roman" w:cs="Times New Roman" w:eastAsia="Times New Roman" w:hAnsi="Times New Roman"/>
          <w:b/>
          <w:bCs/>
          <w:sz w:val="30"/>
          <w:szCs w:val="30"/>
        </w:rPr>
        <w:t xml:space="preserve">9. Parties</w:t>
      </w:r>
    </w:p>
    <w:p>
      <w:pPr>
        <w:spacing w:after="160" w:line="360"/>
        <w:jc w:val="both"/>
      </w:pPr>
      <w:r>
        <w:rPr>
          <w:rFonts w:ascii="Times New Roman" w:cs="Times New Roman" w:eastAsia="Times New Roman" w:hAnsi="Times New Roman"/>
          <w:b w:val="false"/>
          <w:bCs w:val="false"/>
          <w:i w:val="false"/>
          <w:iCs w:val="false"/>
          <w:sz w:val="26"/>
          <w:szCs w:val="26"/>
        </w:rPr>
        <w:t xml:space="preserve">Complainant and the person/entity whose act or omission is complained of.</w:t>
      </w:r>
    </w:p>
    <w:p>
      <w:pPr>
        <w:pStyle w:val="Heading2"/>
        <w:spacing w:after="160" w:before="300"/>
      </w:pPr>
      <w:r>
        <w:rPr>
          <w:rFonts w:ascii="Times New Roman" w:cs="Times New Roman" w:eastAsia="Times New Roman" w:hAnsi="Times New Roman"/>
          <w:b/>
          <w:bCs/>
          <w:sz w:val="30"/>
          <w:szCs w:val="30"/>
        </w:rPr>
        <w:t xml:space="preserve">10. Facts</w:t>
      </w:r>
    </w:p>
    <w:p>
      <w:pPr>
        <w:spacing w:after="160" w:line="360"/>
        <w:jc w:val="both"/>
      </w:pPr>
      <w:r>
        <w:rPr>
          <w:rFonts w:ascii="Times New Roman" w:cs="Times New Roman" w:eastAsia="Times New Roman" w:hAnsi="Times New Roman"/>
          <w:b w:val="false"/>
          <w:bCs w:val="false"/>
          <w:i w:val="false"/>
          <w:iCs w:val="false"/>
          <w:sz w:val="26"/>
          <w:szCs w:val="26"/>
        </w:rPr>
        <w:t xml:space="preserve">Chronological, numbered facts establishing the violation, cross-referenced to supporting evidence.</w:t>
      </w:r>
    </w:p>
    <w:p>
      <w:pPr>
        <w:pStyle w:val="Heading2"/>
        <w:spacing w:after="160" w:before="300"/>
      </w:pPr>
      <w:r>
        <w:rPr>
          <w:rFonts w:ascii="Times New Roman" w:cs="Times New Roman" w:eastAsia="Times New Roman" w:hAnsi="Times New Roman"/>
          <w:b/>
          <w:bCs/>
          <w:sz w:val="30"/>
          <w:szCs w:val="30"/>
        </w:rPr>
        <w:t xml:space="preserve">11. Questions / Issues for Determination</w:t>
      </w:r>
    </w:p>
    <w:p>
      <w:pPr>
        <w:pStyle w:val="ListParagraph"/>
        <w:numPr>
          <w:ilvl w:val="0"/>
          <w:numId w:val="3"/>
        </w:numPr>
        <w:spacing w:after="100" w:line="360"/>
      </w:pPr>
      <w:r>
        <w:rPr>
          <w:rFonts w:ascii="Times New Roman" w:cs="Times New Roman" w:eastAsia="Times New Roman" w:hAnsi="Times New Roman"/>
          <w:sz w:val="26"/>
          <w:szCs w:val="26"/>
        </w:rPr>
        <w:t xml:space="preserve">Whether the facts disclose a violation of a specific protection for women's rights</w:t>
      </w:r>
    </w:p>
    <w:p>
      <w:pPr>
        <w:pStyle w:val="ListParagraph"/>
        <w:numPr>
          <w:ilvl w:val="0"/>
          <w:numId w:val="3"/>
        </w:numPr>
        <w:spacing w:after="100" w:line="360"/>
      </w:pPr>
      <w:r>
        <w:rPr>
          <w:rFonts w:ascii="Times New Roman" w:cs="Times New Roman" w:eastAsia="Times New Roman" w:hAnsi="Times New Roman"/>
          <w:sz w:val="26"/>
          <w:szCs w:val="26"/>
        </w:rPr>
        <w:t xml:space="preserve">Whether a parallel statutory mechanism (ICC/Domestic Violence Act) has been engaged</w:t>
      </w:r>
    </w:p>
    <w:p>
      <w:pPr>
        <w:pStyle w:val="ListParagraph"/>
        <w:numPr>
          <w:ilvl w:val="0"/>
          <w:numId w:val="3"/>
        </w:numPr>
        <w:spacing w:after="100" w:line="360"/>
      </w:pPr>
      <w:r>
        <w:rPr>
          <w:rFonts w:ascii="Times New Roman" w:cs="Times New Roman" w:eastAsia="Times New Roman" w:hAnsi="Times New Roman"/>
          <w:sz w:val="26"/>
          <w:szCs w:val="26"/>
        </w:rPr>
        <w:t xml:space="preserve">The appropriate relief</w:t>
      </w:r>
    </w:p>
    <w:p>
      <w:pPr>
        <w:pStyle w:val="Heading2"/>
        <w:spacing w:after="160" w:before="300"/>
      </w:pPr>
      <w:r>
        <w:rPr>
          <w:rFonts w:ascii="Times New Roman" w:cs="Times New Roman" w:eastAsia="Times New Roman" w:hAnsi="Times New Roman"/>
          <w:b/>
          <w:bCs/>
          <w:sz w:val="30"/>
          <w:szCs w:val="30"/>
        </w:rPr>
        <w:t xml:space="preserve">12. Statutory Provisions Invoked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Statutory Provision</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National Commission for Women Act, 1990</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Sexual Harassment of Women at Workplace (Prevention, Prohibition and Redressal) Act, 2013 (if applicable)</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Protection of Women from Domestic Violence Act, 2005 (if applicable)</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13. Case-Law Citations</w:t>
      </w:r>
    </w:p>
    <w:p>
      <w:pPr>
        <w:spacing w:after="160" w:line="360"/>
        <w:jc w:val="both"/>
      </w:pPr>
      <w:r>
        <w:rPr>
          <w:rFonts w:ascii="Times New Roman" w:cs="Times New Roman" w:eastAsia="Times New Roman" w:hAnsi="Times New Roman"/>
          <w:b w:val="false"/>
          <w:bCs w:val="false"/>
          <w:i/>
          <w:iCs/>
          <w:sz w:val="26"/>
          <w:szCs w:val="26"/>
        </w:rPr>
        <w:t xml:space="preserve">The following are established, verifiable citations directly relevant to this instrument. Additional matter-specific case law should be added in the same tabular format; do not leave a case-law slot filled with an invented citation.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32"/>
        <w:gridCol w:w="60"/>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3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Case Citation</w:t>
            </w:r>
          </w:p>
        </w:tc>
        <w:tc>
          <w:tcPr>
            <w:tcW w:type="pct" w:w="60%"/>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Legal Proposition</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3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Vishaka v. State of Rajasthan, (1997) 6 SCC 241</w:t>
            </w:r>
          </w:p>
        </w:tc>
        <w:tc>
          <w:tcPr>
            <w:tcW w:type="pct" w:w="60%"/>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Laid down guidelines for prevention of sexual harassment at the workplace, subsequently codified in the Sexual Harassment of Women at Workplace Act, 2013, establishing the employer's obligation to provide a safe working environment and a mechanism for redressal.</w:t>
            </w:r>
          </w:p>
        </w:tc>
      </w:tr>
    </w:tbl>
    <w:p>
      <w:pPr>
        <w:pStyle w:val="Heading2"/>
        <w:spacing w:after="160" w:before="300"/>
      </w:pPr>
      <w:r>
        <w:rPr>
          <w:rFonts w:ascii="Times New Roman" w:cs="Times New Roman" w:eastAsia="Times New Roman" w:hAnsi="Times New Roman"/>
          <w:b/>
          <w:bCs/>
          <w:sz w:val="30"/>
          <w:szCs w:val="30"/>
        </w:rPr>
        <w:t xml:space="preserve">14. Grounds</w:t>
      </w:r>
    </w:p>
    <w:p>
      <w:pPr>
        <w:pStyle w:val="ListParagraph"/>
        <w:numPr>
          <w:ilvl w:val="0"/>
          <w:numId w:val="3"/>
        </w:numPr>
        <w:spacing w:after="100" w:line="360"/>
      </w:pPr>
      <w:r>
        <w:rPr>
          <w:rFonts w:ascii="Times New Roman" w:cs="Times New Roman" w:eastAsia="Times New Roman" w:hAnsi="Times New Roman"/>
          <w:sz w:val="26"/>
          <w:szCs w:val="26"/>
        </w:rPr>
        <w:t xml:space="preserve">Specific violation of a protection for women's rights established by evidence</w:t>
      </w:r>
    </w:p>
    <w:p>
      <w:pPr>
        <w:pStyle w:val="ListParagraph"/>
        <w:numPr>
          <w:ilvl w:val="0"/>
          <w:numId w:val="3"/>
        </w:numPr>
        <w:spacing w:after="100" w:line="360"/>
      </w:pPr>
      <w:r>
        <w:rPr>
          <w:rFonts w:ascii="Times New Roman" w:cs="Times New Roman" w:eastAsia="Times New Roman" w:hAnsi="Times New Roman"/>
          <w:sz w:val="26"/>
          <w:szCs w:val="26"/>
        </w:rPr>
        <w:t xml:space="preserve">Parallel statutory mechanism engaged where applicable</w:t>
      </w:r>
    </w:p>
    <w:p>
      <w:pPr>
        <w:pStyle w:val="Heading2"/>
        <w:spacing w:after="160" w:before="300"/>
      </w:pPr>
      <w:r>
        <w:rPr>
          <w:rFonts w:ascii="Times New Roman" w:cs="Times New Roman" w:eastAsia="Times New Roman" w:hAnsi="Times New Roman"/>
          <w:b/>
          <w:bCs/>
          <w:sz w:val="30"/>
          <w:szCs w:val="30"/>
        </w:rPr>
        <w:t xml:space="preserve">15. Interim Relief Sought</w:t>
      </w:r>
    </w:p>
    <w:p>
      <w:pPr>
        <w:spacing w:after="160" w:line="360"/>
        <w:jc w:val="both"/>
      </w:pPr>
      <w:r>
        <w:rPr>
          <w:rFonts w:ascii="Times New Roman" w:cs="Times New Roman" w:eastAsia="Times New Roman" w:hAnsi="Times New Roman"/>
          <w:b w:val="false"/>
          <w:bCs w:val="false"/>
          <w:i w:val="false"/>
          <w:iCs w:val="false"/>
          <w:sz w:val="26"/>
          <w:szCs w:val="26"/>
        </w:rPr>
        <w:t xml:space="preserve">State whether urgent interim protection (e.g., a direction to the employer/authority) is sought pending inquiry.</w:t>
      </w:r>
    </w:p>
    <w:p>
      <w:pPr>
        <w:pStyle w:val="Heading2"/>
        <w:spacing w:after="160" w:before="300"/>
      </w:pPr>
      <w:r>
        <w:rPr>
          <w:rFonts w:ascii="Times New Roman" w:cs="Times New Roman" w:eastAsia="Times New Roman" w:hAnsi="Times New Roman"/>
          <w:b/>
          <w:bCs/>
          <w:sz w:val="30"/>
          <w:szCs w:val="30"/>
        </w:rPr>
        <w:t xml:space="preserve">16. Main Prayer</w:t>
      </w:r>
    </w:p>
    <w:p>
      <w:pPr>
        <w:pStyle w:val="ListParagraph"/>
        <w:numPr>
          <w:ilvl w:val="0"/>
          <w:numId w:val="3"/>
        </w:numPr>
        <w:spacing w:after="100" w:line="360"/>
      </w:pPr>
      <w:r>
        <w:rPr>
          <w:rFonts w:ascii="Times New Roman" w:cs="Times New Roman" w:eastAsia="Times New Roman" w:hAnsi="Times New Roman"/>
          <w:sz w:val="26"/>
          <w:szCs w:val="26"/>
        </w:rPr>
        <w:t xml:space="preserve">Inquiry into the violation</w:t>
      </w:r>
    </w:p>
    <w:p>
      <w:pPr>
        <w:pStyle w:val="ListParagraph"/>
        <w:numPr>
          <w:ilvl w:val="0"/>
          <w:numId w:val="3"/>
        </w:numPr>
        <w:spacing w:after="100" w:line="360"/>
      </w:pPr>
      <w:r>
        <w:rPr>
          <w:rFonts w:ascii="Times New Roman" w:cs="Times New Roman" w:eastAsia="Times New Roman" w:hAnsi="Times New Roman"/>
          <w:sz w:val="26"/>
          <w:szCs w:val="26"/>
        </w:rPr>
        <w:t xml:space="preserve">Recommendation of appropriate action against the responsible person/entity</w:t>
      </w:r>
    </w:p>
    <w:p>
      <w:pPr>
        <w:pStyle w:val="ListParagraph"/>
        <w:numPr>
          <w:ilvl w:val="0"/>
          <w:numId w:val="3"/>
        </w:numPr>
        <w:spacing w:after="100" w:line="360"/>
      </w:pPr>
      <w:r>
        <w:rPr>
          <w:rFonts w:ascii="Times New Roman" w:cs="Times New Roman" w:eastAsia="Times New Roman" w:hAnsi="Times New Roman"/>
          <w:sz w:val="26"/>
          <w:szCs w:val="26"/>
        </w:rPr>
        <w:t xml:space="preserve">Recommendation for systemic/policy correction, if the violation reflects a broader pattern</w:t>
      </w:r>
    </w:p>
    <w:p>
      <w:pPr>
        <w:pStyle w:val="Heading2"/>
        <w:spacing w:after="160" w:before="300"/>
      </w:pPr>
      <w:r>
        <w:rPr>
          <w:rFonts w:ascii="Times New Roman" w:cs="Times New Roman" w:eastAsia="Times New Roman" w:hAnsi="Times New Roman"/>
          <w:b/>
          <w:bCs/>
          <w:sz w:val="30"/>
          <w:szCs w:val="30"/>
        </w:rPr>
        <w:t xml:space="preserve">17. Costs</w:t>
      </w:r>
    </w:p>
    <w:p>
      <w:pPr>
        <w:spacing w:after="160" w:line="360"/>
        <w:jc w:val="both"/>
      </w:pPr>
      <w:r>
        <w:rPr>
          <w:rFonts w:ascii="Times New Roman" w:cs="Times New Roman" w:eastAsia="Times New Roman" w:hAnsi="Times New Roman"/>
          <w:b w:val="false"/>
          <w:bCs w:val="false"/>
          <w:i w:val="false"/>
          <w:iCs w:val="false"/>
          <w:sz w:val="26"/>
          <w:szCs w:val="26"/>
        </w:rPr>
        <w:t xml:space="preserve">Costs of this proceeding be awarded to the Applicant/Complainant/Petitioner/Plaintiff as this Hon'ble Court/Forum deems fit.</w:t>
      </w:r>
    </w:p>
    <w:p>
      <w:pPr>
        <w:pStyle w:val="Heading2"/>
        <w:spacing w:after="160" w:before="300"/>
      </w:pPr>
      <w:r>
        <w:rPr>
          <w:rFonts w:ascii="Times New Roman" w:cs="Times New Roman" w:eastAsia="Times New Roman" w:hAnsi="Times New Roman"/>
          <w:b/>
          <w:bCs/>
          <w:sz w:val="30"/>
          <w:szCs w:val="30"/>
        </w:rPr>
        <w:t xml:space="preserve">18. Verification</w:t>
      </w:r>
    </w:p>
    <w:p>
      <w:pPr>
        <w:spacing w:after="160" w:line="360"/>
        <w:jc w:val="both"/>
      </w:pPr>
      <w:r>
        <w:rPr>
          <w:rFonts w:ascii="Times New Roman" w:cs="Times New Roman" w:eastAsia="Times New Roman" w:hAnsi="Times New Roman"/>
          <w:b w:val="false"/>
          <w:bCs w:val="false"/>
          <w:i w:val="false"/>
          <w:iCs w:val="false"/>
          <w:sz w:val="26"/>
          <w:szCs w:val="26"/>
        </w:rPr>
        <w:t xml:space="preserve">I, the party named above, do hereby verify that the contents of paragraphs __ to __ are true to my knowledge, paragraphs __ to __ are based on information received and believed to be true, and paragraphs __ to __ are based on legal advice, and nothing material has been concealed therefrom.</w:t>
      </w:r>
    </w:p>
    <w:p>
      <w:pPr>
        <w:pStyle w:val="Heading2"/>
        <w:spacing w:after="160" w:before="300"/>
      </w:pPr>
      <w:r>
        <w:rPr>
          <w:rFonts w:ascii="Times New Roman" w:cs="Times New Roman" w:eastAsia="Times New Roman" w:hAnsi="Times New Roman"/>
          <w:b/>
          <w:bCs/>
          <w:sz w:val="30"/>
          <w:szCs w:val="30"/>
        </w:rPr>
        <w:t xml:space="preserve">19. Affidavit</w:t>
      </w:r>
    </w:p>
    <w:p>
      <w:pPr>
        <w:spacing w:after="160" w:line="360"/>
        <w:jc w:val="both"/>
      </w:pPr>
      <w:r>
        <w:rPr>
          <w:rFonts w:ascii="Times New Roman" w:cs="Times New Roman" w:eastAsia="Times New Roman" w:hAnsi="Times New Roman"/>
          <w:b w:val="false"/>
          <w:bCs w:val="false"/>
          <w:i w:val="false"/>
          <w:iCs w:val="false"/>
          <w:sz w:val="26"/>
          <w:szCs w:val="26"/>
        </w:rPr>
        <w:t xml:space="preserve">Standard affidavit in support per Universal Affidavit Framework (Volume 1, UNI-02), sworn/affirmed before a Notary/Oath Commissioner, annexed as Annexure — Affidavit.</w:t>
      </w:r>
    </w:p>
    <w:p>
      <w:pPr>
        <w:pStyle w:val="Heading2"/>
        <w:spacing w:after="160" w:before="300"/>
      </w:pPr>
      <w:r>
        <w:rPr>
          <w:rFonts w:ascii="Times New Roman" w:cs="Times New Roman" w:eastAsia="Times New Roman" w:hAnsi="Times New Roman"/>
          <w:b/>
          <w:bCs/>
          <w:sz w:val="30"/>
          <w:szCs w:val="30"/>
        </w:rPr>
        <w:t xml:space="preserve">20. Annexure List</w:t>
      </w:r>
    </w:p>
    <w:p>
      <w:pPr>
        <w:spacing w:after="160" w:line="360"/>
        <w:jc w:val="both"/>
      </w:pPr>
      <w:r>
        <w:rPr>
          <w:rFonts w:ascii="Times New Roman" w:cs="Times New Roman" w:eastAsia="Times New Roman" w:hAnsi="Times New Roman"/>
          <w:b w:val="false"/>
          <w:bCs w:val="false"/>
          <w:i w:val="false"/>
          <w:iCs w:val="false"/>
          <w:sz w:val="26"/>
          <w:szCs w:val="26"/>
        </w:rPr>
        <w:t xml:space="preserve">Annexure A, B, C ... — each annexure indexed with a one-line description and page reference; maintain running alphabetical sequence across all filings in the matter.</w:t>
      </w:r>
    </w:p>
    <w:p>
      <w:pPr>
        <w:pStyle w:val="Heading2"/>
        <w:spacing w:after="160" w:before="300"/>
      </w:pPr>
      <w:r>
        <w:rPr>
          <w:rFonts w:ascii="Times New Roman" w:cs="Times New Roman" w:eastAsia="Times New Roman" w:hAnsi="Times New Roman"/>
          <w:b/>
          <w:bCs/>
          <w:sz w:val="30"/>
          <w:szCs w:val="30"/>
        </w:rPr>
        <w:t xml:space="preserve">21. Filing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w:t>
            </w:r>
          </w:p>
        </w:tc>
        <w:tc>
          <w:tcPr>
            <w:tcW w:type="pct" w:w="9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Filing Checklist Item</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Supporting evidence annexed and indexed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Status of any ICC complaint/Domestic Violence Act application annexed</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22. AI Review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w:t>
            </w:r>
          </w:p>
        </w:tc>
        <w:tc>
          <w:tcPr>
            <w:tcW w:type="pct" w:w="9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AI Review Item</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the specific right/protection violated is identified, not a general grievance</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any parallel statutory mechanism (ICC/protection order) is disclosed and its status stated</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23. Common Drafting Mistakes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Common Mistake</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General grievance narrative without identifying the specific statutory protection violated</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Bypassing the primary statutory mechanism (ICC complaint under POSH Act) without disclosure or explanation</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24. Claude Optimization Prompt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GENERATOR PROMPT —</w:t>
            </w:r>
          </w:p>
          <w:p>
            <w:pPr>
              <w:spacing w:line="300"/>
              <w:jc w:val="both"/>
            </w:pPr>
            <w:r>
              <w:rPr>
                <w:rFonts w:ascii="Times New Roman" w:cs="Times New Roman" w:eastAsia="Times New Roman" w:hAnsi="Times New Roman"/>
                <w:i/>
                <w:iCs/>
                <w:sz w:val="26"/>
                <w:szCs w:val="26"/>
              </w:rPr>
              <w:t xml:space="preserve">Draft a complaint to the National Commission for Women, alleging [specific violation] by [respondent], based on [facts]. State the status of any parallel ICC complaint or Domestic Violence Act application. Use only facts supplied by the user.</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25. Claude/GPT Reviewer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REVIEWER PROMPT —</w:t>
            </w:r>
          </w:p>
          <w:p>
            <w:pPr>
              <w:spacing w:line="300"/>
              <w:jc w:val="both"/>
            </w:pPr>
            <w:r>
              <w:rPr>
                <w:rFonts w:ascii="Times New Roman" w:cs="Times New Roman" w:eastAsia="Times New Roman" w:hAnsi="Times New Roman"/>
                <w:i/>
                <w:iCs/>
                <w:sz w:val="26"/>
                <w:szCs w:val="26"/>
              </w:rPr>
              <w:t xml:space="preserve">Review this NCW complaint to confirm the specific right/protection violated is identified and any parallel statutory mechanism is disclosed with its status.</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26. Senior Counsel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SENIOR COUNSEL PROMPT —</w:t>
            </w:r>
          </w:p>
          <w:p>
            <w:pPr>
              <w:spacing w:line="300"/>
              <w:jc w:val="both"/>
            </w:pPr>
            <w:r>
              <w:rPr>
                <w:rFonts w:ascii="Times New Roman" w:cs="Times New Roman" w:eastAsia="Times New Roman" w:hAnsi="Times New Roman"/>
                <w:i/>
                <w:iCs/>
                <w:sz w:val="26"/>
                <w:szCs w:val="26"/>
              </w:rPr>
              <w:t xml:space="preserve">Assess whether pursuing the primary statutory mechanism (ICC complaint, protection order application) in parallel with, or ahead of, the NCW complaint would better serve the complainant's immediate protective needs, given the NCW's predominantly recommendatory role.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SENIOR COUNSEL PROMPT — STANDING ADDENDUM —</w:t>
            </w:r>
          </w:p>
          <w:p>
            <w:pPr>
              <w:spacing w:line="300"/>
              <w:jc w:val="both"/>
            </w:pPr>
            <w:r>
              <w:rPr>
                <w:rFonts w:ascii="Times New Roman" w:cs="Times New Roman" w:eastAsia="Times New Roman" w:hAnsi="Times New Roman"/>
                <w:i/>
                <w:iCs/>
                <w:sz w:val="26"/>
                <w:szCs w:val="26"/>
              </w:rPr>
              <w:t xml:space="preserve">STANDING CHECKS (apply in every matter): (1) Cross-forum admission risk — where the user is running simultaneous or parallel proceedings on overlapping facts before different forums (e.g., a regulatory complaint alongside a civil suit, criminal proceeding, or another regulatory body), flag any factual characterization, admission, or relief sought in this document that could be used against the user's position in a parallel proceeding, or that could later be read as inconsistent with a position taken elsewhere. (2) Attesting-professional conflicts — flag if any notary, auditor, valuer, or other certifying professional named in the facts has a disclosed or reasonably inferable relationship (familial, financial, employment) to an opposing party, since this bears on the evidentiary weight of the attestation. (3) Killcritic enforcement — the final draft must contain no AI-hedging language, meta-commentary, or unnecessary disclaimers; remove phrases like 'it appears that' or 'this may suggest' unless the underlying fact is genuinely unconfirmed by the user, in which case use only the legally precise hedge ('alleged', 'prima facie', 'based on information and belief') rather than a generic qualifier.</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27. High Court Formatting Compliance Prompt</w:t>
      </w:r>
    </w:p>
    <w:p>
      <w:pPr>
        <w:spacing w:after="100" w:line="360"/>
        <w:jc w:val="both"/>
      </w:pPr>
      <w:r>
        <w:rPr>
          <w:rFonts w:ascii="Times New Roman" w:cs="Times New Roman" w:eastAsia="Times New Roman" w:hAnsi="Times New Roman"/>
          <w:b w:val="false"/>
          <w:bCs w:val="false"/>
          <w:i/>
          <w:iCs/>
          <w:sz w:val="26"/>
          <w:szCs w:val="26"/>
        </w:rPr>
        <w:t xml:space="preserve">Applies to every document produced from this template: Times New Roman 13pt, 1.5 line spacing, A4 page, 1.75-inch left/binding margin, 0.8-inch top/bottom/right margins, justified text, numbered paragraphs, centered page numbers in footer.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FORMATTING PROMPT —</w:t>
            </w:r>
          </w:p>
          <w:p>
            <w:pPr>
              <w:spacing w:line="300"/>
              <w:jc w:val="both"/>
            </w:pPr>
            <w:r>
              <w:rPr>
                <w:rFonts w:ascii="Times New Roman" w:cs="Times New Roman" w:eastAsia="Times New Roman" w:hAnsi="Times New Roman"/>
                <w:i/>
                <w:iCs/>
                <w:sz w:val="26"/>
                <w:szCs w:val="26"/>
              </w:rPr>
              <w:t xml:space="preserve">Format this document strictly in High Court filing format: font Times New Roman, size 13pt throughout (headings may be bold at the same size), line spacing 1.5, page size A4, left/binding margin 1.75 inches, top/bottom/right margins 0.8 inches each, text fully justified, paragraphs numbered consecutively, and page numbers centered in the footer. Do not use any other font, spacing, or margin configuration even if a template default suggests otherwise.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FORMATTING PROMPT — STANDING ADDENDUM —</w:t>
            </w:r>
          </w:p>
          <w:p>
            <w:pPr>
              <w:spacing w:line="300"/>
              <w:jc w:val="both"/>
            </w:pPr>
            <w:r>
              <w:rPr>
                <w:rFonts w:ascii="Times New Roman" w:cs="Times New Roman" w:eastAsia="Times New Roman" w:hAnsi="Times New Roman"/>
                <w:i/>
                <w:iCs/>
                <w:sz w:val="26"/>
                <w:szCs w:val="26"/>
              </w:rPr>
              <w:t xml:space="preserve">STANDING CHECKS (apply in every matter): (1) Forum-specific override — before applying this High Court format by default, confirm whether the actual receiving forum (e.g., a regulatory tribunal, portal-based e-filing system, consumer commission, or advertising body) has its own prescribed format, page-limit, or upload specification, and apply that instead where it differs. (2) International/embassy/UN submissions — where a document is intended for use abroad or before an international body, note that: India is a party to the Hague Apostille Convention, so documents for use in other member states should be apostilled rather than merely notarised; documents not in English require a certified translation; and international bodies typically expect single line spacing and no page-binding margin, so the High Court margin/spacing spec should not be applied to those documents — flag this distinction rather than silently carrying over Indian court formatting. (3) Self-represented litigant — do not assume a law-firm letterhead or advocate signature block; use the party's own name, address, and 'Party-in-Person' designation in the signature and service blocks.</w:t>
            </w:r>
          </w:p>
        </w:tc>
      </w:tr>
    </w:tbl>
    <w:p>
      <w:pPr>
        <w:pStyle w:val="Heading1"/>
        <w:pageBreakBefore/>
        <w:spacing w:after="160" w:before="300"/>
      </w:pPr>
      <w:r>
        <w:rPr>
          <w:rFonts w:ascii="Times New Roman" w:cs="Times New Roman" w:eastAsia="Times New Roman" w:hAnsi="Times New Roman"/>
          <w:b/>
          <w:bCs/>
          <w:sz w:val="30"/>
          <w:szCs w:val="30"/>
        </w:rPr>
        <w:t xml:space="preserve">Complaint to the National Commission for Protection of Child Rights (NCPCR)</w:t>
      </w:r>
    </w:p>
    <w:p>
      <w:pPr>
        <w:spacing w:after="60" w:line="360"/>
        <w:jc w:val="both"/>
      </w:pPr>
      <w:r>
        <w:rPr>
          <w:rFonts w:ascii="Times New Roman" w:cs="Times New Roman" w:eastAsia="Times New Roman" w:hAnsi="Times New Roman"/>
          <w:b w:val="false"/>
          <w:bCs w:val="false"/>
          <w:i/>
          <w:iCs/>
          <w:sz w:val="26"/>
          <w:szCs w:val="26"/>
        </w:rPr>
        <w:t xml:space="preserve">Template Code: HR-06</w:t>
      </w:r>
    </w:p>
    <w:p>
      <w:pPr>
        <w:spacing w:after="240" w:line="360"/>
        <w:jc w:val="both"/>
      </w:pPr>
      <w:r>
        <w:rPr>
          <w:rFonts w:ascii="Times New Roman" w:cs="Times New Roman" w:eastAsia="Times New Roman" w:hAnsi="Times New Roman"/>
          <w:b w:val="false"/>
          <w:bCs w:val="false"/>
          <w:i/>
          <w:iCs/>
          <w:sz w:val="26"/>
          <w:szCs w:val="26"/>
        </w:rPr>
        <w:t xml:space="preserve">Applicable Volume Cross-Reference: Uses the same architecture as HR-01, filed under the Commissions for Protection of Child Rights Act, 2005.</w:t>
      </w:r>
    </w:p>
    <w:p>
      <w:pPr>
        <w:pStyle w:val="Heading2"/>
        <w:spacing w:after="160" w:before="300"/>
      </w:pPr>
      <w:r>
        <w:rPr>
          <w:rFonts w:ascii="Times New Roman" w:cs="Times New Roman" w:eastAsia="Times New Roman" w:hAnsi="Times New Roman"/>
          <w:b/>
          <w:bCs/>
          <w:sz w:val="30"/>
          <w:szCs w:val="30"/>
        </w:rPr>
        <w:t xml:space="preserve">1. AI Drafting Instructions</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Confirm the complainant is acting in the best interest of the child and has appropriate standing (parent, guardian, or a person/organisation acting for the child's welfare) — the child's own direct participation should be handled with particular sensitivity and, where possible, through an appropriate adult representative.</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Where the complaint concerns a school, childcare institution, or juvenile justice facility, cite the specific statutory child-protection obligation violated (e.g., under the Juvenile Justice Act, the RTE Act, or the POCSO Act, as applicable) rather than a general child-welfare grievance.</w:t>
      </w:r>
    </w:p>
    <w:p>
      <w:pPr>
        <w:pStyle w:val="Heading2"/>
        <w:spacing w:after="160" w:before="300"/>
      </w:pPr>
      <w:r>
        <w:rPr>
          <w:rFonts w:ascii="Times New Roman" w:cs="Times New Roman" w:eastAsia="Times New Roman" w:hAnsi="Times New Roman"/>
          <w:b/>
          <w:bCs/>
          <w:sz w:val="30"/>
          <w:szCs w:val="30"/>
        </w:rPr>
        <w:t xml:space="preserve">2. Governing Law</w:t>
      </w:r>
    </w:p>
    <w:p>
      <w:pPr>
        <w:spacing w:after="160" w:line="360"/>
        <w:jc w:val="both"/>
      </w:pPr>
      <w:r>
        <w:rPr>
          <w:rFonts w:ascii="Times New Roman" w:cs="Times New Roman" w:eastAsia="Times New Roman" w:hAnsi="Times New Roman"/>
          <w:b w:val="false"/>
          <w:bCs w:val="false"/>
          <w:i w:val="false"/>
          <w:iCs w:val="false"/>
          <w:sz w:val="26"/>
          <w:szCs w:val="26"/>
        </w:rPr>
        <w:t xml:space="preserve">Commissions for Protection of Child Rights Act, 2005; the specific substantive child-protection statute violated (e.g., Juvenile Justice (Care and Protection of Children) Act, 2015; Right of Children to Free and Compulsory Education Act, 2009; Protection of Children from Sexual Offences Act, 2012).</w:t>
      </w:r>
    </w:p>
    <w:p>
      <w:pPr>
        <w:pStyle w:val="Heading2"/>
        <w:spacing w:after="160" w:before="300"/>
      </w:pPr>
      <w:r>
        <w:rPr>
          <w:rFonts w:ascii="Times New Roman" w:cs="Times New Roman" w:eastAsia="Times New Roman" w:hAnsi="Times New Roman"/>
          <w:b/>
          <w:bCs/>
          <w:sz w:val="30"/>
          <w:szCs w:val="30"/>
        </w:rPr>
        <w:t xml:space="preserve">3. Jurisdiction</w:t>
      </w:r>
    </w:p>
    <w:p>
      <w:pPr>
        <w:spacing w:after="160" w:line="360"/>
        <w:jc w:val="both"/>
      </w:pPr>
      <w:r>
        <w:rPr>
          <w:rFonts w:ascii="Times New Roman" w:cs="Times New Roman" w:eastAsia="Times New Roman" w:hAnsi="Times New Roman"/>
          <w:b w:val="false"/>
          <w:bCs w:val="false"/>
          <w:i w:val="false"/>
          <w:iCs w:val="false"/>
          <w:sz w:val="26"/>
          <w:szCs w:val="26"/>
        </w:rPr>
        <w:t xml:space="preserve">The National Commission for Protection of Child Rights (or the corresponding State Commission for Protection of Child Rights, for state-level matters).</w:t>
      </w:r>
    </w:p>
    <w:p>
      <w:pPr>
        <w:pStyle w:val="Heading2"/>
        <w:spacing w:after="160" w:before="300"/>
      </w:pPr>
      <w:r>
        <w:rPr>
          <w:rFonts w:ascii="Times New Roman" w:cs="Times New Roman" w:eastAsia="Times New Roman" w:hAnsi="Times New Roman"/>
          <w:b/>
          <w:bCs/>
          <w:sz w:val="30"/>
          <w:szCs w:val="30"/>
        </w:rPr>
        <w:t xml:space="preserve">4. Mandatory Ingredients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Mandatory Ingredient</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The child's identity (protected/anonymised as appropriate) and the complainant's standing to act on the child's behalf</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The specific statutory child-protection obligation violated</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Facts establishing the violation</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5. Cause Title Format</w:t>
      </w:r>
    </w:p>
    <w:p>
      <w:pPr>
        <w:spacing w:after="160" w:line="360"/>
        <w:jc w:val="both"/>
      </w:pPr>
      <w:r>
        <w:rPr>
          <w:rFonts w:ascii="Times New Roman" w:cs="Times New Roman" w:eastAsia="Times New Roman" w:hAnsi="Times New Roman"/>
          <w:b w:val="false"/>
          <w:bCs w:val="false"/>
          <w:i w:val="false"/>
          <w:iCs w:val="false"/>
          <w:sz w:val="26"/>
          <w:szCs w:val="26"/>
        </w:rPr>
        <w:t xml:space="preserve">TO THE NATIONAL/STATE COMMISSION FOR PROTECTION OF CHILD RIGHTS / COMPLAINT UNDER THE COMMISSIONS FOR PROTECTION OF CHILD RIGHTS ACT, 2005</w:t>
      </w:r>
    </w:p>
    <w:p>
      <w:pPr>
        <w:pStyle w:val="Heading2"/>
        <w:spacing w:after="160" w:before="300"/>
      </w:pPr>
      <w:r>
        <w:rPr>
          <w:rFonts w:ascii="Times New Roman" w:cs="Times New Roman" w:eastAsia="Times New Roman" w:hAnsi="Times New Roman"/>
          <w:b/>
          <w:bCs/>
          <w:sz w:val="30"/>
          <w:szCs w:val="30"/>
        </w:rPr>
        <w:t xml:space="preserve">6. Index (Standard Format)</w:t>
      </w:r>
    </w:p>
    <w:p>
      <w:pPr>
        <w:spacing w:after="160" w:line="360"/>
        <w:jc w:val="both"/>
      </w:pPr>
      <w:r>
        <w:rPr>
          <w:rFonts w:ascii="Times New Roman" w:cs="Times New Roman" w:eastAsia="Times New Roman" w:hAnsi="Times New Roman"/>
          <w:b w:val="false"/>
          <w:bCs w:val="false"/>
          <w:i w:val="false"/>
          <w:iCs w:val="false"/>
          <w:sz w:val="26"/>
          <w:szCs w:val="26"/>
        </w:rPr>
        <w:t xml:space="preserve">Sr. No. | Particulars | Page No. — tabulate all annexures and pleadings chronologically.</w:t>
      </w:r>
    </w:p>
    <w:p>
      <w:pPr>
        <w:pStyle w:val="Heading2"/>
        <w:spacing w:after="160" w:before="300"/>
      </w:pPr>
      <w:r>
        <w:rPr>
          <w:rFonts w:ascii="Times New Roman" w:cs="Times New Roman" w:eastAsia="Times New Roman" w:hAnsi="Times New Roman"/>
          <w:b/>
          <w:bCs/>
          <w:sz w:val="30"/>
          <w:szCs w:val="30"/>
        </w:rPr>
        <w:t xml:space="preserve">7. Synopsis</w:t>
      </w:r>
    </w:p>
    <w:p>
      <w:pPr>
        <w:spacing w:after="160" w:line="360"/>
        <w:jc w:val="both"/>
      </w:pPr>
      <w:r>
        <w:rPr>
          <w:rFonts w:ascii="Times New Roman" w:cs="Times New Roman" w:eastAsia="Times New Roman" w:hAnsi="Times New Roman"/>
          <w:b w:val="false"/>
          <w:bCs w:val="false"/>
          <w:i w:val="false"/>
          <w:iCs w:val="false"/>
          <w:sz w:val="26"/>
          <w:szCs w:val="26"/>
        </w:rPr>
        <w:t xml:space="preserve">Neutral statement of the violation, the specific child-protection obligation at stake, and the relief sought.</w:t>
      </w:r>
    </w:p>
    <w:p>
      <w:pPr>
        <w:pStyle w:val="Heading2"/>
        <w:spacing w:after="160" w:before="300"/>
      </w:pPr>
      <w:r>
        <w:rPr>
          <w:rFonts w:ascii="Times New Roman" w:cs="Times New Roman" w:eastAsia="Times New Roman" w:hAnsi="Times New Roman"/>
          <w:b/>
          <w:bCs/>
          <w:sz w:val="30"/>
          <w:szCs w:val="30"/>
        </w:rPr>
        <w:t xml:space="preserve">8. List of Dates and Events</w:t>
      </w:r>
    </w:p>
    <w:p>
      <w:pPr>
        <w:spacing w:after="160" w:line="360"/>
        <w:jc w:val="both"/>
      </w:pPr>
      <w:r>
        <w:rPr>
          <w:rFonts w:ascii="Times New Roman" w:cs="Times New Roman" w:eastAsia="Times New Roman" w:hAnsi="Times New Roman"/>
          <w:b w:val="false"/>
          <w:bCs w:val="false"/>
          <w:i w:val="false"/>
          <w:iCs w:val="false"/>
          <w:sz w:val="26"/>
          <w:szCs w:val="26"/>
        </w:rPr>
        <w:t xml:space="preserve">Date | Event — chronological, each entry cross-referenced to an annexure letter.</w:t>
      </w:r>
    </w:p>
    <w:p>
      <w:pPr>
        <w:pStyle w:val="Heading2"/>
        <w:spacing w:after="160" w:before="300"/>
      </w:pPr>
      <w:r>
        <w:rPr>
          <w:rFonts w:ascii="Times New Roman" w:cs="Times New Roman" w:eastAsia="Times New Roman" w:hAnsi="Times New Roman"/>
          <w:b/>
          <w:bCs/>
          <w:sz w:val="30"/>
          <w:szCs w:val="30"/>
        </w:rPr>
        <w:t xml:space="preserve">9. Parties</w:t>
      </w:r>
    </w:p>
    <w:p>
      <w:pPr>
        <w:spacing w:after="160" w:line="360"/>
        <w:jc w:val="both"/>
      </w:pPr>
      <w:r>
        <w:rPr>
          <w:rFonts w:ascii="Times New Roman" w:cs="Times New Roman" w:eastAsia="Times New Roman" w:hAnsi="Times New Roman"/>
          <w:b w:val="false"/>
          <w:bCs w:val="false"/>
          <w:i w:val="false"/>
          <w:iCs w:val="false"/>
          <w:sz w:val="26"/>
          <w:szCs w:val="26"/>
        </w:rPr>
        <w:t xml:space="preserve">Complainant (parent/guardian/person or organisation acting for the child's welfare) and the person/institution whose act or omission is complained of.</w:t>
      </w:r>
    </w:p>
    <w:p>
      <w:pPr>
        <w:pStyle w:val="Heading2"/>
        <w:spacing w:after="160" w:before="300"/>
      </w:pPr>
      <w:r>
        <w:rPr>
          <w:rFonts w:ascii="Times New Roman" w:cs="Times New Roman" w:eastAsia="Times New Roman" w:hAnsi="Times New Roman"/>
          <w:b/>
          <w:bCs/>
          <w:sz w:val="30"/>
          <w:szCs w:val="30"/>
        </w:rPr>
        <w:t xml:space="preserve">10. Facts</w:t>
      </w:r>
    </w:p>
    <w:p>
      <w:pPr>
        <w:spacing w:after="160" w:line="360"/>
        <w:jc w:val="both"/>
      </w:pPr>
      <w:r>
        <w:rPr>
          <w:rFonts w:ascii="Times New Roman" w:cs="Times New Roman" w:eastAsia="Times New Roman" w:hAnsi="Times New Roman"/>
          <w:b w:val="false"/>
          <w:bCs w:val="false"/>
          <w:i w:val="false"/>
          <w:iCs w:val="false"/>
          <w:sz w:val="26"/>
          <w:szCs w:val="26"/>
        </w:rPr>
        <w:t xml:space="preserve">Chronological, numbered facts establishing the violation, with the child's identity handled sensitively and cross-referenced to supporting evidence.</w:t>
      </w:r>
    </w:p>
    <w:p>
      <w:pPr>
        <w:pStyle w:val="Heading2"/>
        <w:spacing w:after="160" w:before="300"/>
      </w:pPr>
      <w:r>
        <w:rPr>
          <w:rFonts w:ascii="Times New Roman" w:cs="Times New Roman" w:eastAsia="Times New Roman" w:hAnsi="Times New Roman"/>
          <w:b/>
          <w:bCs/>
          <w:sz w:val="30"/>
          <w:szCs w:val="30"/>
        </w:rPr>
        <w:t xml:space="preserve">11. Questions / Issues for Determination</w:t>
      </w:r>
    </w:p>
    <w:p>
      <w:pPr>
        <w:pStyle w:val="ListParagraph"/>
        <w:numPr>
          <w:ilvl w:val="0"/>
          <w:numId w:val="3"/>
        </w:numPr>
        <w:spacing w:after="100" w:line="360"/>
      </w:pPr>
      <w:r>
        <w:rPr>
          <w:rFonts w:ascii="Times New Roman" w:cs="Times New Roman" w:eastAsia="Times New Roman" w:hAnsi="Times New Roman"/>
          <w:sz w:val="26"/>
          <w:szCs w:val="26"/>
        </w:rPr>
        <w:t xml:space="preserve">Whether the facts disclose a violation of a specific child-protection statute</w:t>
      </w:r>
    </w:p>
    <w:p>
      <w:pPr>
        <w:pStyle w:val="ListParagraph"/>
        <w:numPr>
          <w:ilvl w:val="0"/>
          <w:numId w:val="3"/>
        </w:numPr>
        <w:spacing w:after="100" w:line="360"/>
      </w:pPr>
      <w:r>
        <w:rPr>
          <w:rFonts w:ascii="Times New Roman" w:cs="Times New Roman" w:eastAsia="Times New Roman" w:hAnsi="Times New Roman"/>
          <w:sz w:val="26"/>
          <w:szCs w:val="26"/>
        </w:rPr>
        <w:t xml:space="preserve">Whether the complainant has appropriate standing to act on the child's behalf</w:t>
      </w:r>
    </w:p>
    <w:p>
      <w:pPr>
        <w:pStyle w:val="ListParagraph"/>
        <w:numPr>
          <w:ilvl w:val="0"/>
          <w:numId w:val="3"/>
        </w:numPr>
        <w:spacing w:after="100" w:line="360"/>
      </w:pPr>
      <w:r>
        <w:rPr>
          <w:rFonts w:ascii="Times New Roman" w:cs="Times New Roman" w:eastAsia="Times New Roman" w:hAnsi="Times New Roman"/>
          <w:sz w:val="26"/>
          <w:szCs w:val="26"/>
        </w:rPr>
        <w:t xml:space="preserve">The appropriate relief, prioritising the child's best interest</w:t>
      </w:r>
    </w:p>
    <w:p>
      <w:pPr>
        <w:pStyle w:val="Heading2"/>
        <w:spacing w:after="160" w:before="300"/>
      </w:pPr>
      <w:r>
        <w:rPr>
          <w:rFonts w:ascii="Times New Roman" w:cs="Times New Roman" w:eastAsia="Times New Roman" w:hAnsi="Times New Roman"/>
          <w:b/>
          <w:bCs/>
          <w:sz w:val="30"/>
          <w:szCs w:val="30"/>
        </w:rPr>
        <w:t xml:space="preserve">12. Statutory Provisions Invoked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Statutory Provision</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Commissions for Protection of Child Rights Act, 2005</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The specific substantive child-protection statute violated</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13. Case-Law Citations</w:t>
      </w:r>
    </w:p>
    <w:p>
      <w:pPr>
        <w:spacing w:after="160" w:line="360"/>
        <w:jc w:val="both"/>
      </w:pPr>
      <w:r>
        <w:rPr>
          <w:rFonts w:ascii="Times New Roman" w:cs="Times New Roman" w:eastAsia="Times New Roman" w:hAnsi="Times New Roman"/>
          <w:b w:val="false"/>
          <w:bCs w:val="false"/>
          <w:i/>
          <w:iCs/>
          <w:sz w:val="26"/>
          <w:szCs w:val="26"/>
        </w:rPr>
        <w:t xml:space="preserve">The following are established, verifiable citations directly relevant to this instrument. Additional matter-specific case law should be added in the same tabular format; do not leave a case-law slot filled with an invented citation.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32"/>
        <w:gridCol w:w="60"/>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3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Case Citation</w:t>
            </w:r>
          </w:p>
        </w:tc>
        <w:tc>
          <w:tcPr>
            <w:tcW w:type="pct" w:w="60%"/>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Legal Proposition</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3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Sampurna Behura v. Union of India, (2018) 4 SCC 433</w:t>
            </w:r>
          </w:p>
        </w:tc>
        <w:tc>
          <w:tcPr>
            <w:tcW w:type="pct" w:w="60%"/>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Directed comprehensive implementation of child protection mechanisms under the Juvenile Justice Act and related statutes, underscoring the state's affirmative obligation to ensure functioning Child Welfare Committees and protective infrastructure, relevant background for complaints alleging institutional failure in child protection.</w:t>
            </w:r>
          </w:p>
        </w:tc>
      </w:tr>
    </w:tbl>
    <w:p>
      <w:pPr>
        <w:pStyle w:val="Heading2"/>
        <w:spacing w:after="160" w:before="300"/>
      </w:pPr>
      <w:r>
        <w:rPr>
          <w:rFonts w:ascii="Times New Roman" w:cs="Times New Roman" w:eastAsia="Times New Roman" w:hAnsi="Times New Roman"/>
          <w:b/>
          <w:bCs/>
          <w:sz w:val="30"/>
          <w:szCs w:val="30"/>
        </w:rPr>
        <w:t xml:space="preserve">14. Grounds</w:t>
      </w:r>
    </w:p>
    <w:p>
      <w:pPr>
        <w:pStyle w:val="ListParagraph"/>
        <w:numPr>
          <w:ilvl w:val="0"/>
          <w:numId w:val="3"/>
        </w:numPr>
        <w:spacing w:after="100" w:line="360"/>
      </w:pPr>
      <w:r>
        <w:rPr>
          <w:rFonts w:ascii="Times New Roman" w:cs="Times New Roman" w:eastAsia="Times New Roman" w:hAnsi="Times New Roman"/>
          <w:sz w:val="26"/>
          <w:szCs w:val="26"/>
        </w:rPr>
        <w:t xml:space="preserve">Specific violation of a child-protection statute established by evidence</w:t>
      </w:r>
    </w:p>
    <w:p>
      <w:pPr>
        <w:pStyle w:val="ListParagraph"/>
        <w:numPr>
          <w:ilvl w:val="0"/>
          <w:numId w:val="3"/>
        </w:numPr>
        <w:spacing w:after="100" w:line="360"/>
      </w:pPr>
      <w:r>
        <w:rPr>
          <w:rFonts w:ascii="Times New Roman" w:cs="Times New Roman" w:eastAsia="Times New Roman" w:hAnsi="Times New Roman"/>
          <w:sz w:val="26"/>
          <w:szCs w:val="26"/>
        </w:rPr>
        <w:t xml:space="preserve">Complainant's standing to act on the child's behalf established</w:t>
      </w:r>
    </w:p>
    <w:p>
      <w:pPr>
        <w:pStyle w:val="Heading2"/>
        <w:spacing w:after="160" w:before="300"/>
      </w:pPr>
      <w:r>
        <w:rPr>
          <w:rFonts w:ascii="Times New Roman" w:cs="Times New Roman" w:eastAsia="Times New Roman" w:hAnsi="Times New Roman"/>
          <w:b/>
          <w:bCs/>
          <w:sz w:val="30"/>
          <w:szCs w:val="30"/>
        </w:rPr>
        <w:t xml:space="preserve">15. Interim Relief Sought</w:t>
      </w:r>
    </w:p>
    <w:p>
      <w:pPr>
        <w:spacing w:after="160" w:line="360"/>
        <w:jc w:val="both"/>
      </w:pPr>
      <w:r>
        <w:rPr>
          <w:rFonts w:ascii="Times New Roman" w:cs="Times New Roman" w:eastAsia="Times New Roman" w:hAnsi="Times New Roman"/>
          <w:b w:val="false"/>
          <w:bCs w:val="false"/>
          <w:i w:val="false"/>
          <w:iCs w:val="false"/>
          <w:sz w:val="26"/>
          <w:szCs w:val="26"/>
        </w:rPr>
        <w:t xml:space="preserve">State whether urgent interim protective measures for the child (removal from an unsafe environment, medical/psychological support) are sought pending inquiry.</w:t>
      </w:r>
    </w:p>
    <w:p>
      <w:pPr>
        <w:pStyle w:val="Heading2"/>
        <w:spacing w:after="160" w:before="300"/>
      </w:pPr>
      <w:r>
        <w:rPr>
          <w:rFonts w:ascii="Times New Roman" w:cs="Times New Roman" w:eastAsia="Times New Roman" w:hAnsi="Times New Roman"/>
          <w:b/>
          <w:bCs/>
          <w:sz w:val="30"/>
          <w:szCs w:val="30"/>
        </w:rPr>
        <w:t xml:space="preserve">16. Main Prayer</w:t>
      </w:r>
    </w:p>
    <w:p>
      <w:pPr>
        <w:pStyle w:val="ListParagraph"/>
        <w:numPr>
          <w:ilvl w:val="0"/>
          <w:numId w:val="3"/>
        </w:numPr>
        <w:spacing w:after="100" w:line="360"/>
      </w:pPr>
      <w:r>
        <w:rPr>
          <w:rFonts w:ascii="Times New Roman" w:cs="Times New Roman" w:eastAsia="Times New Roman" w:hAnsi="Times New Roman"/>
          <w:sz w:val="26"/>
          <w:szCs w:val="26"/>
        </w:rPr>
        <w:t xml:space="preserve">Inquiry into the violation</w:t>
      </w:r>
    </w:p>
    <w:p>
      <w:pPr>
        <w:pStyle w:val="ListParagraph"/>
        <w:numPr>
          <w:ilvl w:val="0"/>
          <w:numId w:val="3"/>
        </w:numPr>
        <w:spacing w:after="100" w:line="360"/>
      </w:pPr>
      <w:r>
        <w:rPr>
          <w:rFonts w:ascii="Times New Roman" w:cs="Times New Roman" w:eastAsia="Times New Roman" w:hAnsi="Times New Roman"/>
          <w:sz w:val="26"/>
          <w:szCs w:val="26"/>
        </w:rPr>
        <w:t xml:space="preserve">Recommendation of protective/corrective measures for the child</w:t>
      </w:r>
    </w:p>
    <w:p>
      <w:pPr>
        <w:pStyle w:val="ListParagraph"/>
        <w:numPr>
          <w:ilvl w:val="0"/>
          <w:numId w:val="3"/>
        </w:numPr>
        <w:spacing w:after="100" w:line="360"/>
      </w:pPr>
      <w:r>
        <w:rPr>
          <w:rFonts w:ascii="Times New Roman" w:cs="Times New Roman" w:eastAsia="Times New Roman" w:hAnsi="Times New Roman"/>
          <w:sz w:val="26"/>
          <w:szCs w:val="26"/>
        </w:rPr>
        <w:t xml:space="preserve">Recommendation of action against the responsible person/institution</w:t>
      </w:r>
    </w:p>
    <w:p>
      <w:pPr>
        <w:pStyle w:val="Heading2"/>
        <w:spacing w:after="160" w:before="300"/>
      </w:pPr>
      <w:r>
        <w:rPr>
          <w:rFonts w:ascii="Times New Roman" w:cs="Times New Roman" w:eastAsia="Times New Roman" w:hAnsi="Times New Roman"/>
          <w:b/>
          <w:bCs/>
          <w:sz w:val="30"/>
          <w:szCs w:val="30"/>
        </w:rPr>
        <w:t xml:space="preserve">17. Costs</w:t>
      </w:r>
    </w:p>
    <w:p>
      <w:pPr>
        <w:spacing w:after="160" w:line="360"/>
        <w:jc w:val="both"/>
      </w:pPr>
      <w:r>
        <w:rPr>
          <w:rFonts w:ascii="Times New Roman" w:cs="Times New Roman" w:eastAsia="Times New Roman" w:hAnsi="Times New Roman"/>
          <w:b w:val="false"/>
          <w:bCs w:val="false"/>
          <w:i w:val="false"/>
          <w:iCs w:val="false"/>
          <w:sz w:val="26"/>
          <w:szCs w:val="26"/>
        </w:rPr>
        <w:t xml:space="preserve">Costs of this proceeding be awarded to the Applicant/Complainant/Petitioner/Plaintiff as this Hon'ble Court/Forum deems fit.</w:t>
      </w:r>
    </w:p>
    <w:p>
      <w:pPr>
        <w:pStyle w:val="Heading2"/>
        <w:spacing w:after="160" w:before="300"/>
      </w:pPr>
      <w:r>
        <w:rPr>
          <w:rFonts w:ascii="Times New Roman" w:cs="Times New Roman" w:eastAsia="Times New Roman" w:hAnsi="Times New Roman"/>
          <w:b/>
          <w:bCs/>
          <w:sz w:val="30"/>
          <w:szCs w:val="30"/>
        </w:rPr>
        <w:t xml:space="preserve">18. Verification</w:t>
      </w:r>
    </w:p>
    <w:p>
      <w:pPr>
        <w:spacing w:after="160" w:line="360"/>
        <w:jc w:val="both"/>
      </w:pPr>
      <w:r>
        <w:rPr>
          <w:rFonts w:ascii="Times New Roman" w:cs="Times New Roman" w:eastAsia="Times New Roman" w:hAnsi="Times New Roman"/>
          <w:b w:val="false"/>
          <w:bCs w:val="false"/>
          <w:i w:val="false"/>
          <w:iCs w:val="false"/>
          <w:sz w:val="26"/>
          <w:szCs w:val="26"/>
        </w:rPr>
        <w:t xml:space="preserve">I, the party named above, do hereby verify that the contents of paragraphs __ to __ are true to my knowledge, paragraphs __ to __ are based on information received and believed to be true, and paragraphs __ to __ are based on legal advice, and nothing material has been concealed therefrom.</w:t>
      </w:r>
    </w:p>
    <w:p>
      <w:pPr>
        <w:pStyle w:val="Heading2"/>
        <w:spacing w:after="160" w:before="300"/>
      </w:pPr>
      <w:r>
        <w:rPr>
          <w:rFonts w:ascii="Times New Roman" w:cs="Times New Roman" w:eastAsia="Times New Roman" w:hAnsi="Times New Roman"/>
          <w:b/>
          <w:bCs/>
          <w:sz w:val="30"/>
          <w:szCs w:val="30"/>
        </w:rPr>
        <w:t xml:space="preserve">19. Affidavit</w:t>
      </w:r>
    </w:p>
    <w:p>
      <w:pPr>
        <w:spacing w:after="160" w:line="360"/>
        <w:jc w:val="both"/>
      </w:pPr>
      <w:r>
        <w:rPr>
          <w:rFonts w:ascii="Times New Roman" w:cs="Times New Roman" w:eastAsia="Times New Roman" w:hAnsi="Times New Roman"/>
          <w:b w:val="false"/>
          <w:bCs w:val="false"/>
          <w:i w:val="false"/>
          <w:iCs w:val="false"/>
          <w:sz w:val="26"/>
          <w:szCs w:val="26"/>
        </w:rPr>
        <w:t xml:space="preserve">Standard affidavit in support per Universal Affidavit Framework (Volume 1, UNI-02), sworn/affirmed before a Notary/Oath Commissioner, annexed as Annexure — Affidavit.</w:t>
      </w:r>
    </w:p>
    <w:p>
      <w:pPr>
        <w:pStyle w:val="Heading2"/>
        <w:spacing w:after="160" w:before="300"/>
      </w:pPr>
      <w:r>
        <w:rPr>
          <w:rFonts w:ascii="Times New Roman" w:cs="Times New Roman" w:eastAsia="Times New Roman" w:hAnsi="Times New Roman"/>
          <w:b/>
          <w:bCs/>
          <w:sz w:val="30"/>
          <w:szCs w:val="30"/>
        </w:rPr>
        <w:t xml:space="preserve">20. Annexure List</w:t>
      </w:r>
    </w:p>
    <w:p>
      <w:pPr>
        <w:spacing w:after="160" w:line="360"/>
        <w:jc w:val="both"/>
      </w:pPr>
      <w:r>
        <w:rPr>
          <w:rFonts w:ascii="Times New Roman" w:cs="Times New Roman" w:eastAsia="Times New Roman" w:hAnsi="Times New Roman"/>
          <w:b w:val="false"/>
          <w:bCs w:val="false"/>
          <w:i w:val="false"/>
          <w:iCs w:val="false"/>
          <w:sz w:val="26"/>
          <w:szCs w:val="26"/>
        </w:rPr>
        <w:t xml:space="preserve">Annexure A, B, C ... — each annexure indexed with a one-line description and page reference; maintain running alphabetical sequence across all filings in the matter.</w:t>
      </w:r>
    </w:p>
    <w:p>
      <w:pPr>
        <w:pStyle w:val="Heading2"/>
        <w:spacing w:after="160" w:before="300"/>
      </w:pPr>
      <w:r>
        <w:rPr>
          <w:rFonts w:ascii="Times New Roman" w:cs="Times New Roman" w:eastAsia="Times New Roman" w:hAnsi="Times New Roman"/>
          <w:b/>
          <w:bCs/>
          <w:sz w:val="30"/>
          <w:szCs w:val="30"/>
        </w:rPr>
        <w:t xml:space="preserve">21. Filing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w:t>
            </w:r>
          </w:p>
        </w:tc>
        <w:tc>
          <w:tcPr>
            <w:tcW w:type="pct" w:w="9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Filing Checklist Item</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Supporting evidence annexed, with the child's identity handled sensitively per applicable confidentiality norms</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Complainant's standing documentation (parent/guardian/authorised representative) annexed</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22. AI Review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w:t>
            </w:r>
          </w:p>
        </w:tc>
        <w:tc>
          <w:tcPr>
            <w:tcW w:type="pct" w:w="9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AI Review Item</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the complainant's standing to act on the child's behalf is established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the specific child-protection statute violated is identified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the child's identity/sensitive details are handled with appropriate confidentiality throughout the drafting</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23. Common Drafting Mistakes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Common Mistake</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Complainant standing not established, particularly where the complainant is not the child's parent/guardian</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General child-welfare grievance without identifying the specific statutory obligation violated</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Insufficient sensitivity in handling the child's identity/details within the complaint</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24. Claude Optimization Prompt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GENERATOR PROMPT —</w:t>
            </w:r>
          </w:p>
          <w:p>
            <w:pPr>
              <w:spacing w:line="300"/>
              <w:jc w:val="both"/>
            </w:pPr>
            <w:r>
              <w:rPr>
                <w:rFonts w:ascii="Times New Roman" w:cs="Times New Roman" w:eastAsia="Times New Roman" w:hAnsi="Times New Roman"/>
                <w:i/>
                <w:iCs/>
                <w:sz w:val="26"/>
                <w:szCs w:val="26"/>
              </w:rPr>
              <w:t xml:space="preserve">Draft a complaint to the National/State Commission for Protection of Child Rights, on behalf of [child, identity handled sensitively], alleging [specific violation] by [respondent], based on [facts]. Establish the complainant's standing and handle the child's identity with appropriate confidentiality. Use only facts supplied by the user.</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25. Claude/GPT Reviewer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REVIEWER PROMPT —</w:t>
            </w:r>
          </w:p>
          <w:p>
            <w:pPr>
              <w:spacing w:line="300"/>
              <w:jc w:val="both"/>
            </w:pPr>
            <w:r>
              <w:rPr>
                <w:rFonts w:ascii="Times New Roman" w:cs="Times New Roman" w:eastAsia="Times New Roman" w:hAnsi="Times New Roman"/>
                <w:i/>
                <w:iCs/>
                <w:sz w:val="26"/>
                <w:szCs w:val="26"/>
              </w:rPr>
              <w:t xml:space="preserve">Review this NCPCR complaint to confirm the complainant's standing is established, the specific child-protection statute violated is identified, and the child's identity is handled with appropriate sensitivity and confidentiality.</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26. Senior Counsel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SENIOR COUNSEL PROMPT —</w:t>
            </w:r>
          </w:p>
          <w:p>
            <w:pPr>
              <w:spacing w:line="300"/>
              <w:jc w:val="both"/>
            </w:pPr>
            <w:r>
              <w:rPr>
                <w:rFonts w:ascii="Times New Roman" w:cs="Times New Roman" w:eastAsia="Times New Roman" w:hAnsi="Times New Roman"/>
                <w:i/>
                <w:iCs/>
                <w:sz w:val="26"/>
                <w:szCs w:val="26"/>
              </w:rPr>
              <w:t xml:space="preserve">Assess whether the child's immediate safety requires urgent parallel action (e.g., a Child Welfare Committee referral or police complaint) in addition to this Commission complaint, and prioritise the child's protective needs above the procedural sequencing of the complaint itself.</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SENIOR COUNSEL PROMPT — STANDING ADDENDUM —</w:t>
            </w:r>
          </w:p>
          <w:p>
            <w:pPr>
              <w:spacing w:line="300"/>
              <w:jc w:val="both"/>
            </w:pPr>
            <w:r>
              <w:rPr>
                <w:rFonts w:ascii="Times New Roman" w:cs="Times New Roman" w:eastAsia="Times New Roman" w:hAnsi="Times New Roman"/>
                <w:i/>
                <w:iCs/>
                <w:sz w:val="26"/>
                <w:szCs w:val="26"/>
              </w:rPr>
              <w:t xml:space="preserve">STANDING CHECKS (apply in every matter): (1) Cross-forum admission risk — where the user is running simultaneous or parallel proceedings on overlapping facts before different forums (e.g., a regulatory complaint alongside a civil suit, criminal proceeding, or another regulatory body), flag any factual characterization, admission, or relief sought in this document that could be used against the user's position in a parallel proceeding, or that could later be read as inconsistent with a position taken elsewhere. (2) Attesting-professional conflicts — flag if any notary, auditor, valuer, or other certifying professional named in the facts has a disclosed or reasonably inferable relationship (familial, financial, employment) to an opposing party, since this bears on the evidentiary weight of the attestation. (3) Killcritic enforcement — the final draft must contain no AI-hedging language, meta-commentary, or unnecessary disclaimers; remove phrases like 'it appears that' or 'this may suggest' unless the underlying fact is genuinely unconfirmed by the user, in which case use only the legally precise hedge ('alleged', 'prima facie', 'based on information and belief') rather than a generic qualifier.</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27. High Court Formatting Compliance Prompt</w:t>
      </w:r>
    </w:p>
    <w:p>
      <w:pPr>
        <w:spacing w:after="100" w:line="360"/>
        <w:jc w:val="both"/>
      </w:pPr>
      <w:r>
        <w:rPr>
          <w:rFonts w:ascii="Times New Roman" w:cs="Times New Roman" w:eastAsia="Times New Roman" w:hAnsi="Times New Roman"/>
          <w:b w:val="false"/>
          <w:bCs w:val="false"/>
          <w:i/>
          <w:iCs/>
          <w:sz w:val="26"/>
          <w:szCs w:val="26"/>
        </w:rPr>
        <w:t xml:space="preserve">Applies to every document produced from this template: Times New Roman 13pt, 1.5 line spacing, A4 page, 1.75-inch left/binding margin, 0.8-inch top/bottom/right margins, justified text, numbered paragraphs, centered page numbers in footer.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FORMATTING PROMPT —</w:t>
            </w:r>
          </w:p>
          <w:p>
            <w:pPr>
              <w:spacing w:line="300"/>
              <w:jc w:val="both"/>
            </w:pPr>
            <w:r>
              <w:rPr>
                <w:rFonts w:ascii="Times New Roman" w:cs="Times New Roman" w:eastAsia="Times New Roman" w:hAnsi="Times New Roman"/>
                <w:i/>
                <w:iCs/>
                <w:sz w:val="26"/>
                <w:szCs w:val="26"/>
              </w:rPr>
              <w:t xml:space="preserve">Format this document strictly in High Court filing format: font Times New Roman, size 13pt throughout (headings may be bold at the same size), line spacing 1.5, page size A4, left/binding margin 1.75 inches, top/bottom/right margins 0.8 inches each, text fully justified, paragraphs numbered consecutively, and page numbers centered in the footer. Do not use any other font, spacing, or margin configuration even if a template default suggests otherwise.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FORMATTING PROMPT — STANDING ADDENDUM —</w:t>
            </w:r>
          </w:p>
          <w:p>
            <w:pPr>
              <w:spacing w:line="300"/>
              <w:jc w:val="both"/>
            </w:pPr>
            <w:r>
              <w:rPr>
                <w:rFonts w:ascii="Times New Roman" w:cs="Times New Roman" w:eastAsia="Times New Roman" w:hAnsi="Times New Roman"/>
                <w:i/>
                <w:iCs/>
                <w:sz w:val="26"/>
                <w:szCs w:val="26"/>
              </w:rPr>
              <w:t xml:space="preserve">STANDING CHECKS (apply in every matter): (1) Forum-specific override — before applying this High Court format by default, confirm whether the actual receiving forum (e.g., a regulatory tribunal, portal-based e-filing system, consumer commission, or advertising body) has its own prescribed format, page-limit, or upload specification, and apply that instead where it differs. (2) International/embassy/UN submissions — where a document is intended for use abroad or before an international body, note that: India is a party to the Hague Apostille Convention, so documents for use in other member states should be apostilled rather than merely notarised; documents not in English require a certified translation; and international bodies typically expect single line spacing and no page-binding margin, so the High Court margin/spacing spec should not be applied to those documents — flag this distinction rather than silently carrying over Indian court formatting. (3) Self-represented litigant — do not assume a law-firm letterhead or advocate signature block; use the party's own name, address, and 'Party-in-Person' designation in the signature and service blocks.</w:t>
            </w:r>
          </w:p>
        </w:tc>
      </w:tr>
    </w:tbl>
    <w:p>
      <w:pPr>
        <w:pStyle w:val="Heading1"/>
        <w:pageBreakBefore/>
        <w:spacing w:after="160" w:before="300"/>
      </w:pPr>
      <w:r>
        <w:rPr>
          <w:rFonts w:ascii="Times New Roman" w:cs="Times New Roman" w:eastAsia="Times New Roman" w:hAnsi="Times New Roman"/>
          <w:b/>
          <w:bCs/>
          <w:sz w:val="30"/>
          <w:szCs w:val="30"/>
        </w:rPr>
        <w:t xml:space="preserve">Complaint to the National Commission for Scheduled Castes / Scheduled Tribes</w:t>
      </w:r>
    </w:p>
    <w:p>
      <w:pPr>
        <w:spacing w:after="60" w:line="360"/>
        <w:jc w:val="both"/>
      </w:pPr>
      <w:r>
        <w:rPr>
          <w:rFonts w:ascii="Times New Roman" w:cs="Times New Roman" w:eastAsia="Times New Roman" w:hAnsi="Times New Roman"/>
          <w:b w:val="false"/>
          <w:bCs w:val="false"/>
          <w:i/>
          <w:iCs/>
          <w:sz w:val="26"/>
          <w:szCs w:val="26"/>
        </w:rPr>
        <w:t xml:space="preserve">Template Code: HR-07</w:t>
      </w:r>
    </w:p>
    <w:p>
      <w:pPr>
        <w:spacing w:after="240" w:line="360"/>
        <w:jc w:val="both"/>
      </w:pPr>
      <w:r>
        <w:rPr>
          <w:rFonts w:ascii="Times New Roman" w:cs="Times New Roman" w:eastAsia="Times New Roman" w:hAnsi="Times New Roman"/>
          <w:b w:val="false"/>
          <w:bCs w:val="false"/>
          <w:i/>
          <w:iCs/>
          <w:sz w:val="26"/>
          <w:szCs w:val="26"/>
        </w:rPr>
        <w:t xml:space="preserve">Applicable Volume Cross-Reference: Uses the same architecture as HR-01, filed under Article 338/338A of the Constitution.</w:t>
      </w:r>
    </w:p>
    <w:p>
      <w:pPr>
        <w:pStyle w:val="Heading2"/>
        <w:spacing w:after="160" w:before="300"/>
      </w:pPr>
      <w:r>
        <w:rPr>
          <w:rFonts w:ascii="Times New Roman" w:cs="Times New Roman" w:eastAsia="Times New Roman" w:hAnsi="Times New Roman"/>
          <w:b/>
          <w:bCs/>
          <w:sz w:val="30"/>
          <w:szCs w:val="30"/>
        </w:rPr>
        <w:t xml:space="preserve">1. AI Drafting Instructions</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Plead the specific act of discrimination/atrocity and its connection to the complainant's SC/ST status precisely — the Commission's jurisdiction is specifically over safeguards for SCs/STs, so the caste/tribe-based nexus of the violation should be clearly established, not assumed.</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Where the facts disclose an offence under the SC/ST (Prevention of Atrocities) Act, 1989, cross-reference the parallel criminal complaint (Volume 3) since that Act carries specific, more stringent procedural and punitive provisions.</w:t>
      </w:r>
    </w:p>
    <w:p>
      <w:pPr>
        <w:pStyle w:val="Heading2"/>
        <w:spacing w:after="160" w:before="300"/>
      </w:pPr>
      <w:r>
        <w:rPr>
          <w:rFonts w:ascii="Times New Roman" w:cs="Times New Roman" w:eastAsia="Times New Roman" w:hAnsi="Times New Roman"/>
          <w:b/>
          <w:bCs/>
          <w:sz w:val="30"/>
          <w:szCs w:val="30"/>
        </w:rPr>
        <w:t xml:space="preserve">2. Governing Law</w:t>
      </w:r>
    </w:p>
    <w:p>
      <w:pPr>
        <w:spacing w:after="160" w:line="360"/>
        <w:jc w:val="both"/>
      </w:pPr>
      <w:r>
        <w:rPr>
          <w:rFonts w:ascii="Times New Roman" w:cs="Times New Roman" w:eastAsia="Times New Roman" w:hAnsi="Times New Roman"/>
          <w:b w:val="false"/>
          <w:bCs w:val="false"/>
          <w:i w:val="false"/>
          <w:iCs w:val="false"/>
          <w:sz w:val="26"/>
          <w:szCs w:val="26"/>
        </w:rPr>
        <w:t xml:space="preserve">Article 338 (National Commission for Scheduled Castes) and Article 338A (National Commission for Scheduled Tribes) of the Constitution of India; Scheduled Castes and Scheduled Tribes (Prevention of Atrocities) Act, 1989, where applicable.</w:t>
      </w:r>
    </w:p>
    <w:p>
      <w:pPr>
        <w:pStyle w:val="Heading2"/>
        <w:spacing w:after="160" w:before="300"/>
      </w:pPr>
      <w:r>
        <w:rPr>
          <w:rFonts w:ascii="Times New Roman" w:cs="Times New Roman" w:eastAsia="Times New Roman" w:hAnsi="Times New Roman"/>
          <w:b/>
          <w:bCs/>
          <w:sz w:val="30"/>
          <w:szCs w:val="30"/>
        </w:rPr>
        <w:t xml:space="preserve">3. Jurisdiction</w:t>
      </w:r>
    </w:p>
    <w:p>
      <w:pPr>
        <w:spacing w:after="160" w:line="360"/>
        <w:jc w:val="both"/>
      </w:pPr>
      <w:r>
        <w:rPr>
          <w:rFonts w:ascii="Times New Roman" w:cs="Times New Roman" w:eastAsia="Times New Roman" w:hAnsi="Times New Roman"/>
          <w:b w:val="false"/>
          <w:bCs w:val="false"/>
          <w:i w:val="false"/>
          <w:iCs w:val="false"/>
          <w:sz w:val="26"/>
          <w:szCs w:val="26"/>
        </w:rPr>
        <w:t xml:space="preserve">The National Commission for Scheduled Castes or the National Commission for Scheduled Tribes, as applicable to the complainant's status.</w:t>
      </w:r>
    </w:p>
    <w:p>
      <w:pPr>
        <w:pStyle w:val="Heading2"/>
        <w:spacing w:after="160" w:before="300"/>
      </w:pPr>
      <w:r>
        <w:rPr>
          <w:rFonts w:ascii="Times New Roman" w:cs="Times New Roman" w:eastAsia="Times New Roman" w:hAnsi="Times New Roman"/>
          <w:b/>
          <w:bCs/>
          <w:sz w:val="30"/>
          <w:szCs w:val="30"/>
        </w:rPr>
        <w:t xml:space="preserve">4. Mandatory Ingredients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Mandatory Ingredient</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The complainant's SC/ST status and its documentary basis (caste certificate)</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The specific act of discrimination/atrocity and its connection to that status</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Any parallel complaint under the SC/ST (Prevention of Atrocities) Act, 1989</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5. Cause Title Format</w:t>
      </w:r>
    </w:p>
    <w:p>
      <w:pPr>
        <w:spacing w:after="160" w:line="360"/>
        <w:jc w:val="both"/>
      </w:pPr>
      <w:r>
        <w:rPr>
          <w:rFonts w:ascii="Times New Roman" w:cs="Times New Roman" w:eastAsia="Times New Roman" w:hAnsi="Times New Roman"/>
          <w:b w:val="false"/>
          <w:bCs w:val="false"/>
          <w:i w:val="false"/>
          <w:iCs w:val="false"/>
          <w:sz w:val="26"/>
          <w:szCs w:val="26"/>
        </w:rPr>
        <w:t xml:space="preserve">TO THE NATIONAL COMMISSION FOR SCHEDULED CASTES/SCHEDULED TRIBES, NEW DELHI / COMPLAINT UNDER ARTICLE 338/338A OF THE CONSTITUTION OF INDIA</w:t>
      </w:r>
    </w:p>
    <w:p>
      <w:pPr>
        <w:pStyle w:val="Heading2"/>
        <w:spacing w:after="160" w:before="300"/>
      </w:pPr>
      <w:r>
        <w:rPr>
          <w:rFonts w:ascii="Times New Roman" w:cs="Times New Roman" w:eastAsia="Times New Roman" w:hAnsi="Times New Roman"/>
          <w:b/>
          <w:bCs/>
          <w:sz w:val="30"/>
          <w:szCs w:val="30"/>
        </w:rPr>
        <w:t xml:space="preserve">6. Index (Standard Format)</w:t>
      </w:r>
    </w:p>
    <w:p>
      <w:pPr>
        <w:spacing w:after="160" w:line="360"/>
        <w:jc w:val="both"/>
      </w:pPr>
      <w:r>
        <w:rPr>
          <w:rFonts w:ascii="Times New Roman" w:cs="Times New Roman" w:eastAsia="Times New Roman" w:hAnsi="Times New Roman"/>
          <w:b w:val="false"/>
          <w:bCs w:val="false"/>
          <w:i w:val="false"/>
          <w:iCs w:val="false"/>
          <w:sz w:val="26"/>
          <w:szCs w:val="26"/>
        </w:rPr>
        <w:t xml:space="preserve">Sr. No. | Particulars | Page No. — tabulate all annexures and pleadings chronologically.</w:t>
      </w:r>
    </w:p>
    <w:p>
      <w:pPr>
        <w:pStyle w:val="Heading2"/>
        <w:spacing w:after="160" w:before="300"/>
      </w:pPr>
      <w:r>
        <w:rPr>
          <w:rFonts w:ascii="Times New Roman" w:cs="Times New Roman" w:eastAsia="Times New Roman" w:hAnsi="Times New Roman"/>
          <w:b/>
          <w:bCs/>
          <w:sz w:val="30"/>
          <w:szCs w:val="30"/>
        </w:rPr>
        <w:t xml:space="preserve">7. Synopsis</w:t>
      </w:r>
    </w:p>
    <w:p>
      <w:pPr>
        <w:spacing w:after="160" w:line="360"/>
        <w:jc w:val="both"/>
      </w:pPr>
      <w:r>
        <w:rPr>
          <w:rFonts w:ascii="Times New Roman" w:cs="Times New Roman" w:eastAsia="Times New Roman" w:hAnsi="Times New Roman"/>
          <w:b w:val="false"/>
          <w:bCs w:val="false"/>
          <w:i w:val="false"/>
          <w:iCs w:val="false"/>
          <w:sz w:val="26"/>
          <w:szCs w:val="26"/>
        </w:rPr>
        <w:t xml:space="preserve">Neutral statement of the discrimination/atrocity, its connection to the complainant's SC/ST status, and the relief sought.</w:t>
      </w:r>
    </w:p>
    <w:p>
      <w:pPr>
        <w:pStyle w:val="Heading2"/>
        <w:spacing w:after="160" w:before="300"/>
      </w:pPr>
      <w:r>
        <w:rPr>
          <w:rFonts w:ascii="Times New Roman" w:cs="Times New Roman" w:eastAsia="Times New Roman" w:hAnsi="Times New Roman"/>
          <w:b/>
          <w:bCs/>
          <w:sz w:val="30"/>
          <w:szCs w:val="30"/>
        </w:rPr>
        <w:t xml:space="preserve">8. List of Dates and Events</w:t>
      </w:r>
    </w:p>
    <w:p>
      <w:pPr>
        <w:spacing w:after="160" w:line="360"/>
        <w:jc w:val="both"/>
      </w:pPr>
      <w:r>
        <w:rPr>
          <w:rFonts w:ascii="Times New Roman" w:cs="Times New Roman" w:eastAsia="Times New Roman" w:hAnsi="Times New Roman"/>
          <w:b w:val="false"/>
          <w:bCs w:val="false"/>
          <w:i w:val="false"/>
          <w:iCs w:val="false"/>
          <w:sz w:val="26"/>
          <w:szCs w:val="26"/>
        </w:rPr>
        <w:t xml:space="preserve">Date | Event — chronological, each entry cross-referenced to an annexure letter.</w:t>
      </w:r>
    </w:p>
    <w:p>
      <w:pPr>
        <w:pStyle w:val="Heading2"/>
        <w:spacing w:after="160" w:before="300"/>
      </w:pPr>
      <w:r>
        <w:rPr>
          <w:rFonts w:ascii="Times New Roman" w:cs="Times New Roman" w:eastAsia="Times New Roman" w:hAnsi="Times New Roman"/>
          <w:b/>
          <w:bCs/>
          <w:sz w:val="30"/>
          <w:szCs w:val="30"/>
        </w:rPr>
        <w:t xml:space="preserve">9. Parties</w:t>
      </w:r>
    </w:p>
    <w:p>
      <w:pPr>
        <w:spacing w:after="160" w:line="360"/>
        <w:jc w:val="both"/>
      </w:pPr>
      <w:r>
        <w:rPr>
          <w:rFonts w:ascii="Times New Roman" w:cs="Times New Roman" w:eastAsia="Times New Roman" w:hAnsi="Times New Roman"/>
          <w:b w:val="false"/>
          <w:bCs w:val="false"/>
          <w:i w:val="false"/>
          <w:iCs w:val="false"/>
          <w:sz w:val="26"/>
          <w:szCs w:val="26"/>
        </w:rPr>
        <w:t xml:space="preserve">Complainant and the person/entity responsible for the discrimination/atrocity.</w:t>
      </w:r>
    </w:p>
    <w:p>
      <w:pPr>
        <w:pStyle w:val="Heading2"/>
        <w:spacing w:after="160" w:before="300"/>
      </w:pPr>
      <w:r>
        <w:rPr>
          <w:rFonts w:ascii="Times New Roman" w:cs="Times New Roman" w:eastAsia="Times New Roman" w:hAnsi="Times New Roman"/>
          <w:b/>
          <w:bCs/>
          <w:sz w:val="30"/>
          <w:szCs w:val="30"/>
        </w:rPr>
        <w:t xml:space="preserve">10. Facts</w:t>
      </w:r>
    </w:p>
    <w:p>
      <w:pPr>
        <w:spacing w:after="160" w:line="360"/>
        <w:jc w:val="both"/>
      </w:pPr>
      <w:r>
        <w:rPr>
          <w:rFonts w:ascii="Times New Roman" w:cs="Times New Roman" w:eastAsia="Times New Roman" w:hAnsi="Times New Roman"/>
          <w:b w:val="false"/>
          <w:bCs w:val="false"/>
          <w:i w:val="false"/>
          <w:iCs w:val="false"/>
          <w:sz w:val="26"/>
          <w:szCs w:val="26"/>
        </w:rPr>
        <w:t xml:space="preserve">Chronological, numbered facts establishing the specific act and its caste/tribe-based nexus, cross-referenced to supporting evidence.</w:t>
      </w:r>
    </w:p>
    <w:p>
      <w:pPr>
        <w:pStyle w:val="Heading2"/>
        <w:spacing w:after="160" w:before="300"/>
      </w:pPr>
      <w:r>
        <w:rPr>
          <w:rFonts w:ascii="Times New Roman" w:cs="Times New Roman" w:eastAsia="Times New Roman" w:hAnsi="Times New Roman"/>
          <w:b/>
          <w:bCs/>
          <w:sz w:val="30"/>
          <w:szCs w:val="30"/>
        </w:rPr>
        <w:t xml:space="preserve">11. Questions / Issues for Determination</w:t>
      </w:r>
    </w:p>
    <w:p>
      <w:pPr>
        <w:pStyle w:val="ListParagraph"/>
        <w:numPr>
          <w:ilvl w:val="0"/>
          <w:numId w:val="3"/>
        </w:numPr>
        <w:spacing w:after="100" w:line="360"/>
      </w:pPr>
      <w:r>
        <w:rPr>
          <w:rFonts w:ascii="Times New Roman" w:cs="Times New Roman" w:eastAsia="Times New Roman" w:hAnsi="Times New Roman"/>
          <w:sz w:val="26"/>
          <w:szCs w:val="26"/>
        </w:rPr>
        <w:t xml:space="preserve">Whether the complainant's SC/ST status is established</w:t>
      </w:r>
    </w:p>
    <w:p>
      <w:pPr>
        <w:pStyle w:val="ListParagraph"/>
        <w:numPr>
          <w:ilvl w:val="0"/>
          <w:numId w:val="3"/>
        </w:numPr>
        <w:spacing w:after="100" w:line="360"/>
      </w:pPr>
      <w:r>
        <w:rPr>
          <w:rFonts w:ascii="Times New Roman" w:cs="Times New Roman" w:eastAsia="Times New Roman" w:hAnsi="Times New Roman"/>
          <w:sz w:val="26"/>
          <w:szCs w:val="26"/>
        </w:rPr>
        <w:t xml:space="preserve">Whether the act complained of has a specific caste/tribe-based nexus</w:t>
      </w:r>
    </w:p>
    <w:p>
      <w:pPr>
        <w:pStyle w:val="ListParagraph"/>
        <w:numPr>
          <w:ilvl w:val="0"/>
          <w:numId w:val="3"/>
        </w:numPr>
        <w:spacing w:after="100" w:line="360"/>
      </w:pPr>
      <w:r>
        <w:rPr>
          <w:rFonts w:ascii="Times New Roman" w:cs="Times New Roman" w:eastAsia="Times New Roman" w:hAnsi="Times New Roman"/>
          <w:sz w:val="26"/>
          <w:szCs w:val="26"/>
        </w:rPr>
        <w:t xml:space="preserve">Whether the facts disclose an offence under the Prevention of Atrocities Act, 1989</w:t>
      </w:r>
    </w:p>
    <w:p>
      <w:pPr>
        <w:pStyle w:val="Heading2"/>
        <w:spacing w:after="160" w:before="300"/>
      </w:pPr>
      <w:r>
        <w:rPr>
          <w:rFonts w:ascii="Times New Roman" w:cs="Times New Roman" w:eastAsia="Times New Roman" w:hAnsi="Times New Roman"/>
          <w:b/>
          <w:bCs/>
          <w:sz w:val="30"/>
          <w:szCs w:val="30"/>
        </w:rPr>
        <w:t xml:space="preserve">12. Statutory Provisions Invoked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Statutory Provision</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Article 338/338A of the Constitution of India</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Scheduled Castes and Scheduled Tribes (Prevention of Atrocities) Act, 1989, where applicable</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13. Case-Law Citations</w:t>
      </w:r>
    </w:p>
    <w:p>
      <w:pPr>
        <w:spacing w:after="160" w:line="360"/>
        <w:jc w:val="both"/>
      </w:pPr>
      <w:r>
        <w:rPr>
          <w:rFonts w:ascii="Times New Roman" w:cs="Times New Roman" w:eastAsia="Times New Roman" w:hAnsi="Times New Roman"/>
          <w:b w:val="false"/>
          <w:bCs w:val="false"/>
          <w:i/>
          <w:iCs/>
          <w:sz w:val="26"/>
          <w:szCs w:val="26"/>
        </w:rPr>
        <w:t xml:space="preserve">The following are established, verifiable citations directly relevant to this instrument. Additional matter-specific case law should be added in the same tabular format; do not leave a case-law slot filled with an invented citation.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32"/>
        <w:gridCol w:w="60"/>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3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Case Citation</w:t>
            </w:r>
          </w:p>
        </w:tc>
        <w:tc>
          <w:tcPr>
            <w:tcW w:type="pct" w:w="60%"/>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Legal Proposition</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3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State of Karnataka v. Appa Balu Ingale, (1995) Supp (4) SCC 469</w:t>
            </w:r>
          </w:p>
        </w:tc>
        <w:tc>
          <w:tcPr>
            <w:tcW w:type="pct" w:w="60%"/>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Recognised the constitutional and legislative commitment to eradicating caste-based discrimination and untouchability, underscoring the seriousness with which courts treat established instances of caste-based discrimination and the corresponding institutional protection mechanisms.</w:t>
            </w:r>
          </w:p>
        </w:tc>
      </w:tr>
    </w:tbl>
    <w:p>
      <w:pPr>
        <w:pStyle w:val="Heading2"/>
        <w:spacing w:after="160" w:before="300"/>
      </w:pPr>
      <w:r>
        <w:rPr>
          <w:rFonts w:ascii="Times New Roman" w:cs="Times New Roman" w:eastAsia="Times New Roman" w:hAnsi="Times New Roman"/>
          <w:b/>
          <w:bCs/>
          <w:sz w:val="30"/>
          <w:szCs w:val="30"/>
        </w:rPr>
        <w:t xml:space="preserve">14. Grounds</w:t>
      </w:r>
    </w:p>
    <w:p>
      <w:pPr>
        <w:pStyle w:val="ListParagraph"/>
        <w:numPr>
          <w:ilvl w:val="0"/>
          <w:numId w:val="3"/>
        </w:numPr>
        <w:spacing w:after="100" w:line="360"/>
      </w:pPr>
      <w:r>
        <w:rPr>
          <w:rFonts w:ascii="Times New Roman" w:cs="Times New Roman" w:eastAsia="Times New Roman" w:hAnsi="Times New Roman"/>
          <w:sz w:val="26"/>
          <w:szCs w:val="26"/>
        </w:rPr>
        <w:t xml:space="preserve">Complainant's SC/ST status documented</w:t>
      </w:r>
    </w:p>
    <w:p>
      <w:pPr>
        <w:pStyle w:val="ListParagraph"/>
        <w:numPr>
          <w:ilvl w:val="0"/>
          <w:numId w:val="3"/>
        </w:numPr>
        <w:spacing w:after="100" w:line="360"/>
      </w:pPr>
      <w:r>
        <w:rPr>
          <w:rFonts w:ascii="Times New Roman" w:cs="Times New Roman" w:eastAsia="Times New Roman" w:hAnsi="Times New Roman"/>
          <w:sz w:val="26"/>
          <w:szCs w:val="26"/>
        </w:rPr>
        <w:t xml:space="preserve">Specific caste/tribe-based nexus of the discriminatory act established</w:t>
      </w:r>
    </w:p>
    <w:p>
      <w:pPr>
        <w:pStyle w:val="ListParagraph"/>
        <w:numPr>
          <w:ilvl w:val="0"/>
          <w:numId w:val="3"/>
        </w:numPr>
        <w:spacing w:after="100" w:line="360"/>
      </w:pPr>
      <w:r>
        <w:rPr>
          <w:rFonts w:ascii="Times New Roman" w:cs="Times New Roman" w:eastAsia="Times New Roman" w:hAnsi="Times New Roman"/>
          <w:sz w:val="26"/>
          <w:szCs w:val="26"/>
        </w:rPr>
        <w:t xml:space="preserve">Parallel Prevention of Atrocities Act complaint filed, if applicable</w:t>
      </w:r>
    </w:p>
    <w:p>
      <w:pPr>
        <w:pStyle w:val="Heading2"/>
        <w:spacing w:after="160" w:before="300"/>
      </w:pPr>
      <w:r>
        <w:rPr>
          <w:rFonts w:ascii="Times New Roman" w:cs="Times New Roman" w:eastAsia="Times New Roman" w:hAnsi="Times New Roman"/>
          <w:b/>
          <w:bCs/>
          <w:sz w:val="30"/>
          <w:szCs w:val="30"/>
        </w:rPr>
        <w:t xml:space="preserve">15. Interim Relief Sought</w:t>
      </w:r>
    </w:p>
    <w:p>
      <w:pPr>
        <w:spacing w:after="160" w:line="360"/>
        <w:jc w:val="both"/>
      </w:pPr>
      <w:r>
        <w:rPr>
          <w:rFonts w:ascii="Times New Roman" w:cs="Times New Roman" w:eastAsia="Times New Roman" w:hAnsi="Times New Roman"/>
          <w:b w:val="false"/>
          <w:bCs w:val="false"/>
          <w:i w:val="false"/>
          <w:iCs w:val="false"/>
          <w:sz w:val="26"/>
          <w:szCs w:val="26"/>
        </w:rPr>
        <w:t xml:space="preserve">State whether urgent protective measures are sought, particularly where the complainant faces ongoing threat or intimidation.</w:t>
      </w:r>
    </w:p>
    <w:p>
      <w:pPr>
        <w:pStyle w:val="Heading2"/>
        <w:spacing w:after="160" w:before="300"/>
      </w:pPr>
      <w:r>
        <w:rPr>
          <w:rFonts w:ascii="Times New Roman" w:cs="Times New Roman" w:eastAsia="Times New Roman" w:hAnsi="Times New Roman"/>
          <w:b/>
          <w:bCs/>
          <w:sz w:val="30"/>
          <w:szCs w:val="30"/>
        </w:rPr>
        <w:t xml:space="preserve">16. Main Prayer</w:t>
      </w:r>
    </w:p>
    <w:p>
      <w:pPr>
        <w:pStyle w:val="ListParagraph"/>
        <w:numPr>
          <w:ilvl w:val="0"/>
          <w:numId w:val="3"/>
        </w:numPr>
        <w:spacing w:after="100" w:line="360"/>
      </w:pPr>
      <w:r>
        <w:rPr>
          <w:rFonts w:ascii="Times New Roman" w:cs="Times New Roman" w:eastAsia="Times New Roman" w:hAnsi="Times New Roman"/>
          <w:sz w:val="26"/>
          <w:szCs w:val="26"/>
        </w:rPr>
        <w:t xml:space="preserve">Inquiry into the discrimination/atrocity</w:t>
      </w:r>
    </w:p>
    <w:p>
      <w:pPr>
        <w:pStyle w:val="ListParagraph"/>
        <w:numPr>
          <w:ilvl w:val="0"/>
          <w:numId w:val="3"/>
        </w:numPr>
        <w:spacing w:after="100" w:line="360"/>
      </w:pPr>
      <w:r>
        <w:rPr>
          <w:rFonts w:ascii="Times New Roman" w:cs="Times New Roman" w:eastAsia="Times New Roman" w:hAnsi="Times New Roman"/>
          <w:sz w:val="26"/>
          <w:szCs w:val="26"/>
        </w:rPr>
        <w:t xml:space="preserve">Recommendation of protective and corrective measures</w:t>
      </w:r>
    </w:p>
    <w:p>
      <w:pPr>
        <w:pStyle w:val="ListParagraph"/>
        <w:numPr>
          <w:ilvl w:val="0"/>
          <w:numId w:val="3"/>
        </w:numPr>
        <w:spacing w:after="100" w:line="360"/>
      </w:pPr>
      <w:r>
        <w:rPr>
          <w:rFonts w:ascii="Times New Roman" w:cs="Times New Roman" w:eastAsia="Times New Roman" w:hAnsi="Times New Roman"/>
          <w:sz w:val="26"/>
          <w:szCs w:val="26"/>
        </w:rPr>
        <w:t xml:space="preserve">Recommendation of action against the responsible person/entity</w:t>
      </w:r>
    </w:p>
    <w:p>
      <w:pPr>
        <w:pStyle w:val="Heading2"/>
        <w:spacing w:after="160" w:before="300"/>
      </w:pPr>
      <w:r>
        <w:rPr>
          <w:rFonts w:ascii="Times New Roman" w:cs="Times New Roman" w:eastAsia="Times New Roman" w:hAnsi="Times New Roman"/>
          <w:b/>
          <w:bCs/>
          <w:sz w:val="30"/>
          <w:szCs w:val="30"/>
        </w:rPr>
        <w:t xml:space="preserve">17. Costs</w:t>
      </w:r>
    </w:p>
    <w:p>
      <w:pPr>
        <w:spacing w:after="160" w:line="360"/>
        <w:jc w:val="both"/>
      </w:pPr>
      <w:r>
        <w:rPr>
          <w:rFonts w:ascii="Times New Roman" w:cs="Times New Roman" w:eastAsia="Times New Roman" w:hAnsi="Times New Roman"/>
          <w:b w:val="false"/>
          <w:bCs w:val="false"/>
          <w:i w:val="false"/>
          <w:iCs w:val="false"/>
          <w:sz w:val="26"/>
          <w:szCs w:val="26"/>
        </w:rPr>
        <w:t xml:space="preserve">Costs of this proceeding be awarded to the Applicant/Complainant/Petitioner/Plaintiff as this Hon'ble Court/Forum deems fit.</w:t>
      </w:r>
    </w:p>
    <w:p>
      <w:pPr>
        <w:pStyle w:val="Heading2"/>
        <w:spacing w:after="160" w:before="300"/>
      </w:pPr>
      <w:r>
        <w:rPr>
          <w:rFonts w:ascii="Times New Roman" w:cs="Times New Roman" w:eastAsia="Times New Roman" w:hAnsi="Times New Roman"/>
          <w:b/>
          <w:bCs/>
          <w:sz w:val="30"/>
          <w:szCs w:val="30"/>
        </w:rPr>
        <w:t xml:space="preserve">18. Verification</w:t>
      </w:r>
    </w:p>
    <w:p>
      <w:pPr>
        <w:spacing w:after="160" w:line="360"/>
        <w:jc w:val="both"/>
      </w:pPr>
      <w:r>
        <w:rPr>
          <w:rFonts w:ascii="Times New Roman" w:cs="Times New Roman" w:eastAsia="Times New Roman" w:hAnsi="Times New Roman"/>
          <w:b w:val="false"/>
          <w:bCs w:val="false"/>
          <w:i w:val="false"/>
          <w:iCs w:val="false"/>
          <w:sz w:val="26"/>
          <w:szCs w:val="26"/>
        </w:rPr>
        <w:t xml:space="preserve">I, the party named above, do hereby verify that the contents of paragraphs __ to __ are true to my knowledge, paragraphs __ to __ are based on information received and believed to be true, and paragraphs __ to __ are based on legal advice, and nothing material has been concealed therefrom.</w:t>
      </w:r>
    </w:p>
    <w:p>
      <w:pPr>
        <w:pStyle w:val="Heading2"/>
        <w:spacing w:after="160" w:before="300"/>
      </w:pPr>
      <w:r>
        <w:rPr>
          <w:rFonts w:ascii="Times New Roman" w:cs="Times New Roman" w:eastAsia="Times New Roman" w:hAnsi="Times New Roman"/>
          <w:b/>
          <w:bCs/>
          <w:sz w:val="30"/>
          <w:szCs w:val="30"/>
        </w:rPr>
        <w:t xml:space="preserve">19. Affidavit</w:t>
      </w:r>
    </w:p>
    <w:p>
      <w:pPr>
        <w:spacing w:after="160" w:line="360"/>
        <w:jc w:val="both"/>
      </w:pPr>
      <w:r>
        <w:rPr>
          <w:rFonts w:ascii="Times New Roman" w:cs="Times New Roman" w:eastAsia="Times New Roman" w:hAnsi="Times New Roman"/>
          <w:b w:val="false"/>
          <w:bCs w:val="false"/>
          <w:i w:val="false"/>
          <w:iCs w:val="false"/>
          <w:sz w:val="26"/>
          <w:szCs w:val="26"/>
        </w:rPr>
        <w:t xml:space="preserve">Standard affidavit in support per Universal Affidavit Framework (Volume 1, UNI-02), sworn/affirmed before a Notary/Oath Commissioner, annexed as Annexure — Affidavit.</w:t>
      </w:r>
    </w:p>
    <w:p>
      <w:pPr>
        <w:pStyle w:val="Heading2"/>
        <w:spacing w:after="160" w:before="300"/>
      </w:pPr>
      <w:r>
        <w:rPr>
          <w:rFonts w:ascii="Times New Roman" w:cs="Times New Roman" w:eastAsia="Times New Roman" w:hAnsi="Times New Roman"/>
          <w:b/>
          <w:bCs/>
          <w:sz w:val="30"/>
          <w:szCs w:val="30"/>
        </w:rPr>
        <w:t xml:space="preserve">20. Annexure List</w:t>
      </w:r>
    </w:p>
    <w:p>
      <w:pPr>
        <w:spacing w:after="160" w:line="360"/>
        <w:jc w:val="both"/>
      </w:pPr>
      <w:r>
        <w:rPr>
          <w:rFonts w:ascii="Times New Roman" w:cs="Times New Roman" w:eastAsia="Times New Roman" w:hAnsi="Times New Roman"/>
          <w:b w:val="false"/>
          <w:bCs w:val="false"/>
          <w:i w:val="false"/>
          <w:iCs w:val="false"/>
          <w:sz w:val="26"/>
          <w:szCs w:val="26"/>
        </w:rPr>
        <w:t xml:space="preserve">Annexure A, B, C ... — each annexure indexed with a one-line description and page reference; maintain running alphabetical sequence across all filings in the matter.</w:t>
      </w:r>
    </w:p>
    <w:p>
      <w:pPr>
        <w:pStyle w:val="Heading2"/>
        <w:spacing w:after="160" w:before="300"/>
      </w:pPr>
      <w:r>
        <w:rPr>
          <w:rFonts w:ascii="Times New Roman" w:cs="Times New Roman" w:eastAsia="Times New Roman" w:hAnsi="Times New Roman"/>
          <w:b/>
          <w:bCs/>
          <w:sz w:val="30"/>
          <w:szCs w:val="30"/>
        </w:rPr>
        <w:t xml:space="preserve">21. Filing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w:t>
            </w:r>
          </w:p>
        </w:tc>
        <w:tc>
          <w:tcPr>
            <w:tcW w:type="pct" w:w="9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Filing Checklist Item</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Caste certificate annexed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Supporting evidence of the discriminatory act annexed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Any parallel FIR/complaint under the Prevention of Atrocities Act, 1989 annexed</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22. AI Review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w:t>
            </w:r>
          </w:p>
        </w:tc>
        <w:tc>
          <w:tcPr>
            <w:tcW w:type="pct" w:w="9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AI Review Item</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the complainant's SC/ST status is documented, not merely asserted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the specific caste/tribe-based nexus of the act complained of is established, not assumed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any parallel Prevention of Atrocities Act complaint is disclosed</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23. Common Drafting Mistakes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Common Mistake</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Caste/tribe status asserted without documentary proof</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General grievance without establishing the specific caste/tribe-based nexus required for the Commission's jurisdiction</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Facts disclosing a Prevention of Atrocities Act offence without a corresponding parallel criminal complaint</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24. Claude Optimization Prompt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GENERATOR PROMPT —</w:t>
            </w:r>
          </w:p>
          <w:p>
            <w:pPr>
              <w:spacing w:line="300"/>
              <w:jc w:val="both"/>
            </w:pPr>
            <w:r>
              <w:rPr>
                <w:rFonts w:ascii="Times New Roman" w:cs="Times New Roman" w:eastAsia="Times New Roman" w:hAnsi="Times New Roman"/>
                <w:i/>
                <w:iCs/>
                <w:sz w:val="26"/>
                <w:szCs w:val="26"/>
              </w:rPr>
              <w:t xml:space="preserve">Draft a complaint to the National Commission for Scheduled Castes/Scheduled Tribes under Article 338/338A, alleging [specific discriminatory act] by [respondent], with a caste/tribe-based nexus established by [facts]. Cross-reference any parallel Prevention of Atrocities Act complaint. Use only facts and documents supplied by the user.</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25. Claude/GPT Reviewer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REVIEWER PROMPT —</w:t>
            </w:r>
          </w:p>
          <w:p>
            <w:pPr>
              <w:spacing w:line="300"/>
              <w:jc w:val="both"/>
            </w:pPr>
            <w:r>
              <w:rPr>
                <w:rFonts w:ascii="Times New Roman" w:cs="Times New Roman" w:eastAsia="Times New Roman" w:hAnsi="Times New Roman"/>
                <w:i/>
                <w:iCs/>
                <w:sz w:val="26"/>
                <w:szCs w:val="26"/>
              </w:rPr>
              <w:t xml:space="preserve">Review this complaint to confirm SC/ST status is documented, the caste/tribe-based nexus of the act is specifically established, and any parallel Prevention of Atrocities Act complaint is disclosed.</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26. Senior Counsel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SENIOR COUNSEL PROMPT —</w:t>
            </w:r>
          </w:p>
          <w:p>
            <w:pPr>
              <w:spacing w:line="300"/>
              <w:jc w:val="both"/>
            </w:pPr>
            <w:r>
              <w:rPr>
                <w:rFonts w:ascii="Times New Roman" w:cs="Times New Roman" w:eastAsia="Times New Roman" w:hAnsi="Times New Roman"/>
                <w:i/>
                <w:iCs/>
                <w:sz w:val="26"/>
                <w:szCs w:val="26"/>
              </w:rPr>
              <w:t xml:space="preserve">Assess whether the facts, as pleaded, disclose an offence under the more stringent Prevention of Atrocities Act, 1989, and if so, ensure a parallel criminal complaint (Volume 3) is filed or has been filed, since that Act's specific procedural protections (special courts, presumptions) are often more consequential than the Commission's recommendatory powers alone.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SENIOR COUNSEL PROMPT — STANDING ADDENDUM —</w:t>
            </w:r>
          </w:p>
          <w:p>
            <w:pPr>
              <w:spacing w:line="300"/>
              <w:jc w:val="both"/>
            </w:pPr>
            <w:r>
              <w:rPr>
                <w:rFonts w:ascii="Times New Roman" w:cs="Times New Roman" w:eastAsia="Times New Roman" w:hAnsi="Times New Roman"/>
                <w:i/>
                <w:iCs/>
                <w:sz w:val="26"/>
                <w:szCs w:val="26"/>
              </w:rPr>
              <w:t xml:space="preserve">STANDING CHECKS (apply in every matter): (1) Cross-forum admission risk — where the user is running simultaneous or parallel proceedings on overlapping facts before different forums (e.g., a regulatory complaint alongside a civil suit, criminal proceeding, or another regulatory body), flag any factual characterization, admission, or relief sought in this document that could be used against the user's position in a parallel proceeding, or that could later be read as inconsistent with a position taken elsewhere. (2) Attesting-professional conflicts — flag if any notary, auditor, valuer, or other certifying professional named in the facts has a disclosed or reasonably inferable relationship (familial, financial, employment) to an opposing party, since this bears on the evidentiary weight of the attestation. (3) Killcritic enforcement — the final draft must contain no AI-hedging language, meta-commentary, or unnecessary disclaimers; remove phrases like 'it appears that' or 'this may suggest' unless the underlying fact is genuinely unconfirmed by the user, in which case use only the legally precise hedge ('alleged', 'prima facie', 'based on information and belief') rather than a generic qualifier.</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27. High Court Formatting Compliance Prompt</w:t>
      </w:r>
    </w:p>
    <w:p>
      <w:pPr>
        <w:spacing w:after="100" w:line="360"/>
        <w:jc w:val="both"/>
      </w:pPr>
      <w:r>
        <w:rPr>
          <w:rFonts w:ascii="Times New Roman" w:cs="Times New Roman" w:eastAsia="Times New Roman" w:hAnsi="Times New Roman"/>
          <w:b w:val="false"/>
          <w:bCs w:val="false"/>
          <w:i/>
          <w:iCs/>
          <w:sz w:val="26"/>
          <w:szCs w:val="26"/>
        </w:rPr>
        <w:t xml:space="preserve">Applies to every document produced from this template: Times New Roman 13pt, 1.5 line spacing, A4 page, 1.75-inch left/binding margin, 0.8-inch top/bottom/right margins, justified text, numbered paragraphs, centered page numbers in footer.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FORMATTING PROMPT —</w:t>
            </w:r>
          </w:p>
          <w:p>
            <w:pPr>
              <w:spacing w:line="300"/>
              <w:jc w:val="both"/>
            </w:pPr>
            <w:r>
              <w:rPr>
                <w:rFonts w:ascii="Times New Roman" w:cs="Times New Roman" w:eastAsia="Times New Roman" w:hAnsi="Times New Roman"/>
                <w:i/>
                <w:iCs/>
                <w:sz w:val="26"/>
                <w:szCs w:val="26"/>
              </w:rPr>
              <w:t xml:space="preserve">Format this document strictly in High Court filing format: font Times New Roman, size 13pt throughout (headings may be bold at the same size), line spacing 1.5, page size A4, left/binding margin 1.75 inches, top/bottom/right margins 0.8 inches each, text fully justified, paragraphs numbered consecutively, and page numbers centered in the footer. Do not use any other font, spacing, or margin configuration even if a template default suggests otherwise.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FORMATTING PROMPT — STANDING ADDENDUM —</w:t>
            </w:r>
          </w:p>
          <w:p>
            <w:pPr>
              <w:spacing w:line="300"/>
              <w:jc w:val="both"/>
            </w:pPr>
            <w:r>
              <w:rPr>
                <w:rFonts w:ascii="Times New Roman" w:cs="Times New Roman" w:eastAsia="Times New Roman" w:hAnsi="Times New Roman"/>
                <w:i/>
                <w:iCs/>
                <w:sz w:val="26"/>
                <w:szCs w:val="26"/>
              </w:rPr>
              <w:t xml:space="preserve">STANDING CHECKS (apply in every matter): (1) Forum-specific override — before applying this High Court format by default, confirm whether the actual receiving forum (e.g., a regulatory tribunal, portal-based e-filing system, consumer commission, or advertising body) has its own prescribed format, page-limit, or upload specification, and apply that instead where it differs. (2) International/embassy/UN submissions — where a document is intended for use abroad or before an international body, note that: India is a party to the Hague Apostille Convention, so documents for use in other member states should be apostilled rather than merely notarised; documents not in English require a certified translation; and international bodies typically expect single line spacing and no page-binding margin, so the High Court margin/spacing spec should not be applied to those documents — flag this distinction rather than silently carrying over Indian court formatting. (3) Self-represented litigant — do not assume a law-firm letterhead or advocate signature block; use the party's own name, address, and 'Party-in-Person' designation in the signature and service blocks.</w:t>
            </w:r>
          </w:p>
        </w:tc>
      </w:tr>
    </w:tbl>
    <w:p>
      <w:pPr>
        <w:pStyle w:val="Heading1"/>
        <w:pageBreakBefore/>
        <w:spacing w:after="160" w:before="300"/>
      </w:pPr>
      <w:r>
        <w:rPr>
          <w:rFonts w:ascii="Times New Roman" w:cs="Times New Roman" w:eastAsia="Times New Roman" w:hAnsi="Times New Roman"/>
          <w:b/>
          <w:bCs/>
          <w:sz w:val="30"/>
          <w:szCs w:val="30"/>
        </w:rPr>
        <w:t xml:space="preserve">Complaint Under the Rights of Persons with Disabilities Act, 2016</w:t>
      </w:r>
    </w:p>
    <w:p>
      <w:pPr>
        <w:spacing w:after="60" w:line="360"/>
        <w:jc w:val="both"/>
      </w:pPr>
      <w:r>
        <w:rPr>
          <w:rFonts w:ascii="Times New Roman" w:cs="Times New Roman" w:eastAsia="Times New Roman" w:hAnsi="Times New Roman"/>
          <w:b w:val="false"/>
          <w:bCs w:val="false"/>
          <w:i/>
          <w:iCs/>
          <w:sz w:val="26"/>
          <w:szCs w:val="26"/>
        </w:rPr>
        <w:t xml:space="preserve">Template Code: HR-08</w:t>
      </w:r>
    </w:p>
    <w:p>
      <w:pPr>
        <w:spacing w:after="240" w:line="360"/>
        <w:jc w:val="both"/>
      </w:pPr>
      <w:r>
        <w:rPr>
          <w:rFonts w:ascii="Times New Roman" w:cs="Times New Roman" w:eastAsia="Times New Roman" w:hAnsi="Times New Roman"/>
          <w:b w:val="false"/>
          <w:bCs w:val="false"/>
          <w:i/>
          <w:iCs/>
          <w:sz w:val="26"/>
          <w:szCs w:val="26"/>
        </w:rPr>
        <w:t xml:space="preserve">Applicable Volume Cross-Reference: Uses the same architecture as HR-01, filed before the State/Chief Commissioner for Persons with Disabilities.</w:t>
      </w:r>
    </w:p>
    <w:p>
      <w:pPr>
        <w:pStyle w:val="Heading2"/>
        <w:spacing w:after="160" w:before="300"/>
      </w:pPr>
      <w:r>
        <w:rPr>
          <w:rFonts w:ascii="Times New Roman" w:cs="Times New Roman" w:eastAsia="Times New Roman" w:hAnsi="Times New Roman"/>
          <w:b/>
          <w:bCs/>
          <w:sz w:val="30"/>
          <w:szCs w:val="30"/>
        </w:rPr>
        <w:t xml:space="preserve">1. AI Drafting Instructions</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Plead the specific form of discrimination (denial of reasonable accommodation, inaccessibility, discriminatory denial of a service/opportunity) against the specific statutory provision it violates (Sections 3-5 non-discrimination; Section 40-46 accessibility standards) rather than a general grievance about disability-unfriendly treatment.</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Where reasonable accommodation was requested and denied, plead the specific request made and the response received, since this is central to establishing the discrimination claim.</w:t>
      </w:r>
    </w:p>
    <w:p>
      <w:pPr>
        <w:pStyle w:val="Heading2"/>
        <w:spacing w:after="160" w:before="300"/>
      </w:pPr>
      <w:r>
        <w:rPr>
          <w:rFonts w:ascii="Times New Roman" w:cs="Times New Roman" w:eastAsia="Times New Roman" w:hAnsi="Times New Roman"/>
          <w:b/>
          <w:bCs/>
          <w:sz w:val="30"/>
          <w:szCs w:val="30"/>
        </w:rPr>
        <w:t xml:space="preserve">2. Governing Law</w:t>
      </w:r>
    </w:p>
    <w:p>
      <w:pPr>
        <w:spacing w:after="160" w:line="360"/>
        <w:jc w:val="both"/>
      </w:pPr>
      <w:r>
        <w:rPr>
          <w:rFonts w:ascii="Times New Roman" w:cs="Times New Roman" w:eastAsia="Times New Roman" w:hAnsi="Times New Roman"/>
          <w:b w:val="false"/>
          <w:bCs w:val="false"/>
          <w:i w:val="false"/>
          <w:iCs w:val="false"/>
          <w:sz w:val="26"/>
          <w:szCs w:val="26"/>
        </w:rPr>
        <w:t xml:space="preserve">Rights of Persons with Disabilities Act, 2016, Sections 3-5 (equality and non-discrimination), Sections 40-46 (accessibility), Section 75 (complaint to the Chief Commissioner/State Commissioner).</w:t>
      </w:r>
    </w:p>
    <w:p>
      <w:pPr>
        <w:pStyle w:val="Heading2"/>
        <w:spacing w:after="160" w:before="300"/>
      </w:pPr>
      <w:r>
        <w:rPr>
          <w:rFonts w:ascii="Times New Roman" w:cs="Times New Roman" w:eastAsia="Times New Roman" w:hAnsi="Times New Roman"/>
          <w:b/>
          <w:bCs/>
          <w:sz w:val="30"/>
          <w:szCs w:val="30"/>
        </w:rPr>
        <w:t xml:space="preserve">3. Jurisdiction</w:t>
      </w:r>
    </w:p>
    <w:p>
      <w:pPr>
        <w:spacing w:after="160" w:line="360"/>
        <w:jc w:val="both"/>
      </w:pPr>
      <w:r>
        <w:rPr>
          <w:rFonts w:ascii="Times New Roman" w:cs="Times New Roman" w:eastAsia="Times New Roman" w:hAnsi="Times New Roman"/>
          <w:b w:val="false"/>
          <w:bCs w:val="false"/>
          <w:i w:val="false"/>
          <w:iCs w:val="false"/>
          <w:sz w:val="26"/>
          <w:szCs w:val="26"/>
        </w:rPr>
        <w:t xml:space="preserve">The State Commissioner for Persons with Disabilities (for state-level matters) or the Chief Commissioner for Persons with Disabilities (for central government/inter-state matters).</w:t>
      </w:r>
    </w:p>
    <w:p>
      <w:pPr>
        <w:pStyle w:val="Heading2"/>
        <w:spacing w:after="160" w:before="300"/>
      </w:pPr>
      <w:r>
        <w:rPr>
          <w:rFonts w:ascii="Times New Roman" w:cs="Times New Roman" w:eastAsia="Times New Roman" w:hAnsi="Times New Roman"/>
          <w:b/>
          <w:bCs/>
          <w:sz w:val="30"/>
          <w:szCs w:val="30"/>
        </w:rPr>
        <w:t xml:space="preserve">4. Mandatory Ingredients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Mandatory Ingredient</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The complainant's disability and its documentary basis (disability certificate)</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The specific discriminatory act/denial of reasonable accommodation</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The request made (if reasonable accommodation is at issue) and the response received</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5. Cause Title Format</w:t>
      </w:r>
    </w:p>
    <w:p>
      <w:pPr>
        <w:spacing w:after="160" w:line="360"/>
        <w:jc w:val="both"/>
      </w:pPr>
      <w:r>
        <w:rPr>
          <w:rFonts w:ascii="Times New Roman" w:cs="Times New Roman" w:eastAsia="Times New Roman" w:hAnsi="Times New Roman"/>
          <w:b w:val="false"/>
          <w:bCs w:val="false"/>
          <w:i w:val="false"/>
          <w:iCs w:val="false"/>
          <w:sz w:val="26"/>
          <w:szCs w:val="26"/>
        </w:rPr>
        <w:t xml:space="preserve">TO THE STATE/CHIEF COMMISSIONER FOR PERSONS WITH DISABILITIES / COMPLAINT UNDER SECTION 75, RIGHTS OF PERSONS WITH DISABILITIES ACT, 2016</w:t>
      </w:r>
    </w:p>
    <w:p>
      <w:pPr>
        <w:pStyle w:val="Heading2"/>
        <w:spacing w:after="160" w:before="300"/>
      </w:pPr>
      <w:r>
        <w:rPr>
          <w:rFonts w:ascii="Times New Roman" w:cs="Times New Roman" w:eastAsia="Times New Roman" w:hAnsi="Times New Roman"/>
          <w:b/>
          <w:bCs/>
          <w:sz w:val="30"/>
          <w:szCs w:val="30"/>
        </w:rPr>
        <w:t xml:space="preserve">6. Index (Standard Format)</w:t>
      </w:r>
    </w:p>
    <w:p>
      <w:pPr>
        <w:spacing w:after="160" w:line="360"/>
        <w:jc w:val="both"/>
      </w:pPr>
      <w:r>
        <w:rPr>
          <w:rFonts w:ascii="Times New Roman" w:cs="Times New Roman" w:eastAsia="Times New Roman" w:hAnsi="Times New Roman"/>
          <w:b w:val="false"/>
          <w:bCs w:val="false"/>
          <w:i w:val="false"/>
          <w:iCs w:val="false"/>
          <w:sz w:val="26"/>
          <w:szCs w:val="26"/>
        </w:rPr>
        <w:t xml:space="preserve">Sr. No. | Particulars | Page No. — tabulate all annexures and pleadings chronologically.</w:t>
      </w:r>
    </w:p>
    <w:p>
      <w:pPr>
        <w:pStyle w:val="Heading2"/>
        <w:spacing w:after="160" w:before="300"/>
      </w:pPr>
      <w:r>
        <w:rPr>
          <w:rFonts w:ascii="Times New Roman" w:cs="Times New Roman" w:eastAsia="Times New Roman" w:hAnsi="Times New Roman"/>
          <w:b/>
          <w:bCs/>
          <w:sz w:val="30"/>
          <w:szCs w:val="30"/>
        </w:rPr>
        <w:t xml:space="preserve">7. Synopsis</w:t>
      </w:r>
    </w:p>
    <w:p>
      <w:pPr>
        <w:spacing w:after="160" w:line="360"/>
        <w:jc w:val="both"/>
      </w:pPr>
      <w:r>
        <w:rPr>
          <w:rFonts w:ascii="Times New Roman" w:cs="Times New Roman" w:eastAsia="Times New Roman" w:hAnsi="Times New Roman"/>
          <w:b w:val="false"/>
          <w:bCs w:val="false"/>
          <w:i w:val="false"/>
          <w:iCs w:val="false"/>
          <w:sz w:val="26"/>
          <w:szCs w:val="26"/>
        </w:rPr>
        <w:t xml:space="preserve">Neutral statement of the discrimination/denial of accommodation, the specific statutory provision violated, and the relief sought.</w:t>
      </w:r>
    </w:p>
    <w:p>
      <w:pPr>
        <w:pStyle w:val="Heading2"/>
        <w:spacing w:after="160" w:before="300"/>
      </w:pPr>
      <w:r>
        <w:rPr>
          <w:rFonts w:ascii="Times New Roman" w:cs="Times New Roman" w:eastAsia="Times New Roman" w:hAnsi="Times New Roman"/>
          <w:b/>
          <w:bCs/>
          <w:sz w:val="30"/>
          <w:szCs w:val="30"/>
        </w:rPr>
        <w:t xml:space="preserve">8. List of Dates and Events</w:t>
      </w:r>
    </w:p>
    <w:p>
      <w:pPr>
        <w:spacing w:after="160" w:line="360"/>
        <w:jc w:val="both"/>
      </w:pPr>
      <w:r>
        <w:rPr>
          <w:rFonts w:ascii="Times New Roman" w:cs="Times New Roman" w:eastAsia="Times New Roman" w:hAnsi="Times New Roman"/>
          <w:b w:val="false"/>
          <w:bCs w:val="false"/>
          <w:i w:val="false"/>
          <w:iCs w:val="false"/>
          <w:sz w:val="26"/>
          <w:szCs w:val="26"/>
        </w:rPr>
        <w:t xml:space="preserve">Date | Event — chronological, each entry cross-referenced to an annexure letter.</w:t>
      </w:r>
    </w:p>
    <w:p>
      <w:pPr>
        <w:pStyle w:val="Heading2"/>
        <w:spacing w:after="160" w:before="300"/>
      </w:pPr>
      <w:r>
        <w:rPr>
          <w:rFonts w:ascii="Times New Roman" w:cs="Times New Roman" w:eastAsia="Times New Roman" w:hAnsi="Times New Roman"/>
          <w:b/>
          <w:bCs/>
          <w:sz w:val="30"/>
          <w:szCs w:val="30"/>
        </w:rPr>
        <w:t xml:space="preserve">9. Parties</w:t>
      </w:r>
    </w:p>
    <w:p>
      <w:pPr>
        <w:spacing w:after="160" w:line="360"/>
        <w:jc w:val="both"/>
      </w:pPr>
      <w:r>
        <w:rPr>
          <w:rFonts w:ascii="Times New Roman" w:cs="Times New Roman" w:eastAsia="Times New Roman" w:hAnsi="Times New Roman"/>
          <w:b w:val="false"/>
          <w:bCs w:val="false"/>
          <w:i w:val="false"/>
          <w:iCs w:val="false"/>
          <w:sz w:val="26"/>
          <w:szCs w:val="26"/>
        </w:rPr>
        <w:t xml:space="preserve">Complainant and the person/entity responsible for the discriminatory act/denial.</w:t>
      </w:r>
    </w:p>
    <w:p>
      <w:pPr>
        <w:pStyle w:val="Heading2"/>
        <w:spacing w:after="160" w:before="300"/>
      </w:pPr>
      <w:r>
        <w:rPr>
          <w:rFonts w:ascii="Times New Roman" w:cs="Times New Roman" w:eastAsia="Times New Roman" w:hAnsi="Times New Roman"/>
          <w:b/>
          <w:bCs/>
          <w:sz w:val="30"/>
          <w:szCs w:val="30"/>
        </w:rPr>
        <w:t xml:space="preserve">10. Facts</w:t>
      </w:r>
    </w:p>
    <w:p>
      <w:pPr>
        <w:spacing w:after="160" w:line="360"/>
        <w:jc w:val="both"/>
      </w:pPr>
      <w:r>
        <w:rPr>
          <w:rFonts w:ascii="Times New Roman" w:cs="Times New Roman" w:eastAsia="Times New Roman" w:hAnsi="Times New Roman"/>
          <w:b w:val="false"/>
          <w:bCs w:val="false"/>
          <w:i w:val="false"/>
          <w:iCs w:val="false"/>
          <w:sz w:val="26"/>
          <w:szCs w:val="26"/>
        </w:rPr>
        <w:t xml:space="preserve">Chronological, numbered facts establishing the disability, the specific request made (if applicable), the denial/discriminatory act, and its impact.</w:t>
      </w:r>
    </w:p>
    <w:p>
      <w:pPr>
        <w:pStyle w:val="Heading2"/>
        <w:spacing w:after="160" w:before="300"/>
      </w:pPr>
      <w:r>
        <w:rPr>
          <w:rFonts w:ascii="Times New Roman" w:cs="Times New Roman" w:eastAsia="Times New Roman" w:hAnsi="Times New Roman"/>
          <w:b/>
          <w:bCs/>
          <w:sz w:val="30"/>
          <w:szCs w:val="30"/>
        </w:rPr>
        <w:t xml:space="preserve">11. Questions / Issues for Determination</w:t>
      </w:r>
    </w:p>
    <w:p>
      <w:pPr>
        <w:pStyle w:val="ListParagraph"/>
        <w:numPr>
          <w:ilvl w:val="0"/>
          <w:numId w:val="3"/>
        </w:numPr>
        <w:spacing w:after="100" w:line="360"/>
      </w:pPr>
      <w:r>
        <w:rPr>
          <w:rFonts w:ascii="Times New Roman" w:cs="Times New Roman" w:eastAsia="Times New Roman" w:hAnsi="Times New Roman"/>
          <w:sz w:val="26"/>
          <w:szCs w:val="26"/>
        </w:rPr>
        <w:t xml:space="preserve">Whether the complainant's disability status is established</w:t>
      </w:r>
    </w:p>
    <w:p>
      <w:pPr>
        <w:pStyle w:val="ListParagraph"/>
        <w:numPr>
          <w:ilvl w:val="0"/>
          <w:numId w:val="3"/>
        </w:numPr>
        <w:spacing w:after="100" w:line="360"/>
      </w:pPr>
      <w:r>
        <w:rPr>
          <w:rFonts w:ascii="Times New Roman" w:cs="Times New Roman" w:eastAsia="Times New Roman" w:hAnsi="Times New Roman"/>
          <w:sz w:val="26"/>
          <w:szCs w:val="26"/>
        </w:rPr>
        <w:t xml:space="preserve">Whether the act complained of constitutes discrimination or denial of reasonable accommodation under the specific statutory provision</w:t>
      </w:r>
    </w:p>
    <w:p>
      <w:pPr>
        <w:pStyle w:val="ListParagraph"/>
        <w:numPr>
          <w:ilvl w:val="0"/>
          <w:numId w:val="3"/>
        </w:numPr>
        <w:spacing w:after="100" w:line="360"/>
      </w:pPr>
      <w:r>
        <w:rPr>
          <w:rFonts w:ascii="Times New Roman" w:cs="Times New Roman" w:eastAsia="Times New Roman" w:hAnsi="Times New Roman"/>
          <w:sz w:val="26"/>
          <w:szCs w:val="26"/>
        </w:rPr>
        <w:t xml:space="preserve">The appropriate corrective relief</w:t>
      </w:r>
    </w:p>
    <w:p>
      <w:pPr>
        <w:pStyle w:val="Heading2"/>
        <w:spacing w:after="160" w:before="300"/>
      </w:pPr>
      <w:r>
        <w:rPr>
          <w:rFonts w:ascii="Times New Roman" w:cs="Times New Roman" w:eastAsia="Times New Roman" w:hAnsi="Times New Roman"/>
          <w:b/>
          <w:bCs/>
          <w:sz w:val="30"/>
          <w:szCs w:val="30"/>
        </w:rPr>
        <w:t xml:space="preserve">12. Statutory Provisions Invoked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Statutory Provision</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Rights of Persons with Disabilities Act, 2016, Sections 3-5</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Rights of Persons with Disabilities Act, 2016, Sections 40-46</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Rights of Persons with Disabilities Act, 2016, Section 75</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13. Case-Law Citations</w:t>
      </w:r>
    </w:p>
    <w:p>
      <w:pPr>
        <w:spacing w:after="160" w:line="360"/>
        <w:jc w:val="both"/>
      </w:pPr>
      <w:r>
        <w:rPr>
          <w:rFonts w:ascii="Times New Roman" w:cs="Times New Roman" w:eastAsia="Times New Roman" w:hAnsi="Times New Roman"/>
          <w:b w:val="false"/>
          <w:bCs w:val="false"/>
          <w:i/>
          <w:iCs/>
          <w:sz w:val="26"/>
          <w:szCs w:val="26"/>
        </w:rPr>
        <w:t xml:space="preserve">The following are established, verifiable citations directly relevant to this instrument. Additional matter-specific case law should be added in the same tabular format; do not leave a case-law slot filled with an invented citation.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32"/>
        <w:gridCol w:w="60"/>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3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Case Citation</w:t>
            </w:r>
          </w:p>
        </w:tc>
        <w:tc>
          <w:tcPr>
            <w:tcW w:type="pct" w:w="60%"/>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Legal Proposition</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3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Vikash Kumar v. Union Public Service Commission, (2021) 5 SCC 370</w:t>
            </w:r>
          </w:p>
        </w:tc>
        <w:tc>
          <w:tcPr>
            <w:tcW w:type="pct" w:w="60%"/>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Held that the reasonable accommodation obligation under the Rights of Persons with Disabilities Act, 2016 is broad and purposive, and a rigid, formalistic denial of an accommodation request (such as a scribe) without individualised assessment amounts to discrimination against the person with a disability.</w:t>
            </w:r>
          </w:p>
        </w:tc>
      </w:tr>
    </w:tbl>
    <w:p>
      <w:pPr>
        <w:pStyle w:val="Heading2"/>
        <w:spacing w:after="160" w:before="300"/>
      </w:pPr>
      <w:r>
        <w:rPr>
          <w:rFonts w:ascii="Times New Roman" w:cs="Times New Roman" w:eastAsia="Times New Roman" w:hAnsi="Times New Roman"/>
          <w:b/>
          <w:bCs/>
          <w:sz w:val="30"/>
          <w:szCs w:val="30"/>
        </w:rPr>
        <w:t xml:space="preserve">14. Grounds</w:t>
      </w:r>
    </w:p>
    <w:p>
      <w:pPr>
        <w:pStyle w:val="ListParagraph"/>
        <w:numPr>
          <w:ilvl w:val="0"/>
          <w:numId w:val="3"/>
        </w:numPr>
        <w:spacing w:after="100" w:line="360"/>
      </w:pPr>
      <w:r>
        <w:rPr>
          <w:rFonts w:ascii="Times New Roman" w:cs="Times New Roman" w:eastAsia="Times New Roman" w:hAnsi="Times New Roman"/>
          <w:sz w:val="26"/>
          <w:szCs w:val="26"/>
        </w:rPr>
        <w:t xml:space="preserve">Disability status documented</w:t>
      </w:r>
    </w:p>
    <w:p>
      <w:pPr>
        <w:pStyle w:val="ListParagraph"/>
        <w:numPr>
          <w:ilvl w:val="0"/>
          <w:numId w:val="3"/>
        </w:numPr>
        <w:spacing w:after="100" w:line="360"/>
      </w:pPr>
      <w:r>
        <w:rPr>
          <w:rFonts w:ascii="Times New Roman" w:cs="Times New Roman" w:eastAsia="Times New Roman" w:hAnsi="Times New Roman"/>
          <w:sz w:val="26"/>
          <w:szCs w:val="26"/>
        </w:rPr>
        <w:t xml:space="preserve">Specific discriminatory act/denial of reasonable accommodation established</w:t>
      </w:r>
    </w:p>
    <w:p>
      <w:pPr>
        <w:pStyle w:val="ListParagraph"/>
        <w:numPr>
          <w:ilvl w:val="0"/>
          <w:numId w:val="3"/>
        </w:numPr>
        <w:spacing w:after="100" w:line="360"/>
      </w:pPr>
      <w:r>
        <w:rPr>
          <w:rFonts w:ascii="Times New Roman" w:cs="Times New Roman" w:eastAsia="Times New Roman" w:hAnsi="Times New Roman"/>
          <w:sz w:val="26"/>
          <w:szCs w:val="26"/>
        </w:rPr>
        <w:t xml:space="preserve">Denial not justified by any individualised, legitimate assessment</w:t>
      </w:r>
    </w:p>
    <w:p>
      <w:pPr>
        <w:pStyle w:val="Heading2"/>
        <w:spacing w:after="160" w:before="300"/>
      </w:pPr>
      <w:r>
        <w:rPr>
          <w:rFonts w:ascii="Times New Roman" w:cs="Times New Roman" w:eastAsia="Times New Roman" w:hAnsi="Times New Roman"/>
          <w:b/>
          <w:bCs/>
          <w:sz w:val="30"/>
          <w:szCs w:val="30"/>
        </w:rPr>
        <w:t xml:space="preserve">15. Interim Relief Sought</w:t>
      </w:r>
    </w:p>
    <w:p>
      <w:pPr>
        <w:spacing w:after="160" w:line="360"/>
        <w:jc w:val="both"/>
      </w:pPr>
      <w:r>
        <w:rPr>
          <w:rFonts w:ascii="Times New Roman" w:cs="Times New Roman" w:eastAsia="Times New Roman" w:hAnsi="Times New Roman"/>
          <w:b w:val="false"/>
          <w:bCs w:val="false"/>
          <w:i w:val="false"/>
          <w:iCs w:val="false"/>
          <w:sz w:val="26"/>
          <w:szCs w:val="26"/>
        </w:rPr>
        <w:t xml:space="preserve">State whether urgent interim accommodation is sought pending inquiry (e.g., where an ongoing examination, service, or opportunity is time-sensitive).</w:t>
      </w:r>
    </w:p>
    <w:p>
      <w:pPr>
        <w:pStyle w:val="Heading2"/>
        <w:spacing w:after="160" w:before="300"/>
      </w:pPr>
      <w:r>
        <w:rPr>
          <w:rFonts w:ascii="Times New Roman" w:cs="Times New Roman" w:eastAsia="Times New Roman" w:hAnsi="Times New Roman"/>
          <w:b/>
          <w:bCs/>
          <w:sz w:val="30"/>
          <w:szCs w:val="30"/>
        </w:rPr>
        <w:t xml:space="preserve">16. Main Prayer</w:t>
      </w:r>
    </w:p>
    <w:p>
      <w:pPr>
        <w:pStyle w:val="ListParagraph"/>
        <w:numPr>
          <w:ilvl w:val="0"/>
          <w:numId w:val="3"/>
        </w:numPr>
        <w:spacing w:after="100" w:line="360"/>
      </w:pPr>
      <w:r>
        <w:rPr>
          <w:rFonts w:ascii="Times New Roman" w:cs="Times New Roman" w:eastAsia="Times New Roman" w:hAnsi="Times New Roman"/>
          <w:sz w:val="26"/>
          <w:szCs w:val="26"/>
        </w:rPr>
        <w:t xml:space="preserve">Inquiry into the discrimination/denial of reasonable accommodation</w:t>
      </w:r>
    </w:p>
    <w:p>
      <w:pPr>
        <w:pStyle w:val="ListParagraph"/>
        <w:numPr>
          <w:ilvl w:val="0"/>
          <w:numId w:val="3"/>
        </w:numPr>
        <w:spacing w:after="100" w:line="360"/>
      </w:pPr>
      <w:r>
        <w:rPr>
          <w:rFonts w:ascii="Times New Roman" w:cs="Times New Roman" w:eastAsia="Times New Roman" w:hAnsi="Times New Roman"/>
          <w:sz w:val="26"/>
          <w:szCs w:val="26"/>
        </w:rPr>
        <w:t xml:space="preserve">Direction/recommendation for the specific accommodation or corrective measure sought</w:t>
      </w:r>
    </w:p>
    <w:p>
      <w:pPr>
        <w:pStyle w:val="ListParagraph"/>
        <w:numPr>
          <w:ilvl w:val="0"/>
          <w:numId w:val="3"/>
        </w:numPr>
        <w:spacing w:after="100" w:line="360"/>
      </w:pPr>
      <w:r>
        <w:rPr>
          <w:rFonts w:ascii="Times New Roman" w:cs="Times New Roman" w:eastAsia="Times New Roman" w:hAnsi="Times New Roman"/>
          <w:sz w:val="26"/>
          <w:szCs w:val="26"/>
        </w:rPr>
        <w:t xml:space="preserve">Recommendation of action against the responsible person/entity</w:t>
      </w:r>
    </w:p>
    <w:p>
      <w:pPr>
        <w:pStyle w:val="Heading2"/>
        <w:spacing w:after="160" w:before="300"/>
      </w:pPr>
      <w:r>
        <w:rPr>
          <w:rFonts w:ascii="Times New Roman" w:cs="Times New Roman" w:eastAsia="Times New Roman" w:hAnsi="Times New Roman"/>
          <w:b/>
          <w:bCs/>
          <w:sz w:val="30"/>
          <w:szCs w:val="30"/>
        </w:rPr>
        <w:t xml:space="preserve">17. Costs</w:t>
      </w:r>
    </w:p>
    <w:p>
      <w:pPr>
        <w:spacing w:after="160" w:line="360"/>
        <w:jc w:val="both"/>
      </w:pPr>
      <w:r>
        <w:rPr>
          <w:rFonts w:ascii="Times New Roman" w:cs="Times New Roman" w:eastAsia="Times New Roman" w:hAnsi="Times New Roman"/>
          <w:b w:val="false"/>
          <w:bCs w:val="false"/>
          <w:i w:val="false"/>
          <w:iCs w:val="false"/>
          <w:sz w:val="26"/>
          <w:szCs w:val="26"/>
        </w:rPr>
        <w:t xml:space="preserve">Costs of this proceeding be awarded to the Applicant/Complainant/Petitioner/Plaintiff as this Hon'ble Court/Forum deems fit.</w:t>
      </w:r>
    </w:p>
    <w:p>
      <w:pPr>
        <w:pStyle w:val="Heading2"/>
        <w:spacing w:after="160" w:before="300"/>
      </w:pPr>
      <w:r>
        <w:rPr>
          <w:rFonts w:ascii="Times New Roman" w:cs="Times New Roman" w:eastAsia="Times New Roman" w:hAnsi="Times New Roman"/>
          <w:b/>
          <w:bCs/>
          <w:sz w:val="30"/>
          <w:szCs w:val="30"/>
        </w:rPr>
        <w:t xml:space="preserve">18. Verification</w:t>
      </w:r>
    </w:p>
    <w:p>
      <w:pPr>
        <w:spacing w:after="160" w:line="360"/>
        <w:jc w:val="both"/>
      </w:pPr>
      <w:r>
        <w:rPr>
          <w:rFonts w:ascii="Times New Roman" w:cs="Times New Roman" w:eastAsia="Times New Roman" w:hAnsi="Times New Roman"/>
          <w:b w:val="false"/>
          <w:bCs w:val="false"/>
          <w:i w:val="false"/>
          <w:iCs w:val="false"/>
          <w:sz w:val="26"/>
          <w:szCs w:val="26"/>
        </w:rPr>
        <w:t xml:space="preserve">I, the party named above, do hereby verify that the contents of paragraphs __ to __ are true to my knowledge, paragraphs __ to __ are based on information received and believed to be true, and paragraphs __ to __ are based on legal advice, and nothing material has been concealed therefrom.</w:t>
      </w:r>
    </w:p>
    <w:p>
      <w:pPr>
        <w:pStyle w:val="Heading2"/>
        <w:spacing w:after="160" w:before="300"/>
      </w:pPr>
      <w:r>
        <w:rPr>
          <w:rFonts w:ascii="Times New Roman" w:cs="Times New Roman" w:eastAsia="Times New Roman" w:hAnsi="Times New Roman"/>
          <w:b/>
          <w:bCs/>
          <w:sz w:val="30"/>
          <w:szCs w:val="30"/>
        </w:rPr>
        <w:t xml:space="preserve">19. Affidavit</w:t>
      </w:r>
    </w:p>
    <w:p>
      <w:pPr>
        <w:spacing w:after="160" w:line="360"/>
        <w:jc w:val="both"/>
      </w:pPr>
      <w:r>
        <w:rPr>
          <w:rFonts w:ascii="Times New Roman" w:cs="Times New Roman" w:eastAsia="Times New Roman" w:hAnsi="Times New Roman"/>
          <w:b w:val="false"/>
          <w:bCs w:val="false"/>
          <w:i w:val="false"/>
          <w:iCs w:val="false"/>
          <w:sz w:val="26"/>
          <w:szCs w:val="26"/>
        </w:rPr>
        <w:t xml:space="preserve">Standard affidavit in support per Universal Affidavit Framework (Volume 1, UNI-02), sworn/affirmed before a Notary/Oath Commissioner, annexed as Annexure — Affidavit.</w:t>
      </w:r>
    </w:p>
    <w:p>
      <w:pPr>
        <w:pStyle w:val="Heading2"/>
        <w:spacing w:after="160" w:before="300"/>
      </w:pPr>
      <w:r>
        <w:rPr>
          <w:rFonts w:ascii="Times New Roman" w:cs="Times New Roman" w:eastAsia="Times New Roman" w:hAnsi="Times New Roman"/>
          <w:b/>
          <w:bCs/>
          <w:sz w:val="30"/>
          <w:szCs w:val="30"/>
        </w:rPr>
        <w:t xml:space="preserve">20. Annexure List</w:t>
      </w:r>
    </w:p>
    <w:p>
      <w:pPr>
        <w:spacing w:after="160" w:line="360"/>
        <w:jc w:val="both"/>
      </w:pPr>
      <w:r>
        <w:rPr>
          <w:rFonts w:ascii="Times New Roman" w:cs="Times New Roman" w:eastAsia="Times New Roman" w:hAnsi="Times New Roman"/>
          <w:b w:val="false"/>
          <w:bCs w:val="false"/>
          <w:i w:val="false"/>
          <w:iCs w:val="false"/>
          <w:sz w:val="26"/>
          <w:szCs w:val="26"/>
        </w:rPr>
        <w:t xml:space="preserve">Annexure A, B, C ... — each annexure indexed with a one-line description and page reference; maintain running alphabetical sequence across all filings in the matter.</w:t>
      </w:r>
    </w:p>
    <w:p>
      <w:pPr>
        <w:pStyle w:val="Heading2"/>
        <w:spacing w:after="160" w:before="300"/>
      </w:pPr>
      <w:r>
        <w:rPr>
          <w:rFonts w:ascii="Times New Roman" w:cs="Times New Roman" w:eastAsia="Times New Roman" w:hAnsi="Times New Roman"/>
          <w:b/>
          <w:bCs/>
          <w:sz w:val="30"/>
          <w:szCs w:val="30"/>
        </w:rPr>
        <w:t xml:space="preserve">21. Filing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w:t>
            </w:r>
          </w:p>
        </w:tc>
        <w:tc>
          <w:tcPr>
            <w:tcW w:type="pct" w:w="9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Filing Checklist Item</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Disability certificate annexed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The specific accommodation request and the response received annexed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Evidence of the impact of the denial/discriminatory act annexed</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22. AI Review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w:t>
            </w:r>
          </w:p>
        </w:tc>
        <w:tc>
          <w:tcPr>
            <w:tcW w:type="pct" w:w="9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AI Review Item</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disability status is documented, not merely asserted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the specific accommodation request and denial are documented, where reasonable accommodation is at issue</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the complaint identifies the specific statutory provision (Sections 3-5 or 40-46) violated</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23. Common Drafting Mistakes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Common Mistake</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Disability status asserted without a disability certificate</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General complaint about inaccessible/unfriendly treatment without pleading a specific accommodation request and its denial</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Failing to distinguish a legitimate, individualised assessment from an outright, unjustified denial</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24. Claude Optimization Prompt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GENERATOR PROMPT —</w:t>
            </w:r>
          </w:p>
          <w:p>
            <w:pPr>
              <w:spacing w:line="300"/>
              <w:jc w:val="both"/>
            </w:pPr>
            <w:r>
              <w:rPr>
                <w:rFonts w:ascii="Times New Roman" w:cs="Times New Roman" w:eastAsia="Times New Roman" w:hAnsi="Times New Roman"/>
                <w:i/>
                <w:iCs/>
                <w:sz w:val="26"/>
                <w:szCs w:val="26"/>
              </w:rPr>
              <w:t xml:space="preserve">Draft a complaint to the State/Chief Commissioner for Persons with Disabilities under Section 75, RPwD Act, 2016, alleging [specific discrimination/denial of accommodation] by [respondent], based on [facts]. Document the specific accommodation request and response, per Vikash Kumar v. UPSC. Use only facts and documents supplied by the user.</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25. Claude/GPT Reviewer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REVIEWER PROMPT —</w:t>
            </w:r>
          </w:p>
          <w:p>
            <w:pPr>
              <w:spacing w:line="300"/>
              <w:jc w:val="both"/>
            </w:pPr>
            <w:r>
              <w:rPr>
                <w:rFonts w:ascii="Times New Roman" w:cs="Times New Roman" w:eastAsia="Times New Roman" w:hAnsi="Times New Roman"/>
                <w:i/>
                <w:iCs/>
                <w:sz w:val="26"/>
                <w:szCs w:val="26"/>
              </w:rPr>
              <w:t xml:space="preserve">Review this RPwD Act complaint to confirm disability status is documented, the specific accommodation request and denial are pleaded where applicable, and the specific statutory provision violated is identified.</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26. Senior Counsel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SENIOR COUNSEL PROMPT —</w:t>
            </w:r>
          </w:p>
          <w:p>
            <w:pPr>
              <w:spacing w:line="300"/>
              <w:jc w:val="both"/>
            </w:pPr>
            <w:r>
              <w:rPr>
                <w:rFonts w:ascii="Times New Roman" w:cs="Times New Roman" w:eastAsia="Times New Roman" w:hAnsi="Times New Roman"/>
                <w:i/>
                <w:iCs/>
                <w:sz w:val="26"/>
                <w:szCs w:val="26"/>
              </w:rPr>
              <w:t xml:space="preserve">Assess whether the denial complained of reflects a genuine individualised assessment (which may be defensible) or a rigid, formalistic refusal (which is more likely to be found discriminatory per Vikash Kumar v. UPSC), and strengthen the complaint's evidence on this distinction.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SENIOR COUNSEL PROMPT — STANDING ADDENDUM —</w:t>
            </w:r>
          </w:p>
          <w:p>
            <w:pPr>
              <w:spacing w:line="300"/>
              <w:jc w:val="both"/>
            </w:pPr>
            <w:r>
              <w:rPr>
                <w:rFonts w:ascii="Times New Roman" w:cs="Times New Roman" w:eastAsia="Times New Roman" w:hAnsi="Times New Roman"/>
                <w:i/>
                <w:iCs/>
                <w:sz w:val="26"/>
                <w:szCs w:val="26"/>
              </w:rPr>
              <w:t xml:space="preserve">STANDING CHECKS (apply in every matter): (1) Cross-forum admission risk — where the user is running simultaneous or parallel proceedings on overlapping facts before different forums (e.g., a regulatory complaint alongside a civil suit, criminal proceeding, or another regulatory body), flag any factual characterization, admission, or relief sought in this document that could be used against the user's position in a parallel proceeding, or that could later be read as inconsistent with a position taken elsewhere. (2) Attesting-professional conflicts — flag if any notary, auditor, valuer, or other certifying professional named in the facts has a disclosed or reasonably inferable relationship (familial, financial, employment) to an opposing party, since this bears on the evidentiary weight of the attestation. (3) Killcritic enforcement — the final draft must contain no AI-hedging language, meta-commentary, or unnecessary disclaimers; remove phrases like 'it appears that' or 'this may suggest' unless the underlying fact is genuinely unconfirmed by the user, in which case use only the legally precise hedge ('alleged', 'prima facie', 'based on information and belief') rather than a generic qualifier.</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27. High Court Formatting Compliance Prompt</w:t>
      </w:r>
    </w:p>
    <w:p>
      <w:pPr>
        <w:spacing w:after="100" w:line="360"/>
        <w:jc w:val="both"/>
      </w:pPr>
      <w:r>
        <w:rPr>
          <w:rFonts w:ascii="Times New Roman" w:cs="Times New Roman" w:eastAsia="Times New Roman" w:hAnsi="Times New Roman"/>
          <w:b w:val="false"/>
          <w:bCs w:val="false"/>
          <w:i/>
          <w:iCs/>
          <w:sz w:val="26"/>
          <w:szCs w:val="26"/>
        </w:rPr>
        <w:t xml:space="preserve">Applies to every document produced from this template: Times New Roman 13pt, 1.5 line spacing, A4 page, 1.75-inch left/binding margin, 0.8-inch top/bottom/right margins, justified text, numbered paragraphs, centered page numbers in footer.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FORMATTING PROMPT —</w:t>
            </w:r>
          </w:p>
          <w:p>
            <w:pPr>
              <w:spacing w:line="300"/>
              <w:jc w:val="both"/>
            </w:pPr>
            <w:r>
              <w:rPr>
                <w:rFonts w:ascii="Times New Roman" w:cs="Times New Roman" w:eastAsia="Times New Roman" w:hAnsi="Times New Roman"/>
                <w:i/>
                <w:iCs/>
                <w:sz w:val="26"/>
                <w:szCs w:val="26"/>
              </w:rPr>
              <w:t xml:space="preserve">Format this document strictly in High Court filing format: font Times New Roman, size 13pt throughout (headings may be bold at the same size), line spacing 1.5, page size A4, left/binding margin 1.75 inches, top/bottom/right margins 0.8 inches each, text fully justified, paragraphs numbered consecutively, and page numbers centered in the footer. Do not use any other font, spacing, or margin configuration even if a template default suggests otherwise.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FORMATTING PROMPT — STANDING ADDENDUM —</w:t>
            </w:r>
          </w:p>
          <w:p>
            <w:pPr>
              <w:spacing w:line="300"/>
              <w:jc w:val="both"/>
            </w:pPr>
            <w:r>
              <w:rPr>
                <w:rFonts w:ascii="Times New Roman" w:cs="Times New Roman" w:eastAsia="Times New Roman" w:hAnsi="Times New Roman"/>
                <w:i/>
                <w:iCs/>
                <w:sz w:val="26"/>
                <w:szCs w:val="26"/>
              </w:rPr>
              <w:t xml:space="preserve">STANDING CHECKS (apply in every matter): (1) Forum-specific override — before applying this High Court format by default, confirm whether the actual receiving forum (e.g., a regulatory tribunal, portal-based e-filing system, consumer commission, or advertising body) has its own prescribed format, page-limit, or upload specification, and apply that instead where it differs. (2) International/embassy/UN submissions — where a document is intended for use abroad or before an international body, note that: India is a party to the Hague Apostille Convention, so documents for use in other member states should be apostilled rather than merely notarised; documents not in English require a certified translation; and international bodies typically expect single line spacing and no page-binding margin, so the High Court margin/spacing spec should not be applied to those documents — flag this distinction rather than silently carrying over Indian court formatting. (3) Self-represented litigant — do not assume a law-firm letterhead or advocate signature block; use the party's own name, address, and 'Party-in-Person' designation in the signature and service blocks.</w:t>
            </w:r>
          </w:p>
        </w:tc>
      </w:tr>
    </w:tbl>
    <w:p>
      <w:pPr>
        <w:pStyle w:val="Heading1"/>
        <w:pageBreakBefore/>
        <w:spacing w:after="160" w:before="300"/>
      </w:pPr>
      <w:r>
        <w:rPr>
          <w:rFonts w:ascii="Times New Roman" w:cs="Times New Roman" w:eastAsia="Times New Roman" w:hAnsi="Times New Roman"/>
          <w:b/>
          <w:bCs/>
          <w:sz w:val="30"/>
          <w:szCs w:val="30"/>
        </w:rPr>
        <w:t xml:space="preserve">Housing Rights / Right to Shelter Complaint</w:t>
      </w:r>
    </w:p>
    <w:p>
      <w:pPr>
        <w:spacing w:after="60" w:line="360"/>
        <w:jc w:val="both"/>
      </w:pPr>
      <w:r>
        <w:rPr>
          <w:rFonts w:ascii="Times New Roman" w:cs="Times New Roman" w:eastAsia="Times New Roman" w:hAnsi="Times New Roman"/>
          <w:b w:val="false"/>
          <w:bCs w:val="false"/>
          <w:i/>
          <w:iCs/>
          <w:sz w:val="26"/>
          <w:szCs w:val="26"/>
        </w:rPr>
        <w:t xml:space="preserve">Template Code: HR-09</w:t>
      </w:r>
    </w:p>
    <w:p>
      <w:pPr>
        <w:spacing w:after="240" w:line="360"/>
        <w:jc w:val="both"/>
      </w:pPr>
      <w:r>
        <w:rPr>
          <w:rFonts w:ascii="Times New Roman" w:cs="Times New Roman" w:eastAsia="Times New Roman" w:hAnsi="Times New Roman"/>
          <w:b w:val="false"/>
          <w:bCs w:val="false"/>
          <w:i/>
          <w:iCs/>
          <w:sz w:val="26"/>
          <w:szCs w:val="26"/>
        </w:rPr>
        <w:t xml:space="preserve">Applicable Volume Cross-Reference: Cross-refer to Volume 4 (Constitutional Litigation, CONST-01/CONST-06) where the matter requires urgent writ or PIL intervention rather than a Commission complaint alone.</w:t>
      </w:r>
    </w:p>
    <w:p>
      <w:pPr>
        <w:pStyle w:val="Heading2"/>
        <w:spacing w:after="160" w:before="300"/>
      </w:pPr>
      <w:r>
        <w:rPr>
          <w:rFonts w:ascii="Times New Roman" w:cs="Times New Roman" w:eastAsia="Times New Roman" w:hAnsi="Times New Roman"/>
          <w:b/>
          <w:bCs/>
          <w:sz w:val="30"/>
          <w:szCs w:val="30"/>
        </w:rPr>
        <w:t xml:space="preserve">1. AI Drafting Instructions</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Plead the specific state action/inaction threatening or denying shelter (eviction without due process, denial of resettlement, failure to provide notified rehabilitation) against the Article 21 right-to-shelter framework, rather than a general housing grievance.</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Where eviction is threatened or has occurred, plead specifically whether due process (notice, hearing, resettlement plan) was followed, since courts and commissions treat process compliance as central to the legality of any eviction.</w:t>
      </w:r>
    </w:p>
    <w:p>
      <w:pPr>
        <w:pStyle w:val="Heading2"/>
        <w:spacing w:after="160" w:before="300"/>
      </w:pPr>
      <w:r>
        <w:rPr>
          <w:rFonts w:ascii="Times New Roman" w:cs="Times New Roman" w:eastAsia="Times New Roman" w:hAnsi="Times New Roman"/>
          <w:b/>
          <w:bCs/>
          <w:sz w:val="30"/>
          <w:szCs w:val="30"/>
        </w:rPr>
        <w:t xml:space="preserve">2. Governing Law</w:t>
      </w:r>
    </w:p>
    <w:p>
      <w:pPr>
        <w:spacing w:after="160" w:line="360"/>
        <w:jc w:val="both"/>
      </w:pPr>
      <w:r>
        <w:rPr>
          <w:rFonts w:ascii="Times New Roman" w:cs="Times New Roman" w:eastAsia="Times New Roman" w:hAnsi="Times New Roman"/>
          <w:b w:val="false"/>
          <w:bCs w:val="false"/>
          <w:i w:val="false"/>
          <w:iCs w:val="false"/>
          <w:sz w:val="26"/>
          <w:szCs w:val="26"/>
        </w:rPr>
        <w:t xml:space="preserve">Article 21 of the Constitution of India, as elaborated in Olga Tellis v. Bombay Municipal Corporation and Chameli Singh v. State of U.P.; the applicable state slum rehabilitation/resettlement policy, if relevant.</w:t>
      </w:r>
    </w:p>
    <w:p>
      <w:pPr>
        <w:pStyle w:val="Heading2"/>
        <w:spacing w:after="160" w:before="300"/>
      </w:pPr>
      <w:r>
        <w:rPr>
          <w:rFonts w:ascii="Times New Roman" w:cs="Times New Roman" w:eastAsia="Times New Roman" w:hAnsi="Times New Roman"/>
          <w:b/>
          <w:bCs/>
          <w:sz w:val="30"/>
          <w:szCs w:val="30"/>
        </w:rPr>
        <w:t xml:space="preserve">3. Jurisdiction</w:t>
      </w:r>
    </w:p>
    <w:p>
      <w:pPr>
        <w:spacing w:after="160" w:line="360"/>
        <w:jc w:val="both"/>
      </w:pPr>
      <w:r>
        <w:rPr>
          <w:rFonts w:ascii="Times New Roman" w:cs="Times New Roman" w:eastAsia="Times New Roman" w:hAnsi="Times New Roman"/>
          <w:b w:val="false"/>
          <w:bCs w:val="false"/>
          <w:i w:val="false"/>
          <w:iCs w:val="false"/>
          <w:sz w:val="26"/>
          <w:szCs w:val="26"/>
        </w:rPr>
        <w:t xml:space="preserve">The National/State Human Rights Commission (for a Commission complaint) or the High Court (for urgent writ relief, per Volume 4).</w:t>
      </w:r>
    </w:p>
    <w:p>
      <w:pPr>
        <w:pStyle w:val="Heading2"/>
        <w:spacing w:after="160" w:before="300"/>
      </w:pPr>
      <w:r>
        <w:rPr>
          <w:rFonts w:ascii="Times New Roman" w:cs="Times New Roman" w:eastAsia="Times New Roman" w:hAnsi="Times New Roman"/>
          <w:b/>
          <w:bCs/>
          <w:sz w:val="30"/>
          <w:szCs w:val="30"/>
        </w:rPr>
        <w:t xml:space="preserve">4. Mandatory Ingredients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Mandatory Ingredient</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The specific housing/shelter right at stake and the state action/inaction threatening or denying it</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Whether due process (notice, hearing, resettlement) was followed</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The impact on the complainant/affected community</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5. Cause Title Format</w:t>
      </w:r>
    </w:p>
    <w:p>
      <w:pPr>
        <w:spacing w:after="160" w:line="360"/>
        <w:jc w:val="both"/>
      </w:pPr>
      <w:r>
        <w:rPr>
          <w:rFonts w:ascii="Times New Roman" w:cs="Times New Roman" w:eastAsia="Times New Roman" w:hAnsi="Times New Roman"/>
          <w:b w:val="false"/>
          <w:bCs w:val="false"/>
          <w:i w:val="false"/>
          <w:iCs w:val="false"/>
          <w:sz w:val="26"/>
          <w:szCs w:val="26"/>
        </w:rPr>
        <w:t xml:space="preserve">TO THE NATIONAL/STATE HUMAN RIGHTS COMMISSION / COMPLAINT REGARDING VIOLATION OF THE RIGHT TO SHELTER UNDER ARTICLE 21</w:t>
      </w:r>
    </w:p>
    <w:p>
      <w:pPr>
        <w:pStyle w:val="Heading2"/>
        <w:spacing w:after="160" w:before="300"/>
      </w:pPr>
      <w:r>
        <w:rPr>
          <w:rFonts w:ascii="Times New Roman" w:cs="Times New Roman" w:eastAsia="Times New Roman" w:hAnsi="Times New Roman"/>
          <w:b/>
          <w:bCs/>
          <w:sz w:val="30"/>
          <w:szCs w:val="30"/>
        </w:rPr>
        <w:t xml:space="preserve">6. Index (Standard Format)</w:t>
      </w:r>
    </w:p>
    <w:p>
      <w:pPr>
        <w:spacing w:after="160" w:line="360"/>
        <w:jc w:val="both"/>
      </w:pPr>
      <w:r>
        <w:rPr>
          <w:rFonts w:ascii="Times New Roman" w:cs="Times New Roman" w:eastAsia="Times New Roman" w:hAnsi="Times New Roman"/>
          <w:b w:val="false"/>
          <w:bCs w:val="false"/>
          <w:i w:val="false"/>
          <w:iCs w:val="false"/>
          <w:sz w:val="26"/>
          <w:szCs w:val="26"/>
        </w:rPr>
        <w:t xml:space="preserve">Sr. No. | Particulars | Page No. — tabulate all annexures and pleadings chronologically.</w:t>
      </w:r>
    </w:p>
    <w:p>
      <w:pPr>
        <w:pStyle w:val="Heading2"/>
        <w:spacing w:after="160" w:before="300"/>
      </w:pPr>
      <w:r>
        <w:rPr>
          <w:rFonts w:ascii="Times New Roman" w:cs="Times New Roman" w:eastAsia="Times New Roman" w:hAnsi="Times New Roman"/>
          <w:b/>
          <w:bCs/>
          <w:sz w:val="30"/>
          <w:szCs w:val="30"/>
        </w:rPr>
        <w:t xml:space="preserve">7. Synopsis</w:t>
      </w:r>
    </w:p>
    <w:p>
      <w:pPr>
        <w:spacing w:after="160" w:line="360"/>
        <w:jc w:val="both"/>
      </w:pPr>
      <w:r>
        <w:rPr>
          <w:rFonts w:ascii="Times New Roman" w:cs="Times New Roman" w:eastAsia="Times New Roman" w:hAnsi="Times New Roman"/>
          <w:b w:val="false"/>
          <w:bCs w:val="false"/>
          <w:i w:val="false"/>
          <w:iCs w:val="false"/>
          <w:sz w:val="26"/>
          <w:szCs w:val="26"/>
        </w:rPr>
        <w:t xml:space="preserve">Neutral statement of the housing/shelter right at stake, the state action/inaction, and the relief sought.</w:t>
      </w:r>
    </w:p>
    <w:p>
      <w:pPr>
        <w:pStyle w:val="Heading2"/>
        <w:spacing w:after="160" w:before="300"/>
      </w:pPr>
      <w:r>
        <w:rPr>
          <w:rFonts w:ascii="Times New Roman" w:cs="Times New Roman" w:eastAsia="Times New Roman" w:hAnsi="Times New Roman"/>
          <w:b/>
          <w:bCs/>
          <w:sz w:val="30"/>
          <w:szCs w:val="30"/>
        </w:rPr>
        <w:t xml:space="preserve">8. List of Dates and Events</w:t>
      </w:r>
    </w:p>
    <w:p>
      <w:pPr>
        <w:spacing w:after="160" w:line="360"/>
        <w:jc w:val="both"/>
      </w:pPr>
      <w:r>
        <w:rPr>
          <w:rFonts w:ascii="Times New Roman" w:cs="Times New Roman" w:eastAsia="Times New Roman" w:hAnsi="Times New Roman"/>
          <w:b w:val="false"/>
          <w:bCs w:val="false"/>
          <w:i w:val="false"/>
          <w:iCs w:val="false"/>
          <w:sz w:val="26"/>
          <w:szCs w:val="26"/>
        </w:rPr>
        <w:t xml:space="preserve">Date | Event — chronological, each entry cross-referenced to an annexure letter.</w:t>
      </w:r>
    </w:p>
    <w:p>
      <w:pPr>
        <w:pStyle w:val="Heading2"/>
        <w:spacing w:after="160" w:before="300"/>
      </w:pPr>
      <w:r>
        <w:rPr>
          <w:rFonts w:ascii="Times New Roman" w:cs="Times New Roman" w:eastAsia="Times New Roman" w:hAnsi="Times New Roman"/>
          <w:b/>
          <w:bCs/>
          <w:sz w:val="30"/>
          <w:szCs w:val="30"/>
        </w:rPr>
        <w:t xml:space="preserve">9. Parties</w:t>
      </w:r>
    </w:p>
    <w:p>
      <w:pPr>
        <w:spacing w:after="160" w:line="360"/>
        <w:jc w:val="both"/>
      </w:pPr>
      <w:r>
        <w:rPr>
          <w:rFonts w:ascii="Times New Roman" w:cs="Times New Roman" w:eastAsia="Times New Roman" w:hAnsi="Times New Roman"/>
          <w:b w:val="false"/>
          <w:bCs w:val="false"/>
          <w:i w:val="false"/>
          <w:iCs w:val="false"/>
          <w:sz w:val="26"/>
          <w:szCs w:val="26"/>
        </w:rPr>
        <w:t xml:space="preserve">Complainant (individual or a person/organisation representing an affected community) and the state authority responsible.</w:t>
      </w:r>
    </w:p>
    <w:p>
      <w:pPr>
        <w:pStyle w:val="Heading2"/>
        <w:spacing w:after="160" w:before="300"/>
      </w:pPr>
      <w:r>
        <w:rPr>
          <w:rFonts w:ascii="Times New Roman" w:cs="Times New Roman" w:eastAsia="Times New Roman" w:hAnsi="Times New Roman"/>
          <w:b/>
          <w:bCs/>
          <w:sz w:val="30"/>
          <w:szCs w:val="30"/>
        </w:rPr>
        <w:t xml:space="preserve">10. Facts</w:t>
      </w:r>
    </w:p>
    <w:p>
      <w:pPr>
        <w:spacing w:after="160" w:line="360"/>
        <w:jc w:val="both"/>
      </w:pPr>
      <w:r>
        <w:rPr>
          <w:rFonts w:ascii="Times New Roman" w:cs="Times New Roman" w:eastAsia="Times New Roman" w:hAnsi="Times New Roman"/>
          <w:b w:val="false"/>
          <w:bCs w:val="false"/>
          <w:i w:val="false"/>
          <w:iCs w:val="false"/>
          <w:sz w:val="26"/>
          <w:szCs w:val="26"/>
        </w:rPr>
        <w:t xml:space="preserve">Chronological facts establishing the threat to or denial of shelter, and whether due process was followed.</w:t>
      </w:r>
    </w:p>
    <w:p>
      <w:pPr>
        <w:pStyle w:val="Heading2"/>
        <w:spacing w:after="160" w:before="300"/>
      </w:pPr>
      <w:r>
        <w:rPr>
          <w:rFonts w:ascii="Times New Roman" w:cs="Times New Roman" w:eastAsia="Times New Roman" w:hAnsi="Times New Roman"/>
          <w:b/>
          <w:bCs/>
          <w:sz w:val="30"/>
          <w:szCs w:val="30"/>
        </w:rPr>
        <w:t xml:space="preserve">11. Questions / Issues for Determination</w:t>
      </w:r>
    </w:p>
    <w:p>
      <w:pPr>
        <w:pStyle w:val="ListParagraph"/>
        <w:numPr>
          <w:ilvl w:val="0"/>
          <w:numId w:val="3"/>
        </w:numPr>
        <w:spacing w:after="100" w:line="360"/>
      </w:pPr>
      <w:r>
        <w:rPr>
          <w:rFonts w:ascii="Times New Roman" w:cs="Times New Roman" w:eastAsia="Times New Roman" w:hAnsi="Times New Roman"/>
          <w:sz w:val="26"/>
          <w:szCs w:val="26"/>
        </w:rPr>
        <w:t xml:space="preserve">Whether the right to shelter under Article 21 is engaged</w:t>
      </w:r>
    </w:p>
    <w:p>
      <w:pPr>
        <w:pStyle w:val="ListParagraph"/>
        <w:numPr>
          <w:ilvl w:val="0"/>
          <w:numId w:val="3"/>
        </w:numPr>
        <w:spacing w:after="100" w:line="360"/>
      </w:pPr>
      <w:r>
        <w:rPr>
          <w:rFonts w:ascii="Times New Roman" w:cs="Times New Roman" w:eastAsia="Times New Roman" w:hAnsi="Times New Roman"/>
          <w:sz w:val="26"/>
          <w:szCs w:val="26"/>
        </w:rPr>
        <w:t xml:space="preserve">Whether due process was followed in any eviction/denial of resettlement</w:t>
      </w:r>
    </w:p>
    <w:p>
      <w:pPr>
        <w:pStyle w:val="ListParagraph"/>
        <w:numPr>
          <w:ilvl w:val="0"/>
          <w:numId w:val="3"/>
        </w:numPr>
        <w:spacing w:after="100" w:line="360"/>
      </w:pPr>
      <w:r>
        <w:rPr>
          <w:rFonts w:ascii="Times New Roman" w:cs="Times New Roman" w:eastAsia="Times New Roman" w:hAnsi="Times New Roman"/>
          <w:sz w:val="26"/>
          <w:szCs w:val="26"/>
        </w:rPr>
        <w:t xml:space="preserve">The appropriate relief</w:t>
      </w:r>
    </w:p>
    <w:p>
      <w:pPr>
        <w:pStyle w:val="Heading2"/>
        <w:spacing w:after="160" w:before="300"/>
      </w:pPr>
      <w:r>
        <w:rPr>
          <w:rFonts w:ascii="Times New Roman" w:cs="Times New Roman" w:eastAsia="Times New Roman" w:hAnsi="Times New Roman"/>
          <w:b/>
          <w:bCs/>
          <w:sz w:val="30"/>
          <w:szCs w:val="30"/>
        </w:rPr>
        <w:t xml:space="preserve">12. Statutory Provisions Invoked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Statutory Provision</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Article 21 of the Constitution of India</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Applicable state slum rehabilitation/resettlement policy</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13. Case-Law Citations</w:t>
      </w:r>
    </w:p>
    <w:p>
      <w:pPr>
        <w:spacing w:after="160" w:line="360"/>
        <w:jc w:val="both"/>
      </w:pPr>
      <w:r>
        <w:rPr>
          <w:rFonts w:ascii="Times New Roman" w:cs="Times New Roman" w:eastAsia="Times New Roman" w:hAnsi="Times New Roman"/>
          <w:b w:val="false"/>
          <w:bCs w:val="false"/>
          <w:i/>
          <w:iCs/>
          <w:sz w:val="26"/>
          <w:szCs w:val="26"/>
        </w:rPr>
        <w:t xml:space="preserve">The following are established, verifiable citations directly relevant to this instrument. Additional matter-specific case law should be added in the same tabular format; do not leave a case-law slot filled with an invented citation.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32"/>
        <w:gridCol w:w="60"/>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3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Case Citation</w:t>
            </w:r>
          </w:p>
        </w:tc>
        <w:tc>
          <w:tcPr>
            <w:tcW w:type="pct" w:w="60%"/>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Legal Proposition</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3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Olga Tellis v. Bombay Municipal Corporation, AIR 1986 SC 180</w:t>
            </w:r>
          </w:p>
        </w:tc>
        <w:tc>
          <w:tcPr>
            <w:tcW w:type="pct" w:w="60%"/>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Held that the right to livelihood is an integral facet of the right to life under Article 21, and eviction of pavement/slum dwellers without following a fair, reasonable procedure violates that right, though the right is not absolute and must be balanced against other considerations.</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3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Chameli Singh v. State of U.P., (1996) 2 SCC 549</w:t>
            </w:r>
          </w:p>
        </w:tc>
        <w:tc>
          <w:tcPr>
            <w:tcW w:type="pct" w:w="60%"/>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Held that the right to shelter is a fundamental right under Article 21, encompassing not merely a roof over one's head but adequate living space, safe structure, clean and decent surroundings, and access to basic infrastructure like sanitation, water, and electricity.</w:t>
            </w:r>
          </w:p>
        </w:tc>
      </w:tr>
    </w:tbl>
    <w:p>
      <w:pPr>
        <w:pStyle w:val="Heading2"/>
        <w:spacing w:after="160" w:before="300"/>
      </w:pPr>
      <w:r>
        <w:rPr>
          <w:rFonts w:ascii="Times New Roman" w:cs="Times New Roman" w:eastAsia="Times New Roman" w:hAnsi="Times New Roman"/>
          <w:b/>
          <w:bCs/>
          <w:sz w:val="30"/>
          <w:szCs w:val="30"/>
        </w:rPr>
        <w:t xml:space="preserve">14. Grounds</w:t>
      </w:r>
    </w:p>
    <w:p>
      <w:pPr>
        <w:pStyle w:val="ListParagraph"/>
        <w:numPr>
          <w:ilvl w:val="0"/>
          <w:numId w:val="3"/>
        </w:numPr>
        <w:spacing w:after="100" w:line="360"/>
      </w:pPr>
      <w:r>
        <w:rPr>
          <w:rFonts w:ascii="Times New Roman" w:cs="Times New Roman" w:eastAsia="Times New Roman" w:hAnsi="Times New Roman"/>
          <w:sz w:val="26"/>
          <w:szCs w:val="26"/>
        </w:rPr>
        <w:t xml:space="preserve">Right to shelter under Article 21 is engaged by the facts</w:t>
      </w:r>
    </w:p>
    <w:p>
      <w:pPr>
        <w:pStyle w:val="ListParagraph"/>
        <w:numPr>
          <w:ilvl w:val="0"/>
          <w:numId w:val="3"/>
        </w:numPr>
        <w:spacing w:after="100" w:line="360"/>
      </w:pPr>
      <w:r>
        <w:rPr>
          <w:rFonts w:ascii="Times New Roman" w:cs="Times New Roman" w:eastAsia="Times New Roman" w:hAnsi="Times New Roman"/>
          <w:sz w:val="26"/>
          <w:szCs w:val="26"/>
        </w:rPr>
        <w:t xml:space="preserve">Due process was not followed in the eviction/denial of resettlement</w:t>
      </w:r>
    </w:p>
    <w:p>
      <w:pPr>
        <w:pStyle w:val="ListParagraph"/>
        <w:numPr>
          <w:ilvl w:val="0"/>
          <w:numId w:val="3"/>
        </w:numPr>
        <w:spacing w:after="100" w:line="360"/>
      </w:pPr>
      <w:r>
        <w:rPr>
          <w:rFonts w:ascii="Times New Roman" w:cs="Times New Roman" w:eastAsia="Times New Roman" w:hAnsi="Times New Roman"/>
          <w:sz w:val="26"/>
          <w:szCs w:val="26"/>
        </w:rPr>
        <w:t xml:space="preserve">The state's action/inaction is disproportionate or arbitrary</w:t>
      </w:r>
    </w:p>
    <w:p>
      <w:pPr>
        <w:pStyle w:val="Heading2"/>
        <w:spacing w:after="160" w:before="300"/>
      </w:pPr>
      <w:r>
        <w:rPr>
          <w:rFonts w:ascii="Times New Roman" w:cs="Times New Roman" w:eastAsia="Times New Roman" w:hAnsi="Times New Roman"/>
          <w:b/>
          <w:bCs/>
          <w:sz w:val="30"/>
          <w:szCs w:val="30"/>
        </w:rPr>
        <w:t xml:space="preserve">15. Interim Relief Sought</w:t>
      </w:r>
    </w:p>
    <w:p>
      <w:pPr>
        <w:spacing w:after="160" w:line="360"/>
        <w:jc w:val="both"/>
      </w:pPr>
      <w:r>
        <w:rPr>
          <w:rFonts w:ascii="Times New Roman" w:cs="Times New Roman" w:eastAsia="Times New Roman" w:hAnsi="Times New Roman"/>
          <w:b w:val="false"/>
          <w:bCs w:val="false"/>
          <w:i w:val="false"/>
          <w:iCs w:val="false"/>
          <w:sz w:val="26"/>
          <w:szCs w:val="26"/>
        </w:rPr>
        <w:t xml:space="preserve">State whether an urgent interim direction restraining further eviction/demolition pending inquiry or resettlement is sought — cross-refer to Volume 4 (CONST-01/CONST-10) for the urgent writ route if the threat is imminent.</w:t>
      </w:r>
    </w:p>
    <w:p>
      <w:pPr>
        <w:pStyle w:val="Heading2"/>
        <w:spacing w:after="160" w:before="300"/>
      </w:pPr>
      <w:r>
        <w:rPr>
          <w:rFonts w:ascii="Times New Roman" w:cs="Times New Roman" w:eastAsia="Times New Roman" w:hAnsi="Times New Roman"/>
          <w:b/>
          <w:bCs/>
          <w:sz w:val="30"/>
          <w:szCs w:val="30"/>
        </w:rPr>
        <w:t xml:space="preserve">16. Main Prayer</w:t>
      </w:r>
    </w:p>
    <w:p>
      <w:pPr>
        <w:pStyle w:val="ListParagraph"/>
        <w:numPr>
          <w:ilvl w:val="0"/>
          <w:numId w:val="3"/>
        </w:numPr>
        <w:spacing w:after="100" w:line="360"/>
      </w:pPr>
      <w:r>
        <w:rPr>
          <w:rFonts w:ascii="Times New Roman" w:cs="Times New Roman" w:eastAsia="Times New Roman" w:hAnsi="Times New Roman"/>
          <w:sz w:val="26"/>
          <w:szCs w:val="26"/>
        </w:rPr>
        <w:t xml:space="preserve">Inquiry into the violation of the right to shelter</w:t>
      </w:r>
    </w:p>
    <w:p>
      <w:pPr>
        <w:pStyle w:val="ListParagraph"/>
        <w:numPr>
          <w:ilvl w:val="0"/>
          <w:numId w:val="3"/>
        </w:numPr>
        <w:spacing w:after="100" w:line="360"/>
      </w:pPr>
      <w:r>
        <w:rPr>
          <w:rFonts w:ascii="Times New Roman" w:cs="Times New Roman" w:eastAsia="Times New Roman" w:hAnsi="Times New Roman"/>
          <w:sz w:val="26"/>
          <w:szCs w:val="26"/>
        </w:rPr>
        <w:t xml:space="preserve">Recommendation of a fair, due-process-compliant resettlement/rehabilitation plan</w:t>
      </w:r>
    </w:p>
    <w:p>
      <w:pPr>
        <w:pStyle w:val="ListParagraph"/>
        <w:numPr>
          <w:ilvl w:val="0"/>
          <w:numId w:val="3"/>
        </w:numPr>
        <w:spacing w:after="100" w:line="360"/>
      </w:pPr>
      <w:r>
        <w:rPr>
          <w:rFonts w:ascii="Times New Roman" w:cs="Times New Roman" w:eastAsia="Times New Roman" w:hAnsi="Times New Roman"/>
          <w:sz w:val="26"/>
          <w:szCs w:val="26"/>
        </w:rPr>
        <w:t xml:space="preserve">Recommendation of interim protective measures pending final resolution</w:t>
      </w:r>
    </w:p>
    <w:p>
      <w:pPr>
        <w:pStyle w:val="Heading2"/>
        <w:spacing w:after="160" w:before="300"/>
      </w:pPr>
      <w:r>
        <w:rPr>
          <w:rFonts w:ascii="Times New Roman" w:cs="Times New Roman" w:eastAsia="Times New Roman" w:hAnsi="Times New Roman"/>
          <w:b/>
          <w:bCs/>
          <w:sz w:val="30"/>
          <w:szCs w:val="30"/>
        </w:rPr>
        <w:t xml:space="preserve">17. Costs</w:t>
      </w:r>
    </w:p>
    <w:p>
      <w:pPr>
        <w:spacing w:after="160" w:line="360"/>
        <w:jc w:val="both"/>
      </w:pPr>
      <w:r>
        <w:rPr>
          <w:rFonts w:ascii="Times New Roman" w:cs="Times New Roman" w:eastAsia="Times New Roman" w:hAnsi="Times New Roman"/>
          <w:b w:val="false"/>
          <w:bCs w:val="false"/>
          <w:i w:val="false"/>
          <w:iCs w:val="false"/>
          <w:sz w:val="26"/>
          <w:szCs w:val="26"/>
        </w:rPr>
        <w:t xml:space="preserve">Costs of this proceeding be awarded to the Applicant/Complainant/Petitioner/Plaintiff as this Hon'ble Court/Forum deems fit.</w:t>
      </w:r>
    </w:p>
    <w:p>
      <w:pPr>
        <w:pStyle w:val="Heading2"/>
        <w:spacing w:after="160" w:before="300"/>
      </w:pPr>
      <w:r>
        <w:rPr>
          <w:rFonts w:ascii="Times New Roman" w:cs="Times New Roman" w:eastAsia="Times New Roman" w:hAnsi="Times New Roman"/>
          <w:b/>
          <w:bCs/>
          <w:sz w:val="30"/>
          <w:szCs w:val="30"/>
        </w:rPr>
        <w:t xml:space="preserve">18. Verification</w:t>
      </w:r>
    </w:p>
    <w:p>
      <w:pPr>
        <w:spacing w:after="160" w:line="360"/>
        <w:jc w:val="both"/>
      </w:pPr>
      <w:r>
        <w:rPr>
          <w:rFonts w:ascii="Times New Roman" w:cs="Times New Roman" w:eastAsia="Times New Roman" w:hAnsi="Times New Roman"/>
          <w:b w:val="false"/>
          <w:bCs w:val="false"/>
          <w:i w:val="false"/>
          <w:iCs w:val="false"/>
          <w:sz w:val="26"/>
          <w:szCs w:val="26"/>
        </w:rPr>
        <w:t xml:space="preserve">I, the party named above, do hereby verify that the contents of paragraphs __ to __ are true to my knowledge, paragraphs __ to __ are based on information received and believed to be true, and paragraphs __ to __ are based on legal advice, and nothing material has been concealed therefrom.</w:t>
      </w:r>
    </w:p>
    <w:p>
      <w:pPr>
        <w:pStyle w:val="Heading2"/>
        <w:spacing w:after="160" w:before="300"/>
      </w:pPr>
      <w:r>
        <w:rPr>
          <w:rFonts w:ascii="Times New Roman" w:cs="Times New Roman" w:eastAsia="Times New Roman" w:hAnsi="Times New Roman"/>
          <w:b/>
          <w:bCs/>
          <w:sz w:val="30"/>
          <w:szCs w:val="30"/>
        </w:rPr>
        <w:t xml:space="preserve">19. Affidavit</w:t>
      </w:r>
    </w:p>
    <w:p>
      <w:pPr>
        <w:spacing w:after="160" w:line="360"/>
        <w:jc w:val="both"/>
      </w:pPr>
      <w:r>
        <w:rPr>
          <w:rFonts w:ascii="Times New Roman" w:cs="Times New Roman" w:eastAsia="Times New Roman" w:hAnsi="Times New Roman"/>
          <w:b w:val="false"/>
          <w:bCs w:val="false"/>
          <w:i w:val="false"/>
          <w:iCs w:val="false"/>
          <w:sz w:val="26"/>
          <w:szCs w:val="26"/>
        </w:rPr>
        <w:t xml:space="preserve">Standard affidavit in support per Universal Affidavit Framework (Volume 1, UNI-02), sworn/affirmed before a Notary/Oath Commissioner, annexed as Annexure — Affidavit.</w:t>
      </w:r>
    </w:p>
    <w:p>
      <w:pPr>
        <w:pStyle w:val="Heading2"/>
        <w:spacing w:after="160" w:before="300"/>
      </w:pPr>
      <w:r>
        <w:rPr>
          <w:rFonts w:ascii="Times New Roman" w:cs="Times New Roman" w:eastAsia="Times New Roman" w:hAnsi="Times New Roman"/>
          <w:b/>
          <w:bCs/>
          <w:sz w:val="30"/>
          <w:szCs w:val="30"/>
        </w:rPr>
        <w:t xml:space="preserve">20. Annexure List</w:t>
      </w:r>
    </w:p>
    <w:p>
      <w:pPr>
        <w:spacing w:after="160" w:line="360"/>
        <w:jc w:val="both"/>
      </w:pPr>
      <w:r>
        <w:rPr>
          <w:rFonts w:ascii="Times New Roman" w:cs="Times New Roman" w:eastAsia="Times New Roman" w:hAnsi="Times New Roman"/>
          <w:b w:val="false"/>
          <w:bCs w:val="false"/>
          <w:i w:val="false"/>
          <w:iCs w:val="false"/>
          <w:sz w:val="26"/>
          <w:szCs w:val="26"/>
        </w:rPr>
        <w:t xml:space="preserve">Annexure A, B, C ... — each annexure indexed with a one-line description and page reference; maintain running alphabetical sequence across all filings in the matter.</w:t>
      </w:r>
    </w:p>
    <w:p>
      <w:pPr>
        <w:pStyle w:val="Heading2"/>
        <w:spacing w:after="160" w:before="300"/>
      </w:pPr>
      <w:r>
        <w:rPr>
          <w:rFonts w:ascii="Times New Roman" w:cs="Times New Roman" w:eastAsia="Times New Roman" w:hAnsi="Times New Roman"/>
          <w:b/>
          <w:bCs/>
          <w:sz w:val="30"/>
          <w:szCs w:val="30"/>
        </w:rPr>
        <w:t xml:space="preserve">21. Filing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w:t>
            </w:r>
          </w:p>
        </w:tc>
        <w:tc>
          <w:tcPr>
            <w:tcW w:type="pct" w:w="9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Filing Checklist Item</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Evidence of the housing/shelter arrangement affected (residence proof, photographs) annexed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Notice (or its absence) of the eviction/demolition action annexed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Applicable resettlement/rehabilitation policy annexed for comparison against what was actually offered/followed</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22. AI Review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w:t>
            </w:r>
          </w:p>
        </w:tc>
        <w:tc>
          <w:tcPr>
            <w:tcW w:type="pct" w:w="9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AI Review Item</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the state action/inaction is specifically pleaded against the Article 21 right-to-shelter framework, not a general housing complaint</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due process compliance (or its absence) is specifically addressed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the urgency of the situation is assessed and, if imminent, cross-referred to the appropriate urgent writ remedy (Volume 4)</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23. Common Drafting Mistakes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Common Mistake</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General housing grievance without engaging the specific Article 21 due-process framework established in Olga Tellis/Chameli Singh</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Filing only a Commission complaint (which is recommendatory) where an imminent eviction requires urgent, binding writ relief instead</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No documentary comparison between the applicable resettlement policy and what was actually offered/followed</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24. Claude Optimization Prompt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GENERATOR PROMPT —</w:t>
            </w:r>
          </w:p>
          <w:p>
            <w:pPr>
              <w:spacing w:line="300"/>
              <w:jc w:val="both"/>
            </w:pPr>
            <w:r>
              <w:rPr>
                <w:rFonts w:ascii="Times New Roman" w:cs="Times New Roman" w:eastAsia="Times New Roman" w:hAnsi="Times New Roman"/>
                <w:i/>
                <w:iCs/>
                <w:sz w:val="26"/>
                <w:szCs w:val="26"/>
              </w:rPr>
              <w:t xml:space="preserve">Draft a housing rights/right-to-shelter complaint to the [National/State] Human Rights Commission, concerning [eviction/denial of resettlement] by [state authority], based on [facts]. Address due process compliance against the Olga Tellis/Chameli Singh framework, and note if urgent parallel writ relief (Volume 4) is also being pursued. Use only facts supplied by the user.</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25. Claude/GPT Reviewer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REVIEWER PROMPT —</w:t>
            </w:r>
          </w:p>
          <w:p>
            <w:pPr>
              <w:spacing w:line="300"/>
              <w:jc w:val="both"/>
            </w:pPr>
            <w:r>
              <w:rPr>
                <w:rFonts w:ascii="Times New Roman" w:cs="Times New Roman" w:eastAsia="Times New Roman" w:hAnsi="Times New Roman"/>
                <w:i/>
                <w:iCs/>
                <w:sz w:val="26"/>
                <w:szCs w:val="26"/>
              </w:rPr>
              <w:t xml:space="preserve">Review this housing rights complaint to confirm the state action/inaction is pleaded against the Article 21 right-to-shelter framework, due process compliance is specifically addressed, and urgency is assessed with a cross-reference to writ relief if imminent.</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26. Senior Counsel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SENIOR COUNSEL PROMPT —</w:t>
            </w:r>
          </w:p>
          <w:p>
            <w:pPr>
              <w:spacing w:line="300"/>
              <w:jc w:val="both"/>
            </w:pPr>
            <w:r>
              <w:rPr>
                <w:rFonts w:ascii="Times New Roman" w:cs="Times New Roman" w:eastAsia="Times New Roman" w:hAnsi="Times New Roman"/>
                <w:i/>
                <w:iCs/>
                <w:sz w:val="26"/>
                <w:szCs w:val="26"/>
              </w:rPr>
              <w:t xml:space="preserve">Assess whether the threat is sufficiently imminent to require an urgent parallel writ petition (Volume 4, CONST-01) rather than relying on this Commission complaint's recommendatory timeline alone, and prioritise the urgent remedy where eviction/demolition is impending.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SENIOR COUNSEL PROMPT — STANDING ADDENDUM —</w:t>
            </w:r>
          </w:p>
          <w:p>
            <w:pPr>
              <w:spacing w:line="300"/>
              <w:jc w:val="both"/>
            </w:pPr>
            <w:r>
              <w:rPr>
                <w:rFonts w:ascii="Times New Roman" w:cs="Times New Roman" w:eastAsia="Times New Roman" w:hAnsi="Times New Roman"/>
                <w:i/>
                <w:iCs/>
                <w:sz w:val="26"/>
                <w:szCs w:val="26"/>
              </w:rPr>
              <w:t xml:space="preserve">STANDING CHECKS (apply in every matter): (1) Cross-forum admission risk — where the user is running simultaneous or parallel proceedings on overlapping facts before different forums (e.g., a regulatory complaint alongside a civil suit, criminal proceeding, or another regulatory body), flag any factual characterization, admission, or relief sought in this document that could be used against the user's position in a parallel proceeding, or that could later be read as inconsistent with a position taken elsewhere. (2) Attesting-professional conflicts — flag if any notary, auditor, valuer, or other certifying professional named in the facts has a disclosed or reasonably inferable relationship (familial, financial, employment) to an opposing party, since this bears on the evidentiary weight of the attestation. (3) Killcritic enforcement — the final draft must contain no AI-hedging language, meta-commentary, or unnecessary disclaimers; remove phrases like 'it appears that' or 'this may suggest' unless the underlying fact is genuinely unconfirmed by the user, in which case use only the legally precise hedge ('alleged', 'prima facie', 'based on information and belief') rather than a generic qualifier.</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27. High Court Formatting Compliance Prompt</w:t>
      </w:r>
    </w:p>
    <w:p>
      <w:pPr>
        <w:spacing w:after="100" w:line="360"/>
        <w:jc w:val="both"/>
      </w:pPr>
      <w:r>
        <w:rPr>
          <w:rFonts w:ascii="Times New Roman" w:cs="Times New Roman" w:eastAsia="Times New Roman" w:hAnsi="Times New Roman"/>
          <w:b w:val="false"/>
          <w:bCs w:val="false"/>
          <w:i/>
          <w:iCs/>
          <w:sz w:val="26"/>
          <w:szCs w:val="26"/>
        </w:rPr>
        <w:t xml:space="preserve">Applies to every document produced from this template: Times New Roman 13pt, 1.5 line spacing, A4 page, 1.75-inch left/binding margin, 0.8-inch top/bottom/right margins, justified text, numbered paragraphs, centered page numbers in footer.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FORMATTING PROMPT —</w:t>
            </w:r>
          </w:p>
          <w:p>
            <w:pPr>
              <w:spacing w:line="300"/>
              <w:jc w:val="both"/>
            </w:pPr>
            <w:r>
              <w:rPr>
                <w:rFonts w:ascii="Times New Roman" w:cs="Times New Roman" w:eastAsia="Times New Roman" w:hAnsi="Times New Roman"/>
                <w:i/>
                <w:iCs/>
                <w:sz w:val="26"/>
                <w:szCs w:val="26"/>
              </w:rPr>
              <w:t xml:space="preserve">Format this document strictly in High Court filing format: font Times New Roman, size 13pt throughout (headings may be bold at the same size), line spacing 1.5, page size A4, left/binding margin 1.75 inches, top/bottom/right margins 0.8 inches each, text fully justified, paragraphs numbered consecutively, and page numbers centered in the footer. Do not use any other font, spacing, or margin configuration even if a template default suggests otherwise.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FORMATTING PROMPT — STANDING ADDENDUM —</w:t>
            </w:r>
          </w:p>
          <w:p>
            <w:pPr>
              <w:spacing w:line="300"/>
              <w:jc w:val="both"/>
            </w:pPr>
            <w:r>
              <w:rPr>
                <w:rFonts w:ascii="Times New Roman" w:cs="Times New Roman" w:eastAsia="Times New Roman" w:hAnsi="Times New Roman"/>
                <w:i/>
                <w:iCs/>
                <w:sz w:val="26"/>
                <w:szCs w:val="26"/>
              </w:rPr>
              <w:t xml:space="preserve">STANDING CHECKS (apply in every matter): (1) Forum-specific override — before applying this High Court format by default, confirm whether the actual receiving forum (e.g., a regulatory tribunal, portal-based e-filing system, consumer commission, or advertising body) has its own prescribed format, page-limit, or upload specification, and apply that instead where it differs. (2) International/embassy/UN submissions — where a document is intended for use abroad or before an international body, note that: India is a party to the Hague Apostille Convention, so documents for use in other member states should be apostilled rather than merely notarised; documents not in English require a certified translation; and international bodies typically expect single line spacing and no page-binding margin, so the High Court margin/spacing spec should not be applied to those documents — flag this distinction rather than silently carrying over Indian court formatting. (3) Self-represented litigant — do not assume a law-firm letterhead or advocate signature block; use the party's own name, address, and 'Party-in-Person' designation in the signature and service blocks.</w:t>
            </w:r>
          </w:p>
        </w:tc>
      </w:tr>
    </w:tbl>
    <w:p>
      <w:pPr>
        <w:pStyle w:val="Heading1"/>
        <w:pageBreakBefore/>
        <w:spacing w:after="160" w:before="300"/>
      </w:pPr>
      <w:r>
        <w:rPr>
          <w:rFonts w:ascii="Times New Roman" w:cs="Times New Roman" w:eastAsia="Times New Roman" w:hAnsi="Times New Roman"/>
          <w:b/>
          <w:bCs/>
          <w:sz w:val="30"/>
          <w:szCs w:val="30"/>
        </w:rPr>
        <w:t xml:space="preserve">Documented Representation Regarding Judicial Conduct (In-House Procedure)</w:t>
      </w:r>
    </w:p>
    <w:p>
      <w:pPr>
        <w:spacing w:after="60" w:line="360"/>
        <w:jc w:val="both"/>
      </w:pPr>
      <w:r>
        <w:rPr>
          <w:rFonts w:ascii="Times New Roman" w:cs="Times New Roman" w:eastAsia="Times New Roman" w:hAnsi="Times New Roman"/>
          <w:b w:val="false"/>
          <w:bCs w:val="false"/>
          <w:i/>
          <w:iCs/>
          <w:sz w:val="26"/>
          <w:szCs w:val="26"/>
        </w:rPr>
        <w:t xml:space="preserve">Template Code: HR-10</w:t>
      </w:r>
    </w:p>
    <w:p>
      <w:pPr>
        <w:spacing w:after="240" w:line="360"/>
        <w:jc w:val="both"/>
      </w:pPr>
      <w:r>
        <w:rPr>
          <w:rFonts w:ascii="Times New Roman" w:cs="Times New Roman" w:eastAsia="Times New Roman" w:hAnsi="Times New Roman"/>
          <w:b w:val="false"/>
          <w:bCs w:val="false"/>
          <w:i/>
          <w:iCs/>
          <w:sz w:val="26"/>
          <w:szCs w:val="26"/>
        </w:rPr>
        <w:t xml:space="preserve">Applicable Volume Cross-Reference: An exceptionally sensitive instrument; cross-refer to Volume 5 (Supreme Court Practice) for any related review/curative petition, and Volume 17 (Appellate Practice) for the ordinary appellate remedy against an adverse order.</w:t>
      </w:r>
    </w:p>
    <w:p>
      <w:pPr>
        <w:pStyle w:val="Heading2"/>
        <w:spacing w:after="160" w:before="300"/>
      </w:pPr>
      <w:r>
        <w:rPr>
          <w:rFonts w:ascii="Times New Roman" w:cs="Times New Roman" w:eastAsia="Times New Roman" w:hAnsi="Times New Roman"/>
          <w:b/>
          <w:bCs/>
          <w:sz w:val="30"/>
          <w:szCs w:val="30"/>
        </w:rPr>
        <w:t xml:space="preserve">1. AI Drafting Instructions</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This instrument is reserved for genuine, well-documented concerns about judicial conduct — not for expressing disagreement with an adverse ruling, which has its own remedy through appeal or review. Never draft this as a substitute for, or dressed-up version of, an appeal on the merits.</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Confine the representation strictly to objective, verifiable facts (specific dates, specific statements on the record, a demonstrable pattern across multiple proceedings) — never include subjective characterisations of a judge's motives that are not directly evidenced by the record.</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Distinguish the appropriate channel precisely: administrative/complaint channels to the relevant High Court (for subordinate judiciary) versus the Chief Justice of India's in-house procedure (for High Court/Supreme Court judges) versus, in the most serious and rare cases, the constitutional removal process under Article 124(4)/218 — this is not a request the drafter should default to the most serious channel for; select the correct, proportionate one.</w:t>
      </w:r>
    </w:p>
    <w:p>
      <w:pPr>
        <w:pStyle w:val="ListParagraph"/>
        <w:numPr>
          <w:ilvl w:val="0"/>
          <w:numId w:val="2"/>
        </w:numPr>
        <w:spacing w:after="100" w:line="360"/>
      </w:pPr>
      <w:r>
        <w:rPr>
          <w:rFonts w:ascii="Times New Roman" w:cs="Times New Roman" w:eastAsia="Times New Roman" w:hAnsi="Times New Roman"/>
          <w:b w:val="false"/>
          <w:bCs w:val="false"/>
          <w:sz w:val="26"/>
          <w:szCs w:val="26"/>
        </w:rPr>
        <w:t xml:space="preserve">Explicitly flag to the user, before finalising, that an unfounded or exaggerated allegation against a judicial officer carries serious contempt-of-court and professional consequences, and that this instrument must be reserved for matters genuinely supported by the documentary record.</w:t>
      </w:r>
    </w:p>
    <w:p>
      <w:pPr>
        <w:pStyle w:val="Heading2"/>
        <w:spacing w:after="160" w:before="300"/>
      </w:pPr>
      <w:r>
        <w:rPr>
          <w:rFonts w:ascii="Times New Roman" w:cs="Times New Roman" w:eastAsia="Times New Roman" w:hAnsi="Times New Roman"/>
          <w:b/>
          <w:bCs/>
          <w:sz w:val="30"/>
          <w:szCs w:val="30"/>
        </w:rPr>
        <w:t xml:space="preserve">2. Governing Law</w:t>
      </w:r>
    </w:p>
    <w:p>
      <w:pPr>
        <w:spacing w:after="160" w:line="360"/>
        <w:jc w:val="both"/>
      </w:pPr>
      <w:r>
        <w:rPr>
          <w:rFonts w:ascii="Times New Roman" w:cs="Times New Roman" w:eastAsia="Times New Roman" w:hAnsi="Times New Roman"/>
          <w:b w:val="false"/>
          <w:bCs w:val="false"/>
          <w:i w:val="false"/>
          <w:iCs w:val="false"/>
          <w:sz w:val="26"/>
          <w:szCs w:val="26"/>
        </w:rPr>
        <w:t xml:space="preserve">The In-House Procedure established following C. Ravichandran Iyer v. Justice A.M. Bhattacharjee, (1995) 5 SCC 457; Article 124(4)/218 of the Constitution of India (for the constitutional removal process, in the rare cases warranting it); the relevant High Court's administrative complaint mechanism (for subordinate judiciary).</w:t>
      </w:r>
    </w:p>
    <w:p>
      <w:pPr>
        <w:pStyle w:val="Heading2"/>
        <w:spacing w:after="160" w:before="300"/>
      </w:pPr>
      <w:r>
        <w:rPr>
          <w:rFonts w:ascii="Times New Roman" w:cs="Times New Roman" w:eastAsia="Times New Roman" w:hAnsi="Times New Roman"/>
          <w:b/>
          <w:bCs/>
          <w:sz w:val="30"/>
          <w:szCs w:val="30"/>
        </w:rPr>
        <w:t xml:space="preserve">3. Jurisdiction</w:t>
      </w:r>
    </w:p>
    <w:p>
      <w:pPr>
        <w:spacing w:after="160" w:line="360"/>
        <w:jc w:val="both"/>
      </w:pPr>
      <w:r>
        <w:rPr>
          <w:rFonts w:ascii="Times New Roman" w:cs="Times New Roman" w:eastAsia="Times New Roman" w:hAnsi="Times New Roman"/>
          <w:b w:val="false"/>
          <w:bCs w:val="false"/>
          <w:i w:val="false"/>
          <w:iCs w:val="false"/>
          <w:sz w:val="26"/>
          <w:szCs w:val="26"/>
        </w:rPr>
        <w:t xml:space="preserve">The Chief Justice of the relevant High Court (for subordinate judiciary conduct) or the Chief Justice of India (for High Court/Supreme Court judicial conduct, via the in-house procedure).</w:t>
      </w:r>
    </w:p>
    <w:p>
      <w:pPr>
        <w:pStyle w:val="Heading2"/>
        <w:spacing w:after="160" w:before="300"/>
      </w:pPr>
      <w:r>
        <w:rPr>
          <w:rFonts w:ascii="Times New Roman" w:cs="Times New Roman" w:eastAsia="Times New Roman" w:hAnsi="Times New Roman"/>
          <w:b/>
          <w:bCs/>
          <w:sz w:val="30"/>
          <w:szCs w:val="30"/>
        </w:rPr>
        <w:t xml:space="preserve">4. Mandatory Ingredients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Mandatory Ingredient</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Specific, dated, verifiable facts (not characterisations) establishing the conduct concern</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Documentary record supporting each factual assertion (order sheets, transcripts, correspondence)</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Identification of the correct channel (administrative complaint, in-house procedure, or, in the rarest cases, the constitutional process) for the specific level of judicial officer involved</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5. Cause Title Format</w:t>
      </w:r>
    </w:p>
    <w:p>
      <w:pPr>
        <w:spacing w:after="160" w:line="360"/>
        <w:jc w:val="both"/>
      </w:pPr>
      <w:r>
        <w:rPr>
          <w:rFonts w:ascii="Times New Roman" w:cs="Times New Roman" w:eastAsia="Times New Roman" w:hAnsi="Times New Roman"/>
          <w:b w:val="false"/>
          <w:bCs w:val="false"/>
          <w:i w:val="false"/>
          <w:iCs w:val="false"/>
          <w:sz w:val="26"/>
          <w:szCs w:val="26"/>
        </w:rPr>
        <w:t xml:space="preserve">TO THE HON'BLE CHIEF JUSTICE OF [THE HIGH COURT / INDIA] / REPRESENTATION REGARDING JUDICIAL CONDUCT IN [CASE/PROCEEDING]</w:t>
      </w:r>
    </w:p>
    <w:p>
      <w:pPr>
        <w:pStyle w:val="Heading2"/>
        <w:spacing w:after="160" w:before="300"/>
      </w:pPr>
      <w:r>
        <w:rPr>
          <w:rFonts w:ascii="Times New Roman" w:cs="Times New Roman" w:eastAsia="Times New Roman" w:hAnsi="Times New Roman"/>
          <w:b/>
          <w:bCs/>
          <w:sz w:val="30"/>
          <w:szCs w:val="30"/>
        </w:rPr>
        <w:t xml:space="preserve">6. Index (Standard Format)</w:t>
      </w:r>
    </w:p>
    <w:p>
      <w:pPr>
        <w:spacing w:after="160" w:line="360"/>
        <w:jc w:val="both"/>
      </w:pPr>
      <w:r>
        <w:rPr>
          <w:rFonts w:ascii="Times New Roman" w:cs="Times New Roman" w:eastAsia="Times New Roman" w:hAnsi="Times New Roman"/>
          <w:b w:val="false"/>
          <w:bCs w:val="false"/>
          <w:i w:val="false"/>
          <w:iCs w:val="false"/>
          <w:sz w:val="26"/>
          <w:szCs w:val="26"/>
        </w:rPr>
        <w:t xml:space="preserve">Sr. No. | Particulars | Page No. — tabulate all annexures and pleadings chronologically.</w:t>
      </w:r>
    </w:p>
    <w:p>
      <w:pPr>
        <w:pStyle w:val="Heading2"/>
        <w:spacing w:after="160" w:before="300"/>
      </w:pPr>
      <w:r>
        <w:rPr>
          <w:rFonts w:ascii="Times New Roman" w:cs="Times New Roman" w:eastAsia="Times New Roman" w:hAnsi="Times New Roman"/>
          <w:b/>
          <w:bCs/>
          <w:sz w:val="30"/>
          <w:szCs w:val="30"/>
        </w:rPr>
        <w:t xml:space="preserve">7. Synopsis</w:t>
      </w:r>
    </w:p>
    <w:p>
      <w:pPr>
        <w:spacing w:after="160" w:line="360"/>
        <w:jc w:val="both"/>
      </w:pPr>
      <w:r>
        <w:rPr>
          <w:rFonts w:ascii="Times New Roman" w:cs="Times New Roman" w:eastAsia="Times New Roman" w:hAnsi="Times New Roman"/>
          <w:b w:val="false"/>
          <w:bCs w:val="false"/>
          <w:i w:val="false"/>
          <w:iCs w:val="false"/>
          <w:sz w:val="26"/>
          <w:szCs w:val="26"/>
        </w:rPr>
        <w:t xml:space="preserve">A restrained, strictly factual statement identifying the specific, documented conduct concern and the channel through which it is being raised.</w:t>
      </w:r>
    </w:p>
    <w:p>
      <w:pPr>
        <w:pStyle w:val="Heading2"/>
        <w:spacing w:after="160" w:before="300"/>
      </w:pPr>
      <w:r>
        <w:rPr>
          <w:rFonts w:ascii="Times New Roman" w:cs="Times New Roman" w:eastAsia="Times New Roman" w:hAnsi="Times New Roman"/>
          <w:b/>
          <w:bCs/>
          <w:sz w:val="30"/>
          <w:szCs w:val="30"/>
        </w:rPr>
        <w:t xml:space="preserve">8. List of Dates and Events</w:t>
      </w:r>
    </w:p>
    <w:p>
      <w:pPr>
        <w:spacing w:after="160" w:line="360"/>
        <w:jc w:val="both"/>
      </w:pPr>
      <w:r>
        <w:rPr>
          <w:rFonts w:ascii="Times New Roman" w:cs="Times New Roman" w:eastAsia="Times New Roman" w:hAnsi="Times New Roman"/>
          <w:b w:val="false"/>
          <w:bCs w:val="false"/>
          <w:i w:val="false"/>
          <w:iCs w:val="false"/>
          <w:sz w:val="26"/>
          <w:szCs w:val="26"/>
        </w:rPr>
        <w:t xml:space="preserve">Date | Event — chronological, each entry cross-referenced to an annexure letter.</w:t>
      </w:r>
    </w:p>
    <w:p>
      <w:pPr>
        <w:pStyle w:val="Heading2"/>
        <w:spacing w:after="160" w:before="300"/>
      </w:pPr>
      <w:r>
        <w:rPr>
          <w:rFonts w:ascii="Times New Roman" w:cs="Times New Roman" w:eastAsia="Times New Roman" w:hAnsi="Times New Roman"/>
          <w:b/>
          <w:bCs/>
          <w:sz w:val="30"/>
          <w:szCs w:val="30"/>
        </w:rPr>
        <w:t xml:space="preserve">9. Parties</w:t>
      </w:r>
    </w:p>
    <w:p>
      <w:pPr>
        <w:spacing w:after="160" w:line="360"/>
        <w:jc w:val="both"/>
      </w:pPr>
      <w:r>
        <w:rPr>
          <w:rFonts w:ascii="Times New Roman" w:cs="Times New Roman" w:eastAsia="Times New Roman" w:hAnsi="Times New Roman"/>
          <w:b w:val="false"/>
          <w:bCs w:val="false"/>
          <w:i w:val="false"/>
          <w:iCs w:val="false"/>
          <w:sz w:val="26"/>
          <w:szCs w:val="26"/>
        </w:rPr>
        <w:t xml:space="preserve">The person making the representation and, where the representation concerns a specific proceeding, a reference to the case in which the conduct arose (the judicial officer is not named as a 'respondent' in the litigation sense; this is an administrative representation, not adversarial litigation).</w:t>
      </w:r>
    </w:p>
    <w:p>
      <w:pPr>
        <w:pStyle w:val="Heading2"/>
        <w:spacing w:after="160" w:before="300"/>
      </w:pPr>
      <w:r>
        <w:rPr>
          <w:rFonts w:ascii="Times New Roman" w:cs="Times New Roman" w:eastAsia="Times New Roman" w:hAnsi="Times New Roman"/>
          <w:b/>
          <w:bCs/>
          <w:sz w:val="30"/>
          <w:szCs w:val="30"/>
        </w:rPr>
        <w:t xml:space="preserve">10. Facts</w:t>
      </w:r>
    </w:p>
    <w:p>
      <w:pPr>
        <w:spacing w:after="160" w:line="360"/>
        <w:jc w:val="both"/>
      </w:pPr>
      <w:r>
        <w:rPr>
          <w:rFonts w:ascii="Times New Roman" w:cs="Times New Roman" w:eastAsia="Times New Roman" w:hAnsi="Times New Roman"/>
          <w:b w:val="false"/>
          <w:bCs w:val="false"/>
          <w:i w:val="false"/>
          <w:iCs w:val="false"/>
          <w:sz w:val="26"/>
          <w:szCs w:val="26"/>
        </w:rPr>
        <w:t xml:space="preserve">Strictly factual, dated, and documented statements only — each fact must be traceable to a specific order, transcript, or verifiable record; no characterisation of motive or intent beyond what the record itself demonstrates.</w:t>
      </w:r>
    </w:p>
    <w:p>
      <w:pPr>
        <w:pStyle w:val="Heading2"/>
        <w:spacing w:after="160" w:before="300"/>
      </w:pPr>
      <w:r>
        <w:rPr>
          <w:rFonts w:ascii="Times New Roman" w:cs="Times New Roman" w:eastAsia="Times New Roman" w:hAnsi="Times New Roman"/>
          <w:b/>
          <w:bCs/>
          <w:sz w:val="30"/>
          <w:szCs w:val="30"/>
        </w:rPr>
        <w:t xml:space="preserve">11. Questions / Issues for Determination</w:t>
      </w:r>
    </w:p>
    <w:p>
      <w:pPr>
        <w:pStyle w:val="ListParagraph"/>
        <w:numPr>
          <w:ilvl w:val="0"/>
          <w:numId w:val="3"/>
        </w:numPr>
        <w:spacing w:after="100" w:line="360"/>
      </w:pPr>
      <w:r>
        <w:rPr>
          <w:rFonts w:ascii="Times New Roman" w:cs="Times New Roman" w:eastAsia="Times New Roman" w:hAnsi="Times New Roman"/>
          <w:sz w:val="26"/>
          <w:szCs w:val="26"/>
        </w:rPr>
        <w:t xml:space="preserve">Whether the documented facts, on their face, raise a genuine conduct concern warranting administrative attention</w:t>
      </w:r>
    </w:p>
    <w:p>
      <w:pPr>
        <w:pStyle w:val="ListParagraph"/>
        <w:numPr>
          <w:ilvl w:val="0"/>
          <w:numId w:val="3"/>
        </w:numPr>
        <w:spacing w:after="100" w:line="360"/>
      </w:pPr>
      <w:r>
        <w:rPr>
          <w:rFonts w:ascii="Times New Roman" w:cs="Times New Roman" w:eastAsia="Times New Roman" w:hAnsi="Times New Roman"/>
          <w:sz w:val="26"/>
          <w:szCs w:val="26"/>
        </w:rPr>
        <w:t xml:space="preserve">Whether the correct channel (administrative, in-house, or constitutional) has been identified for the level of judicial officer involved</w:t>
      </w:r>
    </w:p>
    <w:p>
      <w:pPr>
        <w:pStyle w:val="Heading2"/>
        <w:spacing w:after="160" w:before="300"/>
      </w:pPr>
      <w:r>
        <w:rPr>
          <w:rFonts w:ascii="Times New Roman" w:cs="Times New Roman" w:eastAsia="Times New Roman" w:hAnsi="Times New Roman"/>
          <w:b/>
          <w:bCs/>
          <w:sz w:val="30"/>
          <w:szCs w:val="30"/>
        </w:rPr>
        <w:t xml:space="preserve">12. Statutory Provisions Invoked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Statutory Provision</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The In-House Procedure (as established by Supreme Court resolution and elaborated in C. Ravichandran Iyer)</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Article 124(4)/218 of the Constitution of India (for the rare constitutional process)</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13. Case-Law Citations</w:t>
      </w:r>
    </w:p>
    <w:p>
      <w:pPr>
        <w:spacing w:after="160" w:line="360"/>
        <w:jc w:val="both"/>
      </w:pPr>
      <w:r>
        <w:rPr>
          <w:rFonts w:ascii="Times New Roman" w:cs="Times New Roman" w:eastAsia="Times New Roman" w:hAnsi="Times New Roman"/>
          <w:b w:val="false"/>
          <w:bCs w:val="false"/>
          <w:i/>
          <w:iCs/>
          <w:sz w:val="26"/>
          <w:szCs w:val="26"/>
        </w:rPr>
        <w:t xml:space="preserve">The following are established, verifiable citations directly relevant to this instrument. Additional matter-specific case law should be added in the same tabular format; do not leave a case-law slot filled with an invented citation.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32"/>
        <w:gridCol w:w="60"/>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3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Case Citation</w:t>
            </w:r>
          </w:p>
        </w:tc>
        <w:tc>
          <w:tcPr>
            <w:tcW w:type="pct" w:w="60%"/>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Legal Proposition</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3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 Ravichandran Iyer v. Justice A.M. Bhattacharjee, (1995) 5 SCC 457</w:t>
            </w:r>
          </w:p>
        </w:tc>
        <w:tc>
          <w:tcPr>
            <w:tcW w:type="pct" w:w="60%"/>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Recognised the in-house procedure as an appropriate, proportionate mechanism to address concerns about judicial conduct that fall short of the grave threshold required for constitutional removal proceedings, while also cautioning that public campaigns or unsubstantiated allegations against judges undermine the independence of the judiciary and are to be strongly discouraged.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3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K. Veeraswami v. Union of India, (1991) 3 SCC 655</w:t>
            </w:r>
          </w:p>
        </w:tc>
        <w:tc>
          <w:tcPr>
            <w:tcW w:type="pct" w:w="60%"/>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Held that a judge is not above the law and can be subject to due process for actionable misconduct, but also emphasised the constitutional safeguards (including the requirement of the Chief Justice of India's sanction before certain proceedings) that protect judicial independence from frivolous or vexatious complaints.</w:t>
            </w:r>
          </w:p>
        </w:tc>
      </w:tr>
    </w:tbl>
    <w:p>
      <w:pPr>
        <w:pStyle w:val="Heading2"/>
        <w:spacing w:after="160" w:before="300"/>
      </w:pPr>
      <w:r>
        <w:rPr>
          <w:rFonts w:ascii="Times New Roman" w:cs="Times New Roman" w:eastAsia="Times New Roman" w:hAnsi="Times New Roman"/>
          <w:b/>
          <w:bCs/>
          <w:sz w:val="30"/>
          <w:szCs w:val="30"/>
        </w:rPr>
        <w:t xml:space="preserve">14. Grounds</w:t>
      </w:r>
    </w:p>
    <w:p>
      <w:pPr>
        <w:pStyle w:val="ListParagraph"/>
        <w:numPr>
          <w:ilvl w:val="0"/>
          <w:numId w:val="3"/>
        </w:numPr>
        <w:spacing w:after="100" w:line="360"/>
      </w:pPr>
      <w:r>
        <w:rPr>
          <w:rFonts w:ascii="Times New Roman" w:cs="Times New Roman" w:eastAsia="Times New Roman" w:hAnsi="Times New Roman"/>
          <w:sz w:val="26"/>
          <w:szCs w:val="26"/>
        </w:rPr>
        <w:t xml:space="preserve">Specific, dated, documented facts (not characterisations) supporting the conduct concern</w:t>
      </w:r>
    </w:p>
    <w:p>
      <w:pPr>
        <w:pStyle w:val="ListParagraph"/>
        <w:numPr>
          <w:ilvl w:val="0"/>
          <w:numId w:val="3"/>
        </w:numPr>
        <w:spacing w:after="100" w:line="360"/>
      </w:pPr>
      <w:r>
        <w:rPr>
          <w:rFonts w:ascii="Times New Roman" w:cs="Times New Roman" w:eastAsia="Times New Roman" w:hAnsi="Times New Roman"/>
          <w:sz w:val="26"/>
          <w:szCs w:val="26"/>
        </w:rPr>
        <w:t xml:space="preserve">The concern, on the documented facts, is of a nature and gravity appropriate to the channel selected</w:t>
      </w:r>
    </w:p>
    <w:p>
      <w:pPr>
        <w:pStyle w:val="Heading2"/>
        <w:spacing w:after="160" w:before="300"/>
      </w:pPr>
      <w:r>
        <w:rPr>
          <w:rFonts w:ascii="Times New Roman" w:cs="Times New Roman" w:eastAsia="Times New Roman" w:hAnsi="Times New Roman"/>
          <w:b/>
          <w:bCs/>
          <w:sz w:val="30"/>
          <w:szCs w:val="30"/>
        </w:rPr>
        <w:t xml:space="preserve">15. Interim Relief Sought</w:t>
      </w:r>
    </w:p>
    <w:p>
      <w:pPr>
        <w:spacing w:after="160" w:line="360"/>
        <w:jc w:val="both"/>
      </w:pPr>
      <w:r>
        <w:rPr>
          <w:rFonts w:ascii="Times New Roman" w:cs="Times New Roman" w:eastAsia="Times New Roman" w:hAnsi="Times New Roman"/>
          <w:b w:val="false"/>
          <w:bCs w:val="false"/>
          <w:i w:val="false"/>
          <w:iCs w:val="false"/>
          <w:sz w:val="26"/>
          <w:szCs w:val="26"/>
        </w:rPr>
        <w:t xml:space="preserve">N/A — this is an administrative representation, not a litigation instrument seeking interim relief. If the underlying proceeding requires urgent relief on its merits, that should be pursued through the ordinary appellate/review channel (Volume 5/17), entirely separately from this representation.</w:t>
      </w:r>
    </w:p>
    <w:p>
      <w:pPr>
        <w:pStyle w:val="Heading2"/>
        <w:spacing w:after="160" w:before="300"/>
      </w:pPr>
      <w:r>
        <w:rPr>
          <w:rFonts w:ascii="Times New Roman" w:cs="Times New Roman" w:eastAsia="Times New Roman" w:hAnsi="Times New Roman"/>
          <w:b/>
          <w:bCs/>
          <w:sz w:val="30"/>
          <w:szCs w:val="30"/>
        </w:rPr>
        <w:t xml:space="preserve">16. Main Prayer</w:t>
      </w:r>
    </w:p>
    <w:p>
      <w:pPr>
        <w:pStyle w:val="ListParagraph"/>
        <w:numPr>
          <w:ilvl w:val="0"/>
          <w:numId w:val="3"/>
        </w:numPr>
        <w:spacing w:after="100" w:line="360"/>
      </w:pPr>
      <w:r>
        <w:rPr>
          <w:rFonts w:ascii="Times New Roman" w:cs="Times New Roman" w:eastAsia="Times New Roman" w:hAnsi="Times New Roman"/>
          <w:sz w:val="26"/>
          <w:szCs w:val="26"/>
        </w:rPr>
        <w:t xml:space="preserve">Consideration of the documented conduct concern through the appropriate administrative channel</w:t>
      </w:r>
    </w:p>
    <w:p>
      <w:pPr>
        <w:pStyle w:val="ListParagraph"/>
        <w:numPr>
          <w:ilvl w:val="0"/>
          <w:numId w:val="3"/>
        </w:numPr>
        <w:spacing w:after="100" w:line="360"/>
      </w:pPr>
      <w:r>
        <w:rPr>
          <w:rFonts w:ascii="Times New Roman" w:cs="Times New Roman" w:eastAsia="Times New Roman" w:hAnsi="Times New Roman"/>
          <w:sz w:val="26"/>
          <w:szCs w:val="26"/>
        </w:rPr>
        <w:t xml:space="preserve">Such administrative action, if any, as the Hon'ble Chief Justice deems appropriate upon review of the documented record</w:t>
      </w:r>
    </w:p>
    <w:p>
      <w:pPr>
        <w:pStyle w:val="Heading2"/>
        <w:spacing w:after="160" w:before="300"/>
      </w:pPr>
      <w:r>
        <w:rPr>
          <w:rFonts w:ascii="Times New Roman" w:cs="Times New Roman" w:eastAsia="Times New Roman" w:hAnsi="Times New Roman"/>
          <w:b/>
          <w:bCs/>
          <w:sz w:val="30"/>
          <w:szCs w:val="30"/>
        </w:rPr>
        <w:t xml:space="preserve">17. Costs</w:t>
      </w:r>
    </w:p>
    <w:p>
      <w:pPr>
        <w:spacing w:after="160" w:line="360"/>
        <w:jc w:val="both"/>
      </w:pPr>
      <w:r>
        <w:rPr>
          <w:rFonts w:ascii="Times New Roman" w:cs="Times New Roman" w:eastAsia="Times New Roman" w:hAnsi="Times New Roman"/>
          <w:b w:val="false"/>
          <w:bCs w:val="false"/>
          <w:i w:val="false"/>
          <w:iCs w:val="false"/>
          <w:sz w:val="26"/>
          <w:szCs w:val="26"/>
        </w:rPr>
        <w:t xml:space="preserve">Costs of this proceeding be awarded to the Applicant/Complainant/Petitioner/Plaintiff as this Hon'ble Court/Forum deems fit.</w:t>
      </w:r>
    </w:p>
    <w:p>
      <w:pPr>
        <w:pStyle w:val="Heading2"/>
        <w:spacing w:after="160" w:before="300"/>
      </w:pPr>
      <w:r>
        <w:rPr>
          <w:rFonts w:ascii="Times New Roman" w:cs="Times New Roman" w:eastAsia="Times New Roman" w:hAnsi="Times New Roman"/>
          <w:b/>
          <w:bCs/>
          <w:sz w:val="30"/>
          <w:szCs w:val="30"/>
        </w:rPr>
        <w:t xml:space="preserve">18. Verification</w:t>
      </w:r>
    </w:p>
    <w:p>
      <w:pPr>
        <w:spacing w:after="160" w:line="360"/>
        <w:jc w:val="both"/>
      </w:pPr>
      <w:r>
        <w:rPr>
          <w:rFonts w:ascii="Times New Roman" w:cs="Times New Roman" w:eastAsia="Times New Roman" w:hAnsi="Times New Roman"/>
          <w:b w:val="false"/>
          <w:bCs w:val="false"/>
          <w:i w:val="false"/>
          <w:iCs w:val="false"/>
          <w:sz w:val="26"/>
          <w:szCs w:val="26"/>
        </w:rPr>
        <w:t xml:space="preserve">I, the party named above, do hereby verify that the contents of paragraphs __ to __ are true to my knowledge, paragraphs __ to __ are based on information received and believed to be true, and paragraphs __ to __ are based on legal advice, and nothing material has been concealed therefrom.</w:t>
      </w:r>
    </w:p>
    <w:p>
      <w:pPr>
        <w:pStyle w:val="Heading2"/>
        <w:spacing w:after="160" w:before="300"/>
      </w:pPr>
      <w:r>
        <w:rPr>
          <w:rFonts w:ascii="Times New Roman" w:cs="Times New Roman" w:eastAsia="Times New Roman" w:hAnsi="Times New Roman"/>
          <w:b/>
          <w:bCs/>
          <w:sz w:val="30"/>
          <w:szCs w:val="30"/>
        </w:rPr>
        <w:t xml:space="preserve">19. Affidavit</w:t>
      </w:r>
    </w:p>
    <w:p>
      <w:pPr>
        <w:spacing w:after="160" w:line="360"/>
        <w:jc w:val="both"/>
      </w:pPr>
      <w:r>
        <w:rPr>
          <w:rFonts w:ascii="Times New Roman" w:cs="Times New Roman" w:eastAsia="Times New Roman" w:hAnsi="Times New Roman"/>
          <w:b w:val="false"/>
          <w:bCs w:val="false"/>
          <w:i w:val="false"/>
          <w:iCs w:val="false"/>
          <w:sz w:val="26"/>
          <w:szCs w:val="26"/>
        </w:rPr>
        <w:t xml:space="preserve">Standard affidavit in support per Universal Affidavit Framework (Volume 1, UNI-02), sworn/affirmed before a Notary/Oath Commissioner, annexed as Annexure — Affidavit.</w:t>
      </w:r>
    </w:p>
    <w:p>
      <w:pPr>
        <w:pStyle w:val="Heading2"/>
        <w:spacing w:after="160" w:before="300"/>
      </w:pPr>
      <w:r>
        <w:rPr>
          <w:rFonts w:ascii="Times New Roman" w:cs="Times New Roman" w:eastAsia="Times New Roman" w:hAnsi="Times New Roman"/>
          <w:b/>
          <w:bCs/>
          <w:sz w:val="30"/>
          <w:szCs w:val="30"/>
        </w:rPr>
        <w:t xml:space="preserve">20. Annexure List</w:t>
      </w:r>
    </w:p>
    <w:p>
      <w:pPr>
        <w:spacing w:after="160" w:line="360"/>
        <w:jc w:val="both"/>
      </w:pPr>
      <w:r>
        <w:rPr>
          <w:rFonts w:ascii="Times New Roman" w:cs="Times New Roman" w:eastAsia="Times New Roman" w:hAnsi="Times New Roman"/>
          <w:b w:val="false"/>
          <w:bCs w:val="false"/>
          <w:i w:val="false"/>
          <w:iCs w:val="false"/>
          <w:sz w:val="26"/>
          <w:szCs w:val="26"/>
        </w:rPr>
        <w:t xml:space="preserve">Annexure A, B, C ... — each annexure indexed with a one-line description and page reference; maintain running alphabetical sequence across all filings in the matter.</w:t>
      </w:r>
    </w:p>
    <w:p>
      <w:pPr>
        <w:pStyle w:val="Heading2"/>
        <w:spacing w:after="160" w:before="300"/>
      </w:pPr>
      <w:r>
        <w:rPr>
          <w:rFonts w:ascii="Times New Roman" w:cs="Times New Roman" w:eastAsia="Times New Roman" w:hAnsi="Times New Roman"/>
          <w:b/>
          <w:bCs/>
          <w:sz w:val="30"/>
          <w:szCs w:val="30"/>
        </w:rPr>
        <w:t xml:space="preserve">21. Filing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w:t>
            </w:r>
          </w:p>
        </w:tc>
        <w:tc>
          <w:tcPr>
            <w:tcW w:type="pct" w:w="9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Filing Checklist Item</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Every factual assertion cross-checked against a specific, citable document (order sheet, transcript, correspondence) — none left unsupported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Language reviewed to strip any characterisation of motive not directly evidenced by the record</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Correct channel (administrative/in-house/constitutional) confirmed for the specific judicial officer's level</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User has been explicitly advised of the contempt and professional risk of an unfounded or exaggerated representation</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22. AI Review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rPr>
          <w:tblHeader/>
        </w:trPr>
        <w:tc>
          <w:tcPr>
            <w:tcW w:type="pct" w:w="8%"/>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w:t>
            </w:r>
          </w:p>
        </w:tc>
        <w:tc>
          <w:tcPr>
            <w:tcW w:type="pct" w:w="92%"/>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AI Review Item</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every factual statement is tied to a specific, citable document, with no unsupported characterisation of motive or intent</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the correct, proportionate channel is used for the level of judicial officer involved, not automatically the most serious available channel</w:t>
            </w:r>
          </w:p>
        </w:tc>
      </w:tr>
      <w:tr>
        <w:tc>
          <w:tcPr>
            <w:tcW w:type="pct" w:w="8%"/>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w:t>
            </w:r>
          </w:p>
        </w:tc>
        <w:tc>
          <w:tcPr>
            <w:tcW w:type="pct" w:w="92%"/>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Confirm the representation is clearly framed as distinct from, and not a substitute for, an appeal or review on the underlying merits</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23. Common Drafting Mistakes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85"/>
      </w:tblGrid>
      <w:tr>
        <w:trPr>
          <w:tblHeader/>
        </w:trPr>
        <w:tc>
          <w:tcPr>
            <w:tcW w:type="pct" w:w="1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Sr. No.</w:t>
            </w:r>
          </w:p>
        </w:tc>
        <w:tc>
          <w:tcPr>
            <w:tcW w:type="pct" w:w="85%"/>
            <w:tcBorders>
              <w:top w:val="single" w:color="555555" w:sz="4"/>
              <w:left w:val="single" w:color="555555" w:sz="4"/>
              <w:bottom w:val="single" w:color="555555" w:sz="4"/>
              <w:right w:val="single" w:color="555555" w:sz="4"/>
            </w:tcBorders>
            <w:shd w:fill="DCE6F1"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6"/>
                <w:szCs w:val="26"/>
              </w:rPr>
              <w:t xml:space="preserve">Common Mistake</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1</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Using this instrument as a disguised extra layer of appeal against an adverse ruling, rather than confining it to genuine, documented conduct concerns</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2</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Including subjective characterisations of motive or bias that are not directly and specifically evidenced by the record</w:t>
            </w:r>
          </w:p>
        </w:tc>
      </w:tr>
      <w:tr>
        <w:tc>
          <w:tcPr>
            <w:tcW w:type="pct" w:w="1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3</w:t>
            </w:r>
          </w:p>
        </w:tc>
        <w:tc>
          <w:tcPr>
            <w:tcW w:type="pct" w:w="85%"/>
            <w:tcBorders>
              <w:top w:val="single" w:color="555555" w:sz="4"/>
              <w:left w:val="single" w:color="555555" w:sz="4"/>
              <w:bottom w:val="single" w:color="555555" w:sz="4"/>
              <w:right w:val="single" w:color="555555" w:sz="4"/>
            </w:tcBorders>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6"/>
                <w:szCs w:val="26"/>
              </w:rPr>
              <w:t xml:space="preserve">Selecting a disproportionately serious channel (e.g., invoking the constitutional removal process) for a concern that does not meet that grave threshold</w:t>
            </w:r>
          </w:p>
        </w:tc>
      </w:tr>
    </w:tbl>
    <w:p>
      <w:pPr>
        <w:spacing w:after="200"/>
      </w:pPr>
    </w:p>
    <w:p>
      <w:pPr>
        <w:pStyle w:val="Heading2"/>
        <w:spacing w:after="160" w:before="300"/>
      </w:pPr>
      <w:r>
        <w:rPr>
          <w:rFonts w:ascii="Times New Roman" w:cs="Times New Roman" w:eastAsia="Times New Roman" w:hAnsi="Times New Roman"/>
          <w:b/>
          <w:bCs/>
          <w:sz w:val="30"/>
          <w:szCs w:val="30"/>
        </w:rPr>
        <w:t xml:space="preserve">24. Claude Optimization Prompt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GENERATOR PROMPT —</w:t>
            </w:r>
          </w:p>
          <w:p>
            <w:pPr>
              <w:spacing w:line="300"/>
              <w:jc w:val="both"/>
            </w:pPr>
            <w:r>
              <w:rPr>
                <w:rFonts w:ascii="Times New Roman" w:cs="Times New Roman" w:eastAsia="Times New Roman" w:hAnsi="Times New Roman"/>
                <w:i/>
                <w:iCs/>
                <w:sz w:val="26"/>
                <w:szCs w:val="26"/>
              </w:rPr>
              <w:t xml:space="preserve">Draft a documented representation regarding judicial conduct in [case/proceeding], addressed to [the Chief Justice of the relevant High Court / the Chief Justice of India], based strictly on the following dated, documented facts: [facts, each tied to a specific order/transcript/record]. Do not include any characterisation of motive not directly evidenced by the record, and confirm the channel selected is proportionate to the conduct concern. Use only facts and documents supplied by the user; where a fact cannot be tied to a specific document, mark it as [UNSUPPORTED — remove or independently verify before filing] rather than including it.</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25. Claude/GPT Reviewer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REVIEWER PROMPT —</w:t>
            </w:r>
          </w:p>
          <w:p>
            <w:pPr>
              <w:spacing w:line="300"/>
              <w:jc w:val="both"/>
            </w:pPr>
            <w:r>
              <w:rPr>
                <w:rFonts w:ascii="Times New Roman" w:cs="Times New Roman" w:eastAsia="Times New Roman" w:hAnsi="Times New Roman"/>
                <w:i/>
                <w:iCs/>
                <w:sz w:val="26"/>
                <w:szCs w:val="26"/>
              </w:rPr>
              <w:t xml:space="preserve">Review this representation with particular rigor: confirm every factual assertion is tied to a specific, citable document; confirm no characterisation of motive or intent goes beyond what the record directly shows; confirm the channel selected (administrative/in-house/constitutional) is proportionate to the documented concern, not the most serious available option by default; and confirm the representation is clearly distinct from an appeal on the underlying merits.</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26. Senior Counsel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SENIOR COUNSEL PROMPT —</w:t>
            </w:r>
          </w:p>
          <w:p>
            <w:pPr>
              <w:spacing w:line="300"/>
              <w:jc w:val="both"/>
            </w:pPr>
            <w:r>
              <w:rPr>
                <w:rFonts w:ascii="Times New Roman" w:cs="Times New Roman" w:eastAsia="Times New Roman" w:hAnsi="Times New Roman"/>
                <w:i/>
                <w:iCs/>
                <w:sz w:val="26"/>
                <w:szCs w:val="26"/>
              </w:rPr>
              <w:t xml:space="preserve">Given the exceptional sensitivity of this instrument, assess with complete candour whether the documented record genuinely supports a conduct concern distinct from mere dissatisfaction with an adverse ruling, and advise clearly on the serious contempt and professional risks of proceeding if the record does not clearly support the concern. If the underlying grievance is actually about the correctness of a ruling rather than the judge's conduct, redirect the client firmly to the appropriate appellate or review remedy (Volume 5/17) instead.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SENIOR COUNSEL PROMPT — STANDING ADDENDUM —</w:t>
            </w:r>
          </w:p>
          <w:p>
            <w:pPr>
              <w:spacing w:line="300"/>
              <w:jc w:val="both"/>
            </w:pPr>
            <w:r>
              <w:rPr>
                <w:rFonts w:ascii="Times New Roman" w:cs="Times New Roman" w:eastAsia="Times New Roman" w:hAnsi="Times New Roman"/>
                <w:i/>
                <w:iCs/>
                <w:sz w:val="26"/>
                <w:szCs w:val="26"/>
              </w:rPr>
              <w:t xml:space="preserve">STANDING CHECKS (apply in every matter): (1) Cross-forum admission risk — where the user is running simultaneous or parallel proceedings on overlapping facts before different forums (e.g., a regulatory complaint alongside a civil suit, criminal proceeding, or another regulatory body), flag any factual characterization, admission, or relief sought in this document that could be used against the user's position in a parallel proceeding, or that could later be read as inconsistent with a position taken elsewhere. (2) Attesting-professional conflicts — flag if any notary, auditor, valuer, or other certifying professional named in the facts has a disclosed or reasonably inferable relationship (familial, financial, employment) to an opposing party, since this bears on the evidentiary weight of the attestation. (3) Killcritic enforcement — the final draft must contain no AI-hedging language, meta-commentary, or unnecessary disclaimers; remove phrases like 'it appears that' or 'this may suggest' unless the underlying fact is genuinely unconfirmed by the user, in which case use only the legally precise hedge ('alleged', 'prima facie', 'based on information and belief') rather than a generic qualifier.</w:t>
            </w:r>
          </w:p>
        </w:tc>
      </w:tr>
    </w:tbl>
    <w:p>
      <w:pPr>
        <w:spacing w:after="160"/>
      </w:pPr>
    </w:p>
    <w:p>
      <w:pPr>
        <w:pStyle w:val="Heading2"/>
        <w:spacing w:after="160" w:before="300"/>
      </w:pPr>
      <w:r>
        <w:rPr>
          <w:rFonts w:ascii="Times New Roman" w:cs="Times New Roman" w:eastAsia="Times New Roman" w:hAnsi="Times New Roman"/>
          <w:b/>
          <w:bCs/>
          <w:sz w:val="30"/>
          <w:szCs w:val="30"/>
        </w:rPr>
        <w:t xml:space="preserve">27. High Court Formatting Compliance Prompt</w:t>
      </w:r>
    </w:p>
    <w:p>
      <w:pPr>
        <w:spacing w:after="100" w:line="360"/>
        <w:jc w:val="both"/>
      </w:pPr>
      <w:r>
        <w:rPr>
          <w:rFonts w:ascii="Times New Roman" w:cs="Times New Roman" w:eastAsia="Times New Roman" w:hAnsi="Times New Roman"/>
          <w:b w:val="false"/>
          <w:bCs w:val="false"/>
          <w:i/>
          <w:iCs/>
          <w:sz w:val="26"/>
          <w:szCs w:val="26"/>
        </w:rPr>
        <w:t xml:space="preserve">Applies to every document produced from this template: Times New Roman 13pt, 1.5 line spacing, A4 page, 1.75-inch left/binding margin, 0.8-inch top/bottom/right margins, justified text, numbered paragraphs, centered page numbers in footer.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FORMATTING PROMPT —</w:t>
            </w:r>
          </w:p>
          <w:p>
            <w:pPr>
              <w:spacing w:line="300"/>
              <w:jc w:val="both"/>
            </w:pPr>
            <w:r>
              <w:rPr>
                <w:rFonts w:ascii="Times New Roman" w:cs="Times New Roman" w:eastAsia="Times New Roman" w:hAnsi="Times New Roman"/>
                <w:i/>
                <w:iCs/>
                <w:sz w:val="26"/>
                <w:szCs w:val="26"/>
              </w:rPr>
              <w:t xml:space="preserve">Format this document strictly in High Court filing format: font Times New Roman, size 13pt throughout (headings may be bold at the same size), line spacing 1.5, page size A4, left/binding margin 1.75 inches, top/bottom/right margins 0.8 inches each, text fully justified, paragraphs numbered consecutively, and page numbers centered in the footer. Do not use any other font, spacing, or margin configuration even if a template default suggests otherwise.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line="300"/>
            </w:pPr>
            <w:r>
              <w:rPr>
                <w:rFonts w:ascii="Times New Roman" w:cs="Times New Roman" w:eastAsia="Times New Roman" w:hAnsi="Times New Roman"/>
                <w:b/>
                <w:bCs/>
                <w:sz w:val="26"/>
                <w:szCs w:val="26"/>
              </w:rPr>
              <w:t xml:space="preserve">FORMATTING PROMPT — STANDING ADDENDUM —</w:t>
            </w:r>
          </w:p>
          <w:p>
            <w:pPr>
              <w:spacing w:line="300"/>
              <w:jc w:val="both"/>
            </w:pPr>
            <w:r>
              <w:rPr>
                <w:rFonts w:ascii="Times New Roman" w:cs="Times New Roman" w:eastAsia="Times New Roman" w:hAnsi="Times New Roman"/>
                <w:i/>
                <w:iCs/>
                <w:sz w:val="26"/>
                <w:szCs w:val="26"/>
              </w:rPr>
              <w:t xml:space="preserve">STANDING CHECKS (apply in every matter): (1) Forum-specific override — before applying this High Court format by default, confirm whether the actual receiving forum (e.g., a regulatory tribunal, portal-based e-filing system, consumer commission, or advertising body) has its own prescribed format, page-limit, or upload specification, and apply that instead where it differs. (2) International/embassy/UN submissions — where a document is intended for use abroad or before an international body, note that: India is a party to the Hague Apostille Convention, so documents for use in other member states should be apostilled rather than merely notarised; documents not in English require a certified translation; and international bodies typically expect single line spacing and no page-binding margin, so the High Court margin/spacing spec should not be applied to those documents — flag this distinction rather than silently carrying over Indian court formatting. (3) Self-represented litigant — do not assume a law-firm letterhead or advocate signature block; use the party's own name, address, and 'Party-in-Person' designation in the signature and service blocks.</w:t>
            </w:r>
          </w:p>
        </w:tc>
      </w:tr>
    </w:tbl>
    <w:sectPr>
      <w:headerReference w:type="default" r:id="rId7"/>
      <w:footerReference w:type="default" r:id="rId8"/>
      <w:pgSz w:w="11906" w:h="16838" w:orient="portrait"/>
      <w:pgMar w:top="1152" w:right="1152" w:bottom="1152" w:left="25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
        <w:szCs w:val="18"/>
      </w:rPr>
      <w:t xml:space="preserve">Claude Legal Drafting Library — Volume 11: Human Rights Litigation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2026-07-15T09:46:05.404Z</dcterms:created>
  <dcterms:modified xsi:type="dcterms:W3CDTF">2026-07-15T09:46:05.416Z</dcterms:modified>
</cp:coreProperties>
</file>

<file path=docProps/custom.xml><?xml version="1.0" encoding="utf-8"?>
<Properties xmlns="http://schemas.openxmlformats.org/officeDocument/2006/custom-properties" xmlns:vt="http://schemas.openxmlformats.org/officeDocument/2006/docPropsVTypes"/>
</file>