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06D4E8" w14:textId="77777777" w:rsidR="000E36CE" w:rsidRPr="000E36CE" w:rsidRDefault="000E36CE" w:rsidP="000E36CE">
      <w:pPr>
        <w:pStyle w:val="Heading3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Hlk211189792"/>
      <w:r w:rsidRPr="000E36CE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SECTION D</w:t>
      </w:r>
    </w:p>
    <w:p w14:paraId="2A2297EF" w14:textId="77777777" w:rsidR="000E36CE" w:rsidRPr="000E36CE" w:rsidRDefault="000E36CE" w:rsidP="000E36CE">
      <w:pPr>
        <w:pStyle w:val="NormalWeb"/>
        <w:spacing w:line="480" w:lineRule="auto"/>
        <w:jc w:val="both"/>
      </w:pPr>
      <w:r>
        <w:rPr>
          <w:rStyle w:val="Strong"/>
        </w:rPr>
        <w:t xml:space="preserve">Research Question </w:t>
      </w:r>
      <w:r w:rsidRPr="000E36CE">
        <w:rPr>
          <w:rStyle w:val="Strong"/>
        </w:rPr>
        <w:t>3:</w:t>
      </w:r>
      <w:r>
        <w:t xml:space="preserve"> </w:t>
      </w:r>
      <w:r w:rsidRPr="000E36CE">
        <w:t xml:space="preserve">What Is </w:t>
      </w:r>
      <w:proofErr w:type="gramStart"/>
      <w:r w:rsidRPr="000E36CE">
        <w:t>The</w:t>
      </w:r>
      <w:proofErr w:type="gramEnd"/>
      <w:r w:rsidRPr="000E36CE">
        <w:t xml:space="preserve"> Reason For Choice/Particular Pain Assessment Used On Non-Communicative Adult Patients Among Nurses In University Of Nigeria Teaching Hospital </w:t>
      </w:r>
      <w:proofErr w:type="spellStart"/>
      <w:r w:rsidRPr="000E36CE">
        <w:t>Ituku</w:t>
      </w:r>
      <w:proofErr w:type="spellEnd"/>
      <w:r w:rsidRPr="000E36CE">
        <w:t>/</w:t>
      </w:r>
      <w:proofErr w:type="spellStart"/>
      <w:r w:rsidRPr="000E36CE">
        <w:t>Ozalla</w:t>
      </w:r>
      <w:proofErr w:type="spellEnd"/>
      <w:r w:rsidRPr="000E36CE">
        <w:t>, Enugu?</w:t>
      </w:r>
    </w:p>
    <w:p w14:paraId="0C2B6286" w14:textId="77777777" w:rsidR="000E36CE" w:rsidRPr="000E36CE" w:rsidRDefault="000E36CE" w:rsidP="000E36CE">
      <w:pPr>
        <w:pStyle w:val="NormalWeb"/>
        <w:spacing w:line="480" w:lineRule="auto"/>
        <w:jc w:val="both"/>
      </w:pPr>
      <w:r w:rsidRPr="000E36CE">
        <w:rPr>
          <w:rStyle w:val="Strong"/>
        </w:rPr>
        <w:t>Table 5:</w:t>
      </w:r>
      <w:r w:rsidRPr="000E36CE">
        <w:t xml:space="preserve"> Reason for Choice/Particular Pain Assessment Used </w:t>
      </w:r>
      <w:proofErr w:type="gramStart"/>
      <w:r w:rsidRPr="000E36CE">
        <w:t>On</w:t>
      </w:r>
      <w:proofErr w:type="gramEnd"/>
      <w:r w:rsidRPr="000E36CE">
        <w:t xml:space="preserve"> Non-Communicative Adult Patients among Nurses (n = 241)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6"/>
        <w:gridCol w:w="1380"/>
        <w:gridCol w:w="1271"/>
        <w:gridCol w:w="1280"/>
        <w:gridCol w:w="1163"/>
      </w:tblGrid>
      <w:tr w:rsidR="000E36CE" w:rsidRPr="000E36CE" w14:paraId="24FB2D69" w14:textId="77777777" w:rsidTr="000E36CE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76F7915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36C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A8502A2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36C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Agree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BC2B8D3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36C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839446D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36C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Disagree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802F843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36C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Mean (X̄)</w:t>
            </w:r>
          </w:p>
        </w:tc>
      </w:tr>
      <w:tr w:rsidR="000E36CE" w:rsidRPr="000E36CE" w14:paraId="41622E37" w14:textId="77777777" w:rsidTr="000E36CE">
        <w:tc>
          <w:tcPr>
            <w:tcW w:w="0" w:type="auto"/>
            <w:tcBorders>
              <w:top w:val="single" w:sz="4" w:space="0" w:color="auto"/>
            </w:tcBorders>
            <w:hideMark/>
          </w:tcPr>
          <w:p w14:paraId="5309CD6A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Easy to remember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3A1A4528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162 (67.2%)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1CDBEDB8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42 (17.4%)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3C3B6BAF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37 (15.4%)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4E9EE91F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2.52</w:t>
            </w:r>
          </w:p>
        </w:tc>
      </w:tr>
      <w:tr w:rsidR="000E36CE" w:rsidRPr="000E36CE" w14:paraId="2D36C374" w14:textId="77777777" w:rsidTr="000E36CE">
        <w:tc>
          <w:tcPr>
            <w:tcW w:w="0" w:type="auto"/>
            <w:hideMark/>
          </w:tcPr>
          <w:p w14:paraId="6E93D9A8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Fast to complete</w:t>
            </w:r>
          </w:p>
        </w:tc>
        <w:tc>
          <w:tcPr>
            <w:tcW w:w="0" w:type="auto"/>
            <w:hideMark/>
          </w:tcPr>
          <w:p w14:paraId="3911EE87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171 (71.0%)</w:t>
            </w:r>
          </w:p>
        </w:tc>
        <w:tc>
          <w:tcPr>
            <w:tcW w:w="0" w:type="auto"/>
            <w:hideMark/>
          </w:tcPr>
          <w:p w14:paraId="7FF88B7A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39 (16.2%)</w:t>
            </w:r>
          </w:p>
        </w:tc>
        <w:tc>
          <w:tcPr>
            <w:tcW w:w="0" w:type="auto"/>
            <w:hideMark/>
          </w:tcPr>
          <w:p w14:paraId="7D0BD0BC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31 (12.9%)</w:t>
            </w:r>
          </w:p>
        </w:tc>
        <w:tc>
          <w:tcPr>
            <w:tcW w:w="0" w:type="auto"/>
            <w:hideMark/>
          </w:tcPr>
          <w:p w14:paraId="4953C198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2.58</w:t>
            </w:r>
          </w:p>
        </w:tc>
      </w:tr>
      <w:tr w:rsidR="000E36CE" w:rsidRPr="000E36CE" w14:paraId="6038D2D4" w14:textId="77777777" w:rsidTr="000E36CE">
        <w:tc>
          <w:tcPr>
            <w:tcW w:w="0" w:type="auto"/>
            <w:hideMark/>
          </w:tcPr>
          <w:p w14:paraId="28F50DD0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Trained during orientation</w:t>
            </w:r>
          </w:p>
        </w:tc>
        <w:tc>
          <w:tcPr>
            <w:tcW w:w="0" w:type="auto"/>
            <w:hideMark/>
          </w:tcPr>
          <w:p w14:paraId="5C1FA1C7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148 (61.4%)</w:t>
            </w:r>
          </w:p>
        </w:tc>
        <w:tc>
          <w:tcPr>
            <w:tcW w:w="0" w:type="auto"/>
            <w:hideMark/>
          </w:tcPr>
          <w:p w14:paraId="448E387E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53 (22.0%)</w:t>
            </w:r>
          </w:p>
        </w:tc>
        <w:tc>
          <w:tcPr>
            <w:tcW w:w="0" w:type="auto"/>
            <w:hideMark/>
          </w:tcPr>
          <w:p w14:paraId="1F1A1484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40 (16.6%)</w:t>
            </w:r>
          </w:p>
        </w:tc>
        <w:tc>
          <w:tcPr>
            <w:tcW w:w="0" w:type="auto"/>
            <w:hideMark/>
          </w:tcPr>
          <w:p w14:paraId="4691BE28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2.45</w:t>
            </w:r>
          </w:p>
        </w:tc>
      </w:tr>
      <w:tr w:rsidR="000E36CE" w:rsidRPr="000E36CE" w14:paraId="7A39A803" w14:textId="77777777" w:rsidTr="000E36CE">
        <w:tc>
          <w:tcPr>
            <w:tcW w:w="0" w:type="auto"/>
            <w:hideMark/>
          </w:tcPr>
          <w:p w14:paraId="7EFD0819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Institutional protocol or policy</w:t>
            </w:r>
          </w:p>
        </w:tc>
        <w:tc>
          <w:tcPr>
            <w:tcW w:w="0" w:type="auto"/>
            <w:hideMark/>
          </w:tcPr>
          <w:p w14:paraId="4C2C954D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155 (64.3%)</w:t>
            </w:r>
          </w:p>
        </w:tc>
        <w:tc>
          <w:tcPr>
            <w:tcW w:w="0" w:type="auto"/>
            <w:hideMark/>
          </w:tcPr>
          <w:p w14:paraId="65688C4D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47 (19.5%)</w:t>
            </w:r>
          </w:p>
        </w:tc>
        <w:tc>
          <w:tcPr>
            <w:tcW w:w="0" w:type="auto"/>
            <w:hideMark/>
          </w:tcPr>
          <w:p w14:paraId="76DB644C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39 (16.2%)</w:t>
            </w:r>
          </w:p>
        </w:tc>
        <w:tc>
          <w:tcPr>
            <w:tcW w:w="0" w:type="auto"/>
            <w:hideMark/>
          </w:tcPr>
          <w:p w14:paraId="59A3C140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2.48</w:t>
            </w:r>
          </w:p>
        </w:tc>
      </w:tr>
      <w:tr w:rsidR="000E36CE" w:rsidRPr="000E36CE" w14:paraId="5EE34DEF" w14:textId="77777777" w:rsidTr="000E36CE">
        <w:tc>
          <w:tcPr>
            <w:tcW w:w="0" w:type="auto"/>
            <w:hideMark/>
          </w:tcPr>
          <w:p w14:paraId="10EF6D49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Felt more accurate</w:t>
            </w:r>
          </w:p>
        </w:tc>
        <w:tc>
          <w:tcPr>
            <w:tcW w:w="0" w:type="auto"/>
            <w:hideMark/>
          </w:tcPr>
          <w:p w14:paraId="4C40361A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174 (72.2%)</w:t>
            </w:r>
          </w:p>
        </w:tc>
        <w:tc>
          <w:tcPr>
            <w:tcW w:w="0" w:type="auto"/>
            <w:hideMark/>
          </w:tcPr>
          <w:p w14:paraId="56686035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36 (14.9%)</w:t>
            </w:r>
          </w:p>
        </w:tc>
        <w:tc>
          <w:tcPr>
            <w:tcW w:w="0" w:type="auto"/>
            <w:hideMark/>
          </w:tcPr>
          <w:p w14:paraId="7D3FA625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31 (12.9%)</w:t>
            </w:r>
          </w:p>
        </w:tc>
        <w:tc>
          <w:tcPr>
            <w:tcW w:w="0" w:type="auto"/>
            <w:hideMark/>
          </w:tcPr>
          <w:p w14:paraId="0DD5D1EE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2.59</w:t>
            </w:r>
          </w:p>
        </w:tc>
      </w:tr>
      <w:tr w:rsidR="000E36CE" w:rsidRPr="000E36CE" w14:paraId="06D65FDD" w14:textId="77777777" w:rsidTr="000E36CE">
        <w:tc>
          <w:tcPr>
            <w:tcW w:w="0" w:type="auto"/>
            <w:hideMark/>
          </w:tcPr>
          <w:p w14:paraId="5131A5B0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Recommended by experienced staff</w:t>
            </w:r>
          </w:p>
        </w:tc>
        <w:tc>
          <w:tcPr>
            <w:tcW w:w="0" w:type="auto"/>
            <w:hideMark/>
          </w:tcPr>
          <w:p w14:paraId="78AE1EEF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139 (57.7%)</w:t>
            </w:r>
          </w:p>
        </w:tc>
        <w:tc>
          <w:tcPr>
            <w:tcW w:w="0" w:type="auto"/>
            <w:hideMark/>
          </w:tcPr>
          <w:p w14:paraId="4AE5BA66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60 (24.9%)</w:t>
            </w:r>
          </w:p>
        </w:tc>
        <w:tc>
          <w:tcPr>
            <w:tcW w:w="0" w:type="auto"/>
            <w:hideMark/>
          </w:tcPr>
          <w:p w14:paraId="6A2CB365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42 (17.4%)</w:t>
            </w:r>
          </w:p>
        </w:tc>
        <w:tc>
          <w:tcPr>
            <w:tcW w:w="0" w:type="auto"/>
            <w:hideMark/>
          </w:tcPr>
          <w:p w14:paraId="4FEB0973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2.40</w:t>
            </w:r>
          </w:p>
        </w:tc>
      </w:tr>
      <w:tr w:rsidR="000E36CE" w:rsidRPr="000E36CE" w14:paraId="2427AC5C" w14:textId="77777777" w:rsidTr="000E36CE"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9286804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Comfortable interpreting </w:t>
            </w:r>
            <w:proofErr w:type="spellStart"/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behaviours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4E2B4D46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166 (68.9%)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E405EE1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44 (18.3%)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3684BF85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31 (12.9%)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DB42CCE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2.56</w:t>
            </w:r>
          </w:p>
        </w:tc>
      </w:tr>
    </w:tbl>
    <w:p w14:paraId="210C10E0" w14:textId="77777777" w:rsidR="000E36CE" w:rsidRPr="000E36CE" w:rsidRDefault="000E36CE" w:rsidP="000E36CE">
      <w:pPr>
        <w:pStyle w:val="NormalWeb"/>
        <w:spacing w:line="480" w:lineRule="auto"/>
        <w:jc w:val="both"/>
      </w:pPr>
      <w:r w:rsidRPr="000E36CE">
        <w:br/>
        <w:t xml:space="preserve">Table 5 shows that most of the respondents (72.2%) agreed that they chose a particular pain assessment scale because it felt more accurate. This was followed by 71.0% who agreed that the tool was fast to complete, and 68.9% who reported being comfortable interpreting </w:t>
      </w:r>
      <w:proofErr w:type="spellStart"/>
      <w:r w:rsidRPr="000E36CE">
        <w:t>behaviours</w:t>
      </w:r>
      <w:proofErr w:type="spellEnd"/>
      <w:r w:rsidRPr="000E36CE">
        <w:t>. Other reasons include being easy to remember (67.2%), guided by institutional policy (64.3%), trained during orientation (61.4%), and recommendation from experienced staff (57.7%).</w:t>
      </w:r>
    </w:p>
    <w:p w14:paraId="66F037D7" w14:textId="77777777" w:rsidR="000E36CE" w:rsidRPr="000E36CE" w:rsidRDefault="000E36CE" w:rsidP="000E36CE">
      <w:pPr>
        <w:pStyle w:val="Heading3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E36CE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Figure 1: Reason for Choice/Particular Pain Assessment Used </w:t>
      </w:r>
      <w:proofErr w:type="gramStart"/>
      <w:r w:rsidRPr="000E36CE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On</w:t>
      </w:r>
      <w:proofErr w:type="gramEnd"/>
      <w:r w:rsidRPr="000E36CE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Non-Communicative Adult Patients among Nurses (n = 241)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22"/>
        <w:gridCol w:w="3262"/>
      </w:tblGrid>
      <w:tr w:rsidR="000E36CE" w:rsidRPr="000E36CE" w14:paraId="550C428D" w14:textId="77777777" w:rsidTr="000E36CE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89B2479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36C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2D308FA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36C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Percentage of Agreement (%)</w:t>
            </w:r>
          </w:p>
        </w:tc>
      </w:tr>
      <w:tr w:rsidR="000E36CE" w:rsidRPr="000E36CE" w14:paraId="5E52B9AA" w14:textId="77777777" w:rsidTr="000E36CE">
        <w:tc>
          <w:tcPr>
            <w:tcW w:w="0" w:type="auto"/>
            <w:tcBorders>
              <w:top w:val="single" w:sz="4" w:space="0" w:color="auto"/>
            </w:tcBorders>
            <w:hideMark/>
          </w:tcPr>
          <w:p w14:paraId="5261EBFF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Easy to remember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11A76823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67.2</w:t>
            </w:r>
          </w:p>
        </w:tc>
      </w:tr>
      <w:tr w:rsidR="000E36CE" w:rsidRPr="000E36CE" w14:paraId="7A8DF522" w14:textId="77777777" w:rsidTr="000E36CE">
        <w:tc>
          <w:tcPr>
            <w:tcW w:w="0" w:type="auto"/>
            <w:hideMark/>
          </w:tcPr>
          <w:p w14:paraId="26A99C61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Fast to complete</w:t>
            </w:r>
          </w:p>
        </w:tc>
        <w:tc>
          <w:tcPr>
            <w:tcW w:w="0" w:type="auto"/>
            <w:hideMark/>
          </w:tcPr>
          <w:p w14:paraId="53E1051C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71.0</w:t>
            </w:r>
          </w:p>
        </w:tc>
      </w:tr>
      <w:tr w:rsidR="000E36CE" w:rsidRPr="000E36CE" w14:paraId="0312C5F4" w14:textId="77777777" w:rsidTr="000E36CE">
        <w:tc>
          <w:tcPr>
            <w:tcW w:w="0" w:type="auto"/>
            <w:hideMark/>
          </w:tcPr>
          <w:p w14:paraId="3302241F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Trained during orientation</w:t>
            </w:r>
          </w:p>
        </w:tc>
        <w:tc>
          <w:tcPr>
            <w:tcW w:w="0" w:type="auto"/>
            <w:hideMark/>
          </w:tcPr>
          <w:p w14:paraId="74307C05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61.4</w:t>
            </w:r>
          </w:p>
        </w:tc>
      </w:tr>
      <w:tr w:rsidR="000E36CE" w:rsidRPr="000E36CE" w14:paraId="4A75AA0E" w14:textId="77777777" w:rsidTr="000E36CE">
        <w:tc>
          <w:tcPr>
            <w:tcW w:w="0" w:type="auto"/>
            <w:hideMark/>
          </w:tcPr>
          <w:p w14:paraId="0240D81E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Institutional protocol or policy</w:t>
            </w:r>
          </w:p>
        </w:tc>
        <w:tc>
          <w:tcPr>
            <w:tcW w:w="0" w:type="auto"/>
            <w:hideMark/>
          </w:tcPr>
          <w:p w14:paraId="0CAFAC67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64.3</w:t>
            </w:r>
          </w:p>
        </w:tc>
      </w:tr>
      <w:tr w:rsidR="000E36CE" w:rsidRPr="000E36CE" w14:paraId="6B74D5EC" w14:textId="77777777" w:rsidTr="000E36CE">
        <w:tc>
          <w:tcPr>
            <w:tcW w:w="0" w:type="auto"/>
            <w:hideMark/>
          </w:tcPr>
          <w:p w14:paraId="1F09A79C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Felt more accurate</w:t>
            </w:r>
          </w:p>
        </w:tc>
        <w:tc>
          <w:tcPr>
            <w:tcW w:w="0" w:type="auto"/>
            <w:hideMark/>
          </w:tcPr>
          <w:p w14:paraId="506FC8BD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72.2</w:t>
            </w:r>
          </w:p>
        </w:tc>
      </w:tr>
      <w:tr w:rsidR="000E36CE" w:rsidRPr="000E36CE" w14:paraId="19A635E7" w14:textId="77777777" w:rsidTr="000E36CE">
        <w:tc>
          <w:tcPr>
            <w:tcW w:w="0" w:type="auto"/>
            <w:hideMark/>
          </w:tcPr>
          <w:p w14:paraId="7C3FA1B6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Recommended by experienced staff</w:t>
            </w:r>
          </w:p>
        </w:tc>
        <w:tc>
          <w:tcPr>
            <w:tcW w:w="0" w:type="auto"/>
            <w:hideMark/>
          </w:tcPr>
          <w:p w14:paraId="302BC15F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57.7</w:t>
            </w:r>
          </w:p>
        </w:tc>
      </w:tr>
      <w:tr w:rsidR="000E36CE" w:rsidRPr="000E36CE" w14:paraId="29DB3341" w14:textId="77777777" w:rsidTr="000E36CE">
        <w:trPr>
          <w:trHeight w:val="465"/>
        </w:trPr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86E90F9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 xml:space="preserve">Comfortable interpreting </w:t>
            </w:r>
            <w:proofErr w:type="spellStart"/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behaviours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4BC60D2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6CE">
              <w:rPr>
                <w:rFonts w:ascii="Times New Roman" w:hAnsi="Times New Roman" w:cs="Times New Roman"/>
                <w:sz w:val="24"/>
                <w:szCs w:val="24"/>
              </w:rPr>
              <w:t>68.9</w:t>
            </w:r>
          </w:p>
        </w:tc>
      </w:tr>
      <w:tr w:rsidR="000E36CE" w:rsidRPr="000E36CE" w14:paraId="754AB149" w14:textId="77777777" w:rsidTr="000E36CE">
        <w:trPr>
          <w:trHeight w:val="90"/>
        </w:trPr>
        <w:tc>
          <w:tcPr>
            <w:tcW w:w="0" w:type="auto"/>
            <w:tcBorders>
              <w:top w:val="single" w:sz="4" w:space="0" w:color="auto"/>
            </w:tcBorders>
          </w:tcPr>
          <w:p w14:paraId="594A0BB8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8B07A26" w14:textId="77777777" w:rsidR="000E36CE" w:rsidRPr="000E36CE" w:rsidRDefault="000E36CE" w:rsidP="000E36C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80212C" w14:textId="77777777" w:rsidR="000E36CE" w:rsidRDefault="000E36CE" w:rsidP="009A3D66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4785854D" w14:textId="77777777" w:rsidR="000E36CE" w:rsidRPr="000E36CE" w:rsidRDefault="000E36CE" w:rsidP="000E36CE"/>
    <w:p w14:paraId="6857BF86" w14:textId="77777777" w:rsidR="0010661C" w:rsidRDefault="00D37DCF" w:rsidP="009A3D66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A3D66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Figure 1: Reason for Choice/Particular Pain Assessment Used </w:t>
      </w:r>
      <w:proofErr w:type="gramStart"/>
      <w:r w:rsidRPr="009A3D66">
        <w:rPr>
          <w:rFonts w:ascii="Times New Roman" w:hAnsi="Times New Roman" w:cs="Times New Roman"/>
          <w:color w:val="auto"/>
          <w:sz w:val="24"/>
          <w:szCs w:val="24"/>
        </w:rPr>
        <w:t>On</w:t>
      </w:r>
      <w:proofErr w:type="gramEnd"/>
      <w:r w:rsidRPr="009A3D66">
        <w:rPr>
          <w:rFonts w:ascii="Times New Roman" w:hAnsi="Times New Roman" w:cs="Times New Roman"/>
          <w:color w:val="auto"/>
          <w:sz w:val="24"/>
          <w:szCs w:val="24"/>
        </w:rPr>
        <w:t xml:space="preserve"> Non-Communicative Adult Patients</w:t>
      </w:r>
    </w:p>
    <w:p w14:paraId="095B6EBF" w14:textId="77777777" w:rsidR="000E36CE" w:rsidRDefault="000E36CE">
      <w:pPr>
        <w:rPr>
          <w:rFonts w:ascii="Times New Roman" w:hAnsi="Times New Roman" w:cs="Times New Roman"/>
          <w:noProof/>
          <w:sz w:val="24"/>
          <w:szCs w:val="24"/>
        </w:rPr>
      </w:pPr>
    </w:p>
    <w:p w14:paraId="13B43A8E" w14:textId="77777777" w:rsidR="000E36CE" w:rsidRPr="009A3D66" w:rsidRDefault="000E36C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319493" wp14:editId="6D1D88B1">
            <wp:extent cx="5876925" cy="3257550"/>
            <wp:effectExtent l="0" t="0" r="9525" b="0"/>
            <wp:docPr id="1" name="Picture 1" descr="C:\Users\USER\Downloads\Reason_for_Choice_Pain_Assess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Reason_for_Choice_Pain_Assessmen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285" cy="3262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710AA" w14:textId="77777777" w:rsidR="0010661C" w:rsidRDefault="00D37DCF" w:rsidP="009A3D66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3D66">
        <w:rPr>
          <w:rFonts w:ascii="Times New Roman" w:hAnsi="Times New Roman" w:cs="Times New Roman"/>
          <w:sz w:val="24"/>
          <w:szCs w:val="24"/>
        </w:rPr>
        <w:t xml:space="preserve">Data in Figure 1 revealed that most (72%) of the respondents agreed that the choice of a particular pain assessment scale was because it was felt to be more accurate. Other reasons include being fast to complete (71%), easy to remember (67%), comfortable interpreting </w:t>
      </w:r>
      <w:proofErr w:type="spellStart"/>
      <w:r w:rsidRPr="009A3D66">
        <w:rPr>
          <w:rFonts w:ascii="Times New Roman" w:hAnsi="Times New Roman" w:cs="Times New Roman"/>
          <w:sz w:val="24"/>
          <w:szCs w:val="24"/>
        </w:rPr>
        <w:t>behaviours</w:t>
      </w:r>
      <w:proofErr w:type="spellEnd"/>
      <w:r w:rsidRPr="009A3D66">
        <w:rPr>
          <w:rFonts w:ascii="Times New Roman" w:hAnsi="Times New Roman" w:cs="Times New Roman"/>
          <w:sz w:val="24"/>
          <w:szCs w:val="24"/>
        </w:rPr>
        <w:t xml:space="preserve"> (69%), institutional protocol or policy (64%), trained during orientation (61%), and recommendation by experienced staff (58%).</w:t>
      </w:r>
    </w:p>
    <w:p w14:paraId="4F86EA47" w14:textId="77777777" w:rsidR="00B1212A" w:rsidRDefault="00B1212A" w:rsidP="009A3D66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D67931" w14:textId="77777777" w:rsidR="00B1212A" w:rsidRDefault="00B1212A" w:rsidP="009A3D66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F406A6" w14:textId="77777777" w:rsidR="00B1212A" w:rsidRDefault="00B1212A" w:rsidP="009A3D66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p w14:paraId="1FAFCA79" w14:textId="77777777" w:rsidR="00B1212A" w:rsidRDefault="00B1212A" w:rsidP="009A3D66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F75854" w14:textId="77777777" w:rsidR="00263E1D" w:rsidRDefault="00263E1D" w:rsidP="00084579">
      <w:pPr>
        <w:pStyle w:val="Heading3"/>
        <w:spacing w:line="480" w:lineRule="auto"/>
        <w:jc w:val="both"/>
        <w:rPr>
          <w:rStyle w:val="Strong"/>
          <w:rFonts w:ascii="Times New Roman" w:hAnsi="Times New Roman" w:cs="Times New Roman"/>
          <w:b/>
          <w:bCs/>
          <w:color w:val="000000" w:themeColor="text1"/>
        </w:rPr>
      </w:pPr>
    </w:p>
    <w:p w14:paraId="6D045638" w14:textId="77777777" w:rsidR="00D37DCF" w:rsidRPr="00D37DCF" w:rsidRDefault="00D37DCF" w:rsidP="00D37DCF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DCF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Theoretical Framework</w:t>
      </w:r>
    </w:p>
    <w:p w14:paraId="5A6C9C07" w14:textId="77777777" w:rsidR="00D37DCF" w:rsidRPr="00D37DCF" w:rsidRDefault="00D37DCF" w:rsidP="00D37DCF">
      <w:pPr>
        <w:pStyle w:val="Heading4"/>
        <w:jc w:val="both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D37DCF">
        <w:rPr>
          <w:rStyle w:val="Strong"/>
          <w:rFonts w:ascii="Times New Roman" w:hAnsi="Times New Roman" w:cs="Times New Roman"/>
          <w:b/>
          <w:bCs/>
          <w:i w:val="0"/>
          <w:color w:val="000000" w:themeColor="text1"/>
          <w:sz w:val="24"/>
          <w:szCs w:val="24"/>
        </w:rPr>
        <w:t>Gate Control Theory of Pain (</w:t>
      </w:r>
      <w:proofErr w:type="spellStart"/>
      <w:r w:rsidRPr="00D37DCF">
        <w:rPr>
          <w:rStyle w:val="Strong"/>
          <w:rFonts w:ascii="Times New Roman" w:hAnsi="Times New Roman" w:cs="Times New Roman"/>
          <w:b/>
          <w:bCs/>
          <w:i w:val="0"/>
          <w:color w:val="000000" w:themeColor="text1"/>
          <w:sz w:val="24"/>
          <w:szCs w:val="24"/>
        </w:rPr>
        <w:t>Melzack</w:t>
      </w:r>
      <w:proofErr w:type="spellEnd"/>
      <w:r w:rsidRPr="00D37DCF">
        <w:rPr>
          <w:rStyle w:val="Strong"/>
          <w:rFonts w:ascii="Times New Roman" w:hAnsi="Times New Roman" w:cs="Times New Roman"/>
          <w:b/>
          <w:bCs/>
          <w:i w:val="0"/>
          <w:color w:val="000000" w:themeColor="text1"/>
          <w:sz w:val="24"/>
          <w:szCs w:val="24"/>
        </w:rPr>
        <w:t xml:space="preserve"> &amp; Wall, 1965)</w:t>
      </w:r>
    </w:p>
    <w:p w14:paraId="13AA91C9" w14:textId="77777777" w:rsidR="00D37DCF" w:rsidRPr="00D37DCF" w:rsidRDefault="00D37DCF" w:rsidP="00D37DCF">
      <w:pPr>
        <w:pStyle w:val="NormalWeb"/>
        <w:jc w:val="both"/>
        <w:rPr>
          <w:color w:val="000000" w:themeColor="text1"/>
        </w:rPr>
      </w:pPr>
      <w:r w:rsidRPr="00D37DCF">
        <w:rPr>
          <w:color w:val="000000" w:themeColor="text1"/>
        </w:rPr>
        <w:t xml:space="preserve">The </w:t>
      </w:r>
      <w:r w:rsidRPr="00D37DCF">
        <w:rPr>
          <w:rStyle w:val="Strong"/>
          <w:color w:val="000000" w:themeColor="text1"/>
        </w:rPr>
        <w:t>Gate Control Theory (GCT)</w:t>
      </w:r>
      <w:r w:rsidRPr="00D37DCF">
        <w:rPr>
          <w:color w:val="000000" w:themeColor="text1"/>
        </w:rPr>
        <w:t xml:space="preserve"> of pain was proposed by </w:t>
      </w:r>
      <w:r w:rsidRPr="00D37DCF">
        <w:rPr>
          <w:rStyle w:val="Strong"/>
          <w:color w:val="000000" w:themeColor="text1"/>
        </w:rPr>
        <w:t xml:space="preserve">Ronald </w:t>
      </w:r>
      <w:proofErr w:type="spellStart"/>
      <w:r w:rsidRPr="00D37DCF">
        <w:rPr>
          <w:rStyle w:val="Strong"/>
          <w:color w:val="000000" w:themeColor="text1"/>
        </w:rPr>
        <w:t>Melzack</w:t>
      </w:r>
      <w:proofErr w:type="spellEnd"/>
      <w:r w:rsidRPr="00D37DCF">
        <w:rPr>
          <w:rStyle w:val="Strong"/>
          <w:color w:val="000000" w:themeColor="text1"/>
        </w:rPr>
        <w:t xml:space="preserve"> and Patrick Wall in 1965</w:t>
      </w:r>
      <w:r w:rsidRPr="00D37DCF">
        <w:rPr>
          <w:color w:val="000000" w:themeColor="text1"/>
        </w:rPr>
        <w:t xml:space="preserve"> to explain the complex mechanisms involved in the perception of pain. This theory marked a major shift from the traditional view that pain perception was a direct result of tissue damage. Instead, </w:t>
      </w:r>
      <w:proofErr w:type="spellStart"/>
      <w:r w:rsidRPr="00D37DCF">
        <w:rPr>
          <w:color w:val="000000" w:themeColor="text1"/>
        </w:rPr>
        <w:t>Melzack</w:t>
      </w:r>
      <w:proofErr w:type="spellEnd"/>
      <w:r w:rsidRPr="00D37DCF">
        <w:rPr>
          <w:color w:val="000000" w:themeColor="text1"/>
        </w:rPr>
        <w:t xml:space="preserve"> and Wall proposed that </w:t>
      </w:r>
      <w:r w:rsidRPr="00D37DCF">
        <w:rPr>
          <w:rStyle w:val="Strong"/>
          <w:color w:val="000000" w:themeColor="text1"/>
        </w:rPr>
        <w:t>pain is a dynamic process</w:t>
      </w:r>
      <w:r w:rsidRPr="00D37DCF">
        <w:rPr>
          <w:color w:val="000000" w:themeColor="text1"/>
        </w:rPr>
        <w:t xml:space="preserve"> influenced by the interaction between sensory, cognitive, and emotional factors within the nervous system.</w:t>
      </w:r>
    </w:p>
    <w:p w14:paraId="11A78C50" w14:textId="77777777" w:rsidR="00D37DCF" w:rsidRPr="00D37DCF" w:rsidRDefault="00D37DCF" w:rsidP="00D37DCF">
      <w:pPr>
        <w:pStyle w:val="NormalWeb"/>
        <w:jc w:val="both"/>
        <w:rPr>
          <w:color w:val="000000" w:themeColor="text1"/>
        </w:rPr>
      </w:pPr>
      <w:r w:rsidRPr="00D37DCF">
        <w:rPr>
          <w:color w:val="000000" w:themeColor="text1"/>
        </w:rPr>
        <w:t xml:space="preserve">The theory suggests that there is a </w:t>
      </w:r>
      <w:r w:rsidRPr="00D37DCF">
        <w:rPr>
          <w:rStyle w:val="Strong"/>
          <w:color w:val="000000" w:themeColor="text1"/>
        </w:rPr>
        <w:t>“gate” mechanism</w:t>
      </w:r>
      <w:r w:rsidRPr="00D37DCF">
        <w:rPr>
          <w:color w:val="000000" w:themeColor="text1"/>
        </w:rPr>
        <w:t xml:space="preserve"> located in the dorsal horn of the spinal cord that regulates the transmission of pain signals to the brain. When the gate is </w:t>
      </w:r>
      <w:r w:rsidRPr="00D37DCF">
        <w:rPr>
          <w:rStyle w:val="Strong"/>
          <w:color w:val="000000" w:themeColor="text1"/>
        </w:rPr>
        <w:t>open</w:t>
      </w:r>
      <w:r w:rsidRPr="00D37DCF">
        <w:rPr>
          <w:color w:val="000000" w:themeColor="text1"/>
        </w:rPr>
        <w:t xml:space="preserve">, pain impulses pass freely to the brain and are perceived as pain. Conversely, when the gate is </w:t>
      </w:r>
      <w:r w:rsidRPr="00D37DCF">
        <w:rPr>
          <w:rStyle w:val="Strong"/>
          <w:color w:val="000000" w:themeColor="text1"/>
        </w:rPr>
        <w:t>closed</w:t>
      </w:r>
      <w:r w:rsidRPr="00D37DCF">
        <w:rPr>
          <w:color w:val="000000" w:themeColor="text1"/>
        </w:rPr>
        <w:t>, pain signals are inhibited or blocked, reducing pain perception.</w:t>
      </w:r>
    </w:p>
    <w:p w14:paraId="63BE86B1" w14:textId="77777777" w:rsidR="00D37DCF" w:rsidRPr="00D37DCF" w:rsidRDefault="00D37DCF" w:rsidP="00D37DCF">
      <w:pPr>
        <w:pStyle w:val="NormalWeb"/>
        <w:jc w:val="both"/>
        <w:rPr>
          <w:color w:val="000000" w:themeColor="text1"/>
        </w:rPr>
      </w:pPr>
      <w:r w:rsidRPr="00D37DCF">
        <w:rPr>
          <w:color w:val="000000" w:themeColor="text1"/>
        </w:rPr>
        <w:t>According to the theory:</w:t>
      </w:r>
    </w:p>
    <w:p w14:paraId="1F4225E5" w14:textId="77777777" w:rsidR="00D37DCF" w:rsidRPr="00D37DCF" w:rsidRDefault="00D37DCF" w:rsidP="00D37DCF">
      <w:pPr>
        <w:pStyle w:val="NormalWeb"/>
        <w:numPr>
          <w:ilvl w:val="0"/>
          <w:numId w:val="13"/>
        </w:numPr>
        <w:jc w:val="both"/>
        <w:rPr>
          <w:color w:val="000000" w:themeColor="text1"/>
        </w:rPr>
      </w:pPr>
      <w:r w:rsidRPr="00D37DCF">
        <w:rPr>
          <w:rStyle w:val="Strong"/>
          <w:color w:val="000000" w:themeColor="text1"/>
        </w:rPr>
        <w:t>Small nerve fibers (A-delta and C fibers)</w:t>
      </w:r>
      <w:r w:rsidRPr="00D37DCF">
        <w:rPr>
          <w:color w:val="000000" w:themeColor="text1"/>
        </w:rPr>
        <w:t xml:space="preserve"> carry pain signals to the spinal cord and tend to </w:t>
      </w:r>
      <w:r w:rsidRPr="00D37DCF">
        <w:rPr>
          <w:rStyle w:val="Strong"/>
          <w:color w:val="000000" w:themeColor="text1"/>
        </w:rPr>
        <w:t>open</w:t>
      </w:r>
      <w:r w:rsidRPr="00D37DCF">
        <w:rPr>
          <w:color w:val="000000" w:themeColor="text1"/>
        </w:rPr>
        <w:t xml:space="preserve"> the gate.</w:t>
      </w:r>
    </w:p>
    <w:p w14:paraId="47B483C1" w14:textId="77777777" w:rsidR="00D37DCF" w:rsidRPr="00D37DCF" w:rsidRDefault="00D37DCF" w:rsidP="00D37DCF">
      <w:pPr>
        <w:pStyle w:val="NormalWeb"/>
        <w:numPr>
          <w:ilvl w:val="0"/>
          <w:numId w:val="13"/>
        </w:numPr>
        <w:jc w:val="both"/>
        <w:rPr>
          <w:color w:val="000000" w:themeColor="text1"/>
        </w:rPr>
      </w:pPr>
      <w:r w:rsidRPr="00D37DCF">
        <w:rPr>
          <w:rStyle w:val="Strong"/>
          <w:color w:val="000000" w:themeColor="text1"/>
        </w:rPr>
        <w:t>Large nerve fibers (A-beta fibers)</w:t>
      </w:r>
      <w:r w:rsidRPr="00D37DCF">
        <w:rPr>
          <w:color w:val="000000" w:themeColor="text1"/>
        </w:rPr>
        <w:t xml:space="preserve"> carry non-painful stimuli (like touch or pressure) and can </w:t>
      </w:r>
      <w:r w:rsidRPr="00D37DCF">
        <w:rPr>
          <w:rStyle w:val="Strong"/>
          <w:color w:val="000000" w:themeColor="text1"/>
        </w:rPr>
        <w:t>close</w:t>
      </w:r>
      <w:r w:rsidRPr="00D37DCF">
        <w:rPr>
          <w:color w:val="000000" w:themeColor="text1"/>
        </w:rPr>
        <w:t xml:space="preserve"> the gate.</w:t>
      </w:r>
    </w:p>
    <w:p w14:paraId="732F5A7A" w14:textId="77777777" w:rsidR="00D37DCF" w:rsidRPr="00D37DCF" w:rsidRDefault="00D37DCF" w:rsidP="00D37DCF">
      <w:pPr>
        <w:pStyle w:val="NormalWeb"/>
        <w:numPr>
          <w:ilvl w:val="0"/>
          <w:numId w:val="13"/>
        </w:numPr>
        <w:jc w:val="both"/>
        <w:rPr>
          <w:color w:val="000000" w:themeColor="text1"/>
        </w:rPr>
      </w:pPr>
      <w:r w:rsidRPr="00D37DCF">
        <w:rPr>
          <w:rStyle w:val="Strong"/>
          <w:color w:val="000000" w:themeColor="text1"/>
        </w:rPr>
        <w:t>Cognitive and emotional factors</w:t>
      </w:r>
      <w:r w:rsidRPr="00D37DCF">
        <w:rPr>
          <w:color w:val="000000" w:themeColor="text1"/>
        </w:rPr>
        <w:t xml:space="preserve"> such as attention, anxiety, stress, and prior experience can also influence whether the gate opens or closes.</w:t>
      </w:r>
    </w:p>
    <w:p w14:paraId="7AAEF294" w14:textId="77777777" w:rsidR="00D37DCF" w:rsidRPr="00D37DCF" w:rsidRDefault="00D37DCF" w:rsidP="00D37DCF">
      <w:pPr>
        <w:pStyle w:val="Heading4"/>
        <w:jc w:val="both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D37DCF">
        <w:rPr>
          <w:rStyle w:val="Strong"/>
          <w:rFonts w:ascii="Times New Roman" w:hAnsi="Times New Roman" w:cs="Times New Roman"/>
          <w:b/>
          <w:bCs/>
          <w:i w:val="0"/>
          <w:color w:val="000000" w:themeColor="text1"/>
          <w:sz w:val="24"/>
          <w:szCs w:val="24"/>
        </w:rPr>
        <w:t>Relevance of the Theory to Nursing Practice</w:t>
      </w:r>
    </w:p>
    <w:p w14:paraId="249D0623" w14:textId="77777777" w:rsidR="00D37DCF" w:rsidRPr="00D37DCF" w:rsidRDefault="00D37DCF" w:rsidP="00D37DCF">
      <w:pPr>
        <w:pStyle w:val="NormalWeb"/>
        <w:jc w:val="both"/>
        <w:rPr>
          <w:color w:val="000000" w:themeColor="text1"/>
        </w:rPr>
      </w:pPr>
      <w:r w:rsidRPr="00D37DCF">
        <w:rPr>
          <w:color w:val="000000" w:themeColor="text1"/>
        </w:rPr>
        <w:t xml:space="preserve">The Gate Control Theory emphasizes that </w:t>
      </w:r>
      <w:r w:rsidRPr="00D37DCF">
        <w:rPr>
          <w:rStyle w:val="Strong"/>
          <w:color w:val="000000" w:themeColor="text1"/>
        </w:rPr>
        <w:t>pain is not merely a physical sensation</w:t>
      </w:r>
      <w:r w:rsidRPr="00D37DCF">
        <w:rPr>
          <w:color w:val="000000" w:themeColor="text1"/>
        </w:rPr>
        <w:t xml:space="preserve">, but a subjective experience influenced by </w:t>
      </w:r>
      <w:r w:rsidRPr="00D37DCF">
        <w:rPr>
          <w:rStyle w:val="Strong"/>
          <w:color w:val="000000" w:themeColor="text1"/>
        </w:rPr>
        <w:t>biological, psychological, and behavioral factors</w:t>
      </w:r>
      <w:r w:rsidRPr="00D37DCF">
        <w:rPr>
          <w:color w:val="000000" w:themeColor="text1"/>
        </w:rPr>
        <w:t xml:space="preserve">. This concept is critical in nursing, as it underlines the importance of assessing not only the physiological signs of pain but also behavioral and emotional cues, especially among </w:t>
      </w:r>
      <w:r w:rsidRPr="00D37DCF">
        <w:rPr>
          <w:rStyle w:val="Strong"/>
          <w:color w:val="000000" w:themeColor="text1"/>
        </w:rPr>
        <w:t>non-communicative patients</w:t>
      </w:r>
      <w:r w:rsidRPr="00D37DCF">
        <w:rPr>
          <w:color w:val="000000" w:themeColor="text1"/>
        </w:rPr>
        <w:t xml:space="preserve"> who cannot verbally express pain.</w:t>
      </w:r>
    </w:p>
    <w:p w14:paraId="3701359F" w14:textId="77777777" w:rsidR="00D37DCF" w:rsidRPr="00D37DCF" w:rsidRDefault="00D37DCF" w:rsidP="00D37DCF">
      <w:pPr>
        <w:pStyle w:val="Heading4"/>
        <w:jc w:val="both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D37DCF">
        <w:rPr>
          <w:rStyle w:val="Strong"/>
          <w:rFonts w:ascii="Times New Roman" w:hAnsi="Times New Roman" w:cs="Times New Roman"/>
          <w:b/>
          <w:bCs/>
          <w:i w:val="0"/>
          <w:color w:val="000000" w:themeColor="text1"/>
          <w:sz w:val="24"/>
          <w:szCs w:val="24"/>
        </w:rPr>
        <w:t>Application of the Theory to This Study</w:t>
      </w:r>
    </w:p>
    <w:p w14:paraId="4472E47C" w14:textId="77777777" w:rsidR="00D37DCF" w:rsidRPr="00D37DCF" w:rsidRDefault="00D37DCF" w:rsidP="00D37DCF">
      <w:pPr>
        <w:pStyle w:val="NormalWeb"/>
        <w:jc w:val="both"/>
        <w:rPr>
          <w:color w:val="000000" w:themeColor="text1"/>
        </w:rPr>
      </w:pPr>
      <w:r w:rsidRPr="00D37DCF">
        <w:rPr>
          <w:color w:val="000000" w:themeColor="text1"/>
        </w:rPr>
        <w:t xml:space="preserve">This study, </w:t>
      </w:r>
      <w:r w:rsidRPr="00D37DCF">
        <w:rPr>
          <w:rStyle w:val="Emphasis"/>
          <w:i w:val="0"/>
          <w:color w:val="000000" w:themeColor="text1"/>
        </w:rPr>
        <w:t xml:space="preserve">“Nurse’s </w:t>
      </w:r>
      <w:proofErr w:type="spellStart"/>
      <w:r w:rsidRPr="00D37DCF">
        <w:rPr>
          <w:rStyle w:val="Emphasis"/>
          <w:i w:val="0"/>
          <w:color w:val="000000" w:themeColor="text1"/>
        </w:rPr>
        <w:t>Utilisation</w:t>
      </w:r>
      <w:proofErr w:type="spellEnd"/>
      <w:r w:rsidRPr="00D37DCF">
        <w:rPr>
          <w:rStyle w:val="Emphasis"/>
          <w:i w:val="0"/>
          <w:color w:val="000000" w:themeColor="text1"/>
        </w:rPr>
        <w:t xml:space="preserve"> of Pain Assessment Scale on Non-Communicative Adult Patients Among Trained Nurses Working in University of Nigeria Teaching Hospital </w:t>
      </w:r>
      <w:proofErr w:type="spellStart"/>
      <w:r w:rsidRPr="00D37DCF">
        <w:rPr>
          <w:rStyle w:val="Emphasis"/>
          <w:i w:val="0"/>
          <w:color w:val="000000" w:themeColor="text1"/>
        </w:rPr>
        <w:t>Ituku-Ozalla</w:t>
      </w:r>
      <w:proofErr w:type="spellEnd"/>
      <w:r w:rsidRPr="00D37DCF">
        <w:rPr>
          <w:rStyle w:val="Emphasis"/>
          <w:i w:val="0"/>
          <w:color w:val="000000" w:themeColor="text1"/>
        </w:rPr>
        <w:t>, Enugu,”</w:t>
      </w:r>
      <w:r w:rsidRPr="00D37DCF">
        <w:rPr>
          <w:color w:val="000000" w:themeColor="text1"/>
        </w:rPr>
        <w:t xml:space="preserve"> is anchored on </w:t>
      </w:r>
      <w:proofErr w:type="spellStart"/>
      <w:r w:rsidRPr="00D37DCF">
        <w:rPr>
          <w:color w:val="000000" w:themeColor="text1"/>
        </w:rPr>
        <w:t>Melzack’s</w:t>
      </w:r>
      <w:proofErr w:type="spellEnd"/>
      <w:r w:rsidRPr="00D37DCF">
        <w:rPr>
          <w:color w:val="000000" w:themeColor="text1"/>
        </w:rPr>
        <w:t xml:space="preserve"> Gate Control Theory of Pain.</w:t>
      </w:r>
    </w:p>
    <w:p w14:paraId="06B44D14" w14:textId="77777777" w:rsidR="00D37DCF" w:rsidRPr="00D37DCF" w:rsidRDefault="00D37DCF" w:rsidP="00D37DCF">
      <w:pPr>
        <w:pStyle w:val="NormalWeb"/>
        <w:jc w:val="both"/>
        <w:rPr>
          <w:color w:val="000000" w:themeColor="text1"/>
        </w:rPr>
      </w:pPr>
      <w:r w:rsidRPr="00D37DCF">
        <w:rPr>
          <w:color w:val="000000" w:themeColor="text1"/>
        </w:rPr>
        <w:t>In this context:</w:t>
      </w:r>
    </w:p>
    <w:p w14:paraId="4DFDBE8C" w14:textId="77777777" w:rsidR="00D37DCF" w:rsidRPr="00D37DCF" w:rsidRDefault="00D37DCF" w:rsidP="00D37DCF">
      <w:pPr>
        <w:pStyle w:val="NormalWeb"/>
        <w:numPr>
          <w:ilvl w:val="0"/>
          <w:numId w:val="14"/>
        </w:numPr>
        <w:jc w:val="both"/>
        <w:rPr>
          <w:color w:val="000000" w:themeColor="text1"/>
        </w:rPr>
      </w:pPr>
      <w:r w:rsidRPr="00D37DCF">
        <w:rPr>
          <w:color w:val="000000" w:themeColor="text1"/>
        </w:rPr>
        <w:lastRenderedPageBreak/>
        <w:t xml:space="preserve">The </w:t>
      </w:r>
      <w:r w:rsidRPr="00D37DCF">
        <w:rPr>
          <w:rStyle w:val="Strong"/>
          <w:color w:val="000000" w:themeColor="text1"/>
        </w:rPr>
        <w:t>non-communicative adult patients</w:t>
      </w:r>
      <w:r w:rsidRPr="00D37DCF">
        <w:rPr>
          <w:color w:val="000000" w:themeColor="text1"/>
        </w:rPr>
        <w:t xml:space="preserve"> are unable to verbalize pain; hence, nurses must rely on </w:t>
      </w:r>
      <w:r w:rsidRPr="00D37DCF">
        <w:rPr>
          <w:rStyle w:val="Strong"/>
          <w:color w:val="000000" w:themeColor="text1"/>
        </w:rPr>
        <w:t>observable behaviors and physiological indicators</w:t>
      </w:r>
      <w:r w:rsidRPr="00D37DCF">
        <w:rPr>
          <w:color w:val="000000" w:themeColor="text1"/>
        </w:rPr>
        <w:t xml:space="preserve"> to identify pain levels.</w:t>
      </w:r>
    </w:p>
    <w:p w14:paraId="1A83E93D" w14:textId="77777777" w:rsidR="00D37DCF" w:rsidRPr="00D37DCF" w:rsidRDefault="00D37DCF" w:rsidP="00D37DCF">
      <w:pPr>
        <w:pStyle w:val="NormalWeb"/>
        <w:numPr>
          <w:ilvl w:val="0"/>
          <w:numId w:val="14"/>
        </w:numPr>
        <w:jc w:val="both"/>
        <w:rPr>
          <w:color w:val="000000" w:themeColor="text1"/>
        </w:rPr>
      </w:pPr>
      <w:r w:rsidRPr="00D37DCF">
        <w:rPr>
          <w:color w:val="000000" w:themeColor="text1"/>
        </w:rPr>
        <w:t xml:space="preserve">The </w:t>
      </w:r>
      <w:r w:rsidRPr="00D37DCF">
        <w:rPr>
          <w:rStyle w:val="Strong"/>
          <w:color w:val="000000" w:themeColor="text1"/>
        </w:rPr>
        <w:t>nurses act as interpreters of pain signals</w:t>
      </w:r>
      <w:r w:rsidRPr="00D37DCF">
        <w:rPr>
          <w:color w:val="000000" w:themeColor="text1"/>
        </w:rPr>
        <w:t xml:space="preserve">, using standardized </w:t>
      </w:r>
      <w:r w:rsidRPr="00D37DCF">
        <w:rPr>
          <w:rStyle w:val="Strong"/>
          <w:color w:val="000000" w:themeColor="text1"/>
        </w:rPr>
        <w:t>pain assessment scales</w:t>
      </w:r>
      <w:r w:rsidRPr="00D37DCF">
        <w:rPr>
          <w:color w:val="000000" w:themeColor="text1"/>
        </w:rPr>
        <w:t xml:space="preserve"> (such as behavioral pain scales, facial expression tools, or physiological markers) to determine whether the “pain gate” is open or closed.</w:t>
      </w:r>
    </w:p>
    <w:p w14:paraId="51977D9C" w14:textId="77777777" w:rsidR="00D37DCF" w:rsidRPr="00D37DCF" w:rsidRDefault="00D37DCF" w:rsidP="00D37DCF">
      <w:pPr>
        <w:pStyle w:val="NormalWeb"/>
        <w:numPr>
          <w:ilvl w:val="0"/>
          <w:numId w:val="14"/>
        </w:numPr>
        <w:jc w:val="both"/>
        <w:rPr>
          <w:color w:val="000000" w:themeColor="text1"/>
        </w:rPr>
      </w:pPr>
      <w:r w:rsidRPr="00D37DCF">
        <w:rPr>
          <w:color w:val="000000" w:themeColor="text1"/>
        </w:rPr>
        <w:t xml:space="preserve">The theory supports the idea that </w:t>
      </w:r>
      <w:r w:rsidRPr="00D37DCF">
        <w:rPr>
          <w:rStyle w:val="Strong"/>
          <w:color w:val="000000" w:themeColor="text1"/>
        </w:rPr>
        <w:t>nurses’ assessment, observation, and interventions</w:t>
      </w:r>
      <w:r w:rsidRPr="00D37DCF">
        <w:rPr>
          <w:color w:val="000000" w:themeColor="text1"/>
        </w:rPr>
        <w:t xml:space="preserve"> can influence the patient’s pain perception by modulating the gate — for instance, through comfort measures, emotional support, and accurate assessment leading to timely pain relief.</w:t>
      </w:r>
    </w:p>
    <w:p w14:paraId="3BBAA935" w14:textId="77777777" w:rsidR="00D37DCF" w:rsidRPr="00D37DCF" w:rsidRDefault="00D37DCF" w:rsidP="00D37DCF">
      <w:pPr>
        <w:pStyle w:val="NormalWeb"/>
        <w:numPr>
          <w:ilvl w:val="0"/>
          <w:numId w:val="14"/>
        </w:numPr>
        <w:jc w:val="both"/>
        <w:rPr>
          <w:color w:val="000000" w:themeColor="text1"/>
        </w:rPr>
      </w:pPr>
      <w:r w:rsidRPr="00D37DCF">
        <w:rPr>
          <w:color w:val="000000" w:themeColor="text1"/>
        </w:rPr>
        <w:t xml:space="preserve">Factors such as </w:t>
      </w:r>
      <w:r w:rsidRPr="00D37DCF">
        <w:rPr>
          <w:rStyle w:val="Strong"/>
          <w:color w:val="000000" w:themeColor="text1"/>
        </w:rPr>
        <w:t>training, institutional policy, and clinical experience</w:t>
      </w:r>
      <w:r w:rsidRPr="00D37DCF">
        <w:rPr>
          <w:color w:val="000000" w:themeColor="text1"/>
        </w:rPr>
        <w:t xml:space="preserve"> further enhance the nurse’s ability to interpret pain accurately and apply interventions that help “close the gate,” thus reducing patient suffering.</w:t>
      </w:r>
    </w:p>
    <w:p w14:paraId="02FA2070" w14:textId="77777777" w:rsidR="00D37DCF" w:rsidRPr="00D37DCF" w:rsidRDefault="00D37DCF" w:rsidP="00D37DCF">
      <w:pPr>
        <w:pStyle w:val="NormalWeb"/>
        <w:jc w:val="both"/>
        <w:rPr>
          <w:color w:val="000000" w:themeColor="text1"/>
        </w:rPr>
      </w:pPr>
      <w:r w:rsidRPr="00D37DCF">
        <w:rPr>
          <w:color w:val="000000" w:themeColor="text1"/>
        </w:rPr>
        <w:t xml:space="preserve">Hence, </w:t>
      </w:r>
      <w:proofErr w:type="spellStart"/>
      <w:r w:rsidRPr="00D37DCF">
        <w:rPr>
          <w:color w:val="000000" w:themeColor="text1"/>
        </w:rPr>
        <w:t>Melzack’s</w:t>
      </w:r>
      <w:proofErr w:type="spellEnd"/>
      <w:r w:rsidRPr="00D37DCF">
        <w:rPr>
          <w:color w:val="000000" w:themeColor="text1"/>
        </w:rPr>
        <w:t xml:space="preserve"> Gate Control Theory provides a </w:t>
      </w:r>
      <w:r w:rsidRPr="00D37DCF">
        <w:rPr>
          <w:rStyle w:val="Strong"/>
          <w:color w:val="000000" w:themeColor="text1"/>
        </w:rPr>
        <w:t>scientific basis</w:t>
      </w:r>
      <w:r w:rsidRPr="00D37DCF">
        <w:rPr>
          <w:color w:val="000000" w:themeColor="text1"/>
        </w:rPr>
        <w:t xml:space="preserve"> for understanding how pain assessment tools can help nurses interpret and manage pain effectively in non-communicative adult patients. It emphasizes the </w:t>
      </w:r>
      <w:r w:rsidRPr="00D37DCF">
        <w:rPr>
          <w:rStyle w:val="Strong"/>
          <w:color w:val="000000" w:themeColor="text1"/>
        </w:rPr>
        <w:t>nurse’s critical role</w:t>
      </w:r>
      <w:r w:rsidRPr="00D37DCF">
        <w:rPr>
          <w:color w:val="000000" w:themeColor="text1"/>
        </w:rPr>
        <w:t xml:space="preserve"> in observing behavioral cues, applying appropriate assessment tools, and initiating interventions that can modulate pain perception and improve patient outcomes.</w:t>
      </w:r>
    </w:p>
    <w:p w14:paraId="50BB156B" w14:textId="77777777" w:rsidR="00B1212A" w:rsidRPr="00D37DCF" w:rsidRDefault="00B1212A" w:rsidP="00D37DCF">
      <w:pPr>
        <w:pStyle w:val="Heading3"/>
        <w:spacing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B1212A" w:rsidRPr="00D37D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82297F"/>
    <w:multiLevelType w:val="multilevel"/>
    <w:tmpl w:val="68A0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2C6F8D"/>
    <w:multiLevelType w:val="multilevel"/>
    <w:tmpl w:val="ABC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C6EBE"/>
    <w:multiLevelType w:val="multilevel"/>
    <w:tmpl w:val="8B06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83A76"/>
    <w:multiLevelType w:val="multilevel"/>
    <w:tmpl w:val="E200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A0722"/>
    <w:multiLevelType w:val="multilevel"/>
    <w:tmpl w:val="89D4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332025">
    <w:abstractNumId w:val="8"/>
  </w:num>
  <w:num w:numId="2" w16cid:durableId="1532111750">
    <w:abstractNumId w:val="6"/>
  </w:num>
  <w:num w:numId="3" w16cid:durableId="2088530063">
    <w:abstractNumId w:val="5"/>
  </w:num>
  <w:num w:numId="4" w16cid:durableId="1811173232">
    <w:abstractNumId w:val="4"/>
  </w:num>
  <w:num w:numId="5" w16cid:durableId="806430674">
    <w:abstractNumId w:val="7"/>
  </w:num>
  <w:num w:numId="6" w16cid:durableId="1953438946">
    <w:abstractNumId w:val="3"/>
  </w:num>
  <w:num w:numId="7" w16cid:durableId="1843658768">
    <w:abstractNumId w:val="2"/>
  </w:num>
  <w:num w:numId="8" w16cid:durableId="1515070366">
    <w:abstractNumId w:val="1"/>
  </w:num>
  <w:num w:numId="9" w16cid:durableId="160242352">
    <w:abstractNumId w:val="0"/>
  </w:num>
  <w:num w:numId="10" w16cid:durableId="1162355824">
    <w:abstractNumId w:val="9"/>
  </w:num>
  <w:num w:numId="11" w16cid:durableId="1948659984">
    <w:abstractNumId w:val="11"/>
  </w:num>
  <w:num w:numId="12" w16cid:durableId="911504632">
    <w:abstractNumId w:val="12"/>
  </w:num>
  <w:num w:numId="13" w16cid:durableId="1736273062">
    <w:abstractNumId w:val="10"/>
  </w:num>
  <w:num w:numId="14" w16cid:durableId="9329773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4579"/>
    <w:rsid w:val="000E36CE"/>
    <w:rsid w:val="0010661C"/>
    <w:rsid w:val="0015074B"/>
    <w:rsid w:val="001D3ECF"/>
    <w:rsid w:val="00263E1D"/>
    <w:rsid w:val="0029639D"/>
    <w:rsid w:val="002C4DA5"/>
    <w:rsid w:val="00326F90"/>
    <w:rsid w:val="005E297F"/>
    <w:rsid w:val="009A3D66"/>
    <w:rsid w:val="009F1CDA"/>
    <w:rsid w:val="00AA1D8D"/>
    <w:rsid w:val="00B1212A"/>
    <w:rsid w:val="00B47730"/>
    <w:rsid w:val="00CB0664"/>
    <w:rsid w:val="00D37D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07849"/>
  <w14:defaultImageDpi w14:val="300"/>
  <w15:docId w15:val="{0477065A-BB8A-4170-9B9E-26A030E86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A3D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D6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E3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75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7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3F4C45-FD7E-437D-A560-B47FAA0C1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5488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ihueze jennifer</cp:lastModifiedBy>
  <cp:revision>4</cp:revision>
  <dcterms:created xsi:type="dcterms:W3CDTF">2025-10-10T13:16:00Z</dcterms:created>
  <dcterms:modified xsi:type="dcterms:W3CDTF">2025-10-12T18:48:00Z</dcterms:modified>
</cp:coreProperties>
</file>