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Unicode MS" w:hAnsi="Arial Unicode MS" w:eastAsia="Arial Unicode MS"/>
          <w:b/>
          <w:color w:val="2E74B5"/>
          <w:sz w:val="17"/>
        </w:rPr>
        <w:t>SALESLUV · MACHINE LEARNING</w:t>
      </w:r>
    </w:p>
    <w:p>
      <w:pPr>
        <w:spacing w:before="0" w:after="80"/>
      </w:pPr>
      <w:r>
        <w:rPr>
          <w:rFonts w:ascii="Arial Unicode MS" w:hAnsi="Arial Unicode MS" w:eastAsia="Arial Unicode MS"/>
          <w:b/>
          <w:color w:val="18212B"/>
          <w:sz w:val="46"/>
        </w:rPr>
        <w:t>머신러닝/딥러닝 학습결과서</w:t>
      </w:r>
    </w:p>
    <w:p>
      <w:pPr>
        <w:spacing w:before="0" w:after="200"/>
        <w:pBdr>
          <w:bottom w:val="single" w:sz="10" w:space="6" w:color="2E74B5"/>
        </w:pBdr>
      </w:pPr>
      <w:r>
        <w:rPr>
          <w:rFonts w:ascii="Arial Unicode MS" w:hAnsi="Arial Unicode MS" w:eastAsia="Arial Unicode MS"/>
          <w:color w:val="667085"/>
          <w:sz w:val="20"/>
        </w:rPr>
        <w:t>B2B Deal Win Probability · 2026-08-26</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350"/>
        <w:gridCol w:w="7628"/>
      </w:tblGrid>
      <w:tr>
        <w:trPr>
          <w:cantSplit/>
          <w:tblHeader w:val="true"/>
        </w:trPr>
        <w:tc>
          <w:tcPr>
            <w:tcW w:type="dxa" w:w="2350"/>
            <w:tcMar>
              <w:top w:w="65" w:type="dxa"/>
              <w:start w:w="100" w:type="dxa"/>
              <w:bottom w:w="65" w:type="dxa"/>
              <w:end w:w="100" w:type="dxa"/>
            </w:tcMar>
            <w:vAlign w:val="center"/>
            <w:shd w:fill="E8EEF5"/>
          </w:tcPr>
          <w:p>
            <w:pPr>
              <w:spacing w:before="0" w:after="0" w:line="240" w:lineRule="auto"/>
            </w:pPr>
            <w:r>
              <w:rPr>
                <w:rFonts w:ascii="Arial Unicode MS" w:hAnsi="Arial Unicode MS" w:eastAsia="Arial Unicode MS"/>
                <w:b/>
                <w:color w:val="1F4D78"/>
                <w:sz w:val="17"/>
              </w:rPr>
              <w:t>항목</w:t>
            </w:r>
          </w:p>
        </w:tc>
        <w:tc>
          <w:tcPr>
            <w:tcW w:type="dxa" w:w="7628"/>
            <w:tcMar>
              <w:top w:w="65" w:type="dxa"/>
              <w:start w:w="100" w:type="dxa"/>
              <w:bottom w:w="65" w:type="dxa"/>
              <w:end w:w="100" w:type="dxa"/>
            </w:tcMar>
            <w:vAlign w:val="center"/>
            <w:shd w:fill="E8EEF5"/>
          </w:tcPr>
          <w:p>
            <w:pPr>
              <w:spacing w:before="0" w:after="0" w:line="240" w:lineRule="auto"/>
            </w:pPr>
            <w:r>
              <w:rPr>
                <w:rFonts w:ascii="Arial Unicode MS" w:hAnsi="Arial Unicode MS" w:eastAsia="Arial Unicode MS"/>
                <w:b/>
                <w:color w:val="1F4D78"/>
                <w:sz w:val="17"/>
              </w:rPr>
              <w:t>내용</w:t>
            </w:r>
          </w:p>
        </w:tc>
      </w:tr>
      <w:tr>
        <w:trPr>
          <w:cantSplit/>
        </w:trPr>
        <w:tc>
          <w:tcPr>
            <w:tcW w:type="dxa" w:w="2350"/>
            <w:tcMar>
              <w:top w:w="65" w:type="dxa"/>
              <w:start w:w="100" w:type="dxa"/>
              <w:bottom w:w="65" w:type="dxa"/>
              <w:end w:w="100" w:type="dxa"/>
            </w:tcMar>
            <w:vAlign w:val="center"/>
          </w:tcPr>
          <w:p>
            <w:pPr>
              <w:spacing w:before="0" w:after="0" w:line="240" w:lineRule="auto"/>
              <w:jc w:val="left"/>
            </w:pPr>
            <w:r>
              <w:rPr>
                <w:rFonts w:ascii="Arial Unicode MS" w:hAnsi="Arial Unicode MS" w:eastAsia="Arial Unicode MS"/>
                <w:b w:val="0"/>
                <w:color w:val="18212B"/>
                <w:sz w:val="16"/>
              </w:rPr>
              <w:t>제품</w:t>
            </w:r>
          </w:p>
        </w:tc>
        <w:tc>
          <w:tcPr>
            <w:tcW w:type="dxa" w:w="7628"/>
            <w:tcMar>
              <w:top w:w="65" w:type="dxa"/>
              <w:start w:w="100" w:type="dxa"/>
              <w:bottom w:w="65" w:type="dxa"/>
              <w:end w:w="100" w:type="dxa"/>
            </w:tcMar>
            <w:vAlign w:val="center"/>
          </w:tcPr>
          <w:p>
            <w:pPr>
              <w:spacing w:before="0" w:after="0" w:line="240" w:lineRule="auto"/>
              <w:jc w:val="left"/>
            </w:pPr>
            <w:r>
              <w:rPr>
                <w:rFonts w:ascii="Arial Unicode MS" w:hAnsi="Arial Unicode MS" w:eastAsia="Arial Unicode MS"/>
                <w:b w:val="0"/>
                <w:color w:val="18212B"/>
                <w:sz w:val="16"/>
              </w:rPr>
              <w:t>SalesLuv</w:t>
            </w:r>
          </w:p>
        </w:tc>
      </w:tr>
      <w:tr>
        <w:trPr>
          <w:cantSplit/>
        </w:trPr>
        <w:tc>
          <w:tcPr>
            <w:tcW w:type="dxa" w:w="2350"/>
            <w:tcMar>
              <w:top w:w="65" w:type="dxa"/>
              <w:start w:w="100" w:type="dxa"/>
              <w:bottom w:w="65" w:type="dxa"/>
              <w:end w:w="100" w:type="dxa"/>
            </w:tcMar>
            <w:vAlign w:val="center"/>
            <w:shd w:fill="FAFBFC"/>
          </w:tcPr>
          <w:p>
            <w:pPr>
              <w:spacing w:before="0" w:after="0" w:line="240" w:lineRule="auto"/>
              <w:jc w:val="left"/>
            </w:pPr>
            <w:r>
              <w:rPr>
                <w:rFonts w:ascii="Arial Unicode MS" w:hAnsi="Arial Unicode MS" w:eastAsia="Arial Unicode MS"/>
                <w:b w:val="0"/>
                <w:color w:val="18212B"/>
                <w:sz w:val="16"/>
              </w:rPr>
              <w:t>과제</w:t>
            </w:r>
          </w:p>
        </w:tc>
        <w:tc>
          <w:tcPr>
            <w:tcW w:type="dxa" w:w="7628"/>
            <w:tcMar>
              <w:top w:w="65" w:type="dxa"/>
              <w:start w:w="100" w:type="dxa"/>
              <w:bottom w:w="65" w:type="dxa"/>
              <w:end w:w="100" w:type="dxa"/>
            </w:tcMar>
            <w:vAlign w:val="center"/>
            <w:shd w:fill="FAFBFC"/>
          </w:tcPr>
          <w:p>
            <w:pPr>
              <w:spacing w:before="0" w:after="0" w:line="240" w:lineRule="auto"/>
              <w:jc w:val="left"/>
            </w:pPr>
            <w:r>
              <w:rPr>
                <w:rFonts w:ascii="Arial Unicode MS" w:hAnsi="Arial Unicode MS" w:eastAsia="Arial Unicode MS"/>
                <w:b w:val="0"/>
                <w:color w:val="18212B"/>
                <w:sz w:val="16"/>
              </w:rPr>
              <w:t xml:space="preserve">B2B 딜의 </w:t>
            </w:r>
            <w:r>
              <w:rPr>
                <w:rFonts w:ascii="Arial Unicode MS" w:hAnsi="Arial Unicode MS" w:eastAsia="Arial Unicode MS"/>
                <w:color w:val="1F4D78"/>
                <w:sz w:val="16"/>
                <w:shd w:fill="F2F4F7"/>
              </w:rPr>
              <w:t>Won</w:t>
            </w:r>
            <w:r>
              <w:rPr>
                <w:rFonts w:ascii="Arial Unicode MS" w:hAnsi="Arial Unicode MS" w:eastAsia="Arial Unicode MS"/>
                <w:b w:val="0"/>
                <w:color w:val="18212B"/>
                <w:sz w:val="16"/>
              </w:rPr>
              <w:t xml:space="preserve"> 확률 및 승패 예측</w:t>
            </w:r>
          </w:p>
        </w:tc>
      </w:tr>
      <w:tr>
        <w:trPr>
          <w:cantSplit/>
        </w:trPr>
        <w:tc>
          <w:tcPr>
            <w:tcW w:type="dxa" w:w="2350"/>
            <w:tcMar>
              <w:top w:w="65" w:type="dxa"/>
              <w:start w:w="100" w:type="dxa"/>
              <w:bottom w:w="65" w:type="dxa"/>
              <w:end w:w="100" w:type="dxa"/>
            </w:tcMar>
            <w:vAlign w:val="center"/>
          </w:tcPr>
          <w:p>
            <w:pPr>
              <w:spacing w:before="0" w:after="0" w:line="240" w:lineRule="auto"/>
              <w:jc w:val="left"/>
            </w:pPr>
            <w:r>
              <w:rPr>
                <w:rFonts w:ascii="Arial Unicode MS" w:hAnsi="Arial Unicode MS" w:eastAsia="Arial Unicode MS"/>
                <w:b w:val="0"/>
                <w:color w:val="18212B"/>
                <w:sz w:val="16"/>
              </w:rPr>
              <w:t>최종 모델</w:t>
            </w:r>
          </w:p>
        </w:tc>
        <w:tc>
          <w:tcPr>
            <w:tcW w:type="dxa" w:w="7628"/>
            <w:tcMar>
              <w:top w:w="65" w:type="dxa"/>
              <w:start w:w="100" w:type="dxa"/>
              <w:bottom w:w="65" w:type="dxa"/>
              <w:end w:w="100" w:type="dxa"/>
            </w:tcMar>
            <w:vAlign w:val="center"/>
          </w:tcPr>
          <w:p>
            <w:pPr>
              <w:spacing w:before="0" w:after="0" w:line="240" w:lineRule="auto"/>
              <w:jc w:val="left"/>
            </w:pPr>
            <w:r>
              <w:rPr>
                <w:rFonts w:ascii="Arial Unicode MS" w:hAnsi="Arial Unicode MS" w:eastAsia="Arial Unicode MS"/>
                <w:color w:val="1F4D78"/>
                <w:sz w:val="16"/>
                <w:shd w:fill="F2F4F7"/>
              </w:rPr>
              <w:t>Stacking_LR</w:t>
            </w:r>
          </w:p>
        </w:tc>
      </w:tr>
      <w:tr>
        <w:trPr>
          <w:cantSplit/>
        </w:trPr>
        <w:tc>
          <w:tcPr>
            <w:tcW w:type="dxa" w:w="2350"/>
            <w:tcMar>
              <w:top w:w="65" w:type="dxa"/>
              <w:start w:w="100" w:type="dxa"/>
              <w:bottom w:w="65" w:type="dxa"/>
              <w:end w:w="100" w:type="dxa"/>
            </w:tcMar>
            <w:vAlign w:val="center"/>
            <w:shd w:fill="FAFBFC"/>
          </w:tcPr>
          <w:p>
            <w:pPr>
              <w:spacing w:before="0" w:after="0" w:line="240" w:lineRule="auto"/>
              <w:jc w:val="left"/>
            </w:pPr>
            <w:r>
              <w:rPr>
                <w:rFonts w:ascii="Arial Unicode MS" w:hAnsi="Arial Unicode MS" w:eastAsia="Arial Unicode MS"/>
                <w:b w:val="0"/>
                <w:color w:val="18212B"/>
                <w:sz w:val="16"/>
              </w:rPr>
              <w:t>모델 버전</w:t>
            </w:r>
          </w:p>
        </w:tc>
        <w:tc>
          <w:tcPr>
            <w:tcW w:type="dxa" w:w="7628"/>
            <w:tcMar>
              <w:top w:w="65" w:type="dxa"/>
              <w:start w:w="100" w:type="dxa"/>
              <w:bottom w:w="65" w:type="dxa"/>
              <w:end w:w="100" w:type="dxa"/>
            </w:tcMar>
            <w:vAlign w:val="center"/>
            <w:shd w:fill="FAFBFC"/>
          </w:tcPr>
          <w:p>
            <w:pPr>
              <w:spacing w:before="0" w:after="0" w:line="240" w:lineRule="auto"/>
              <w:jc w:val="left"/>
            </w:pPr>
            <w:r>
              <w:rPr>
                <w:rFonts w:ascii="Arial Unicode MS" w:hAnsi="Arial Unicode MS" w:eastAsia="Arial Unicode MS"/>
                <w:color w:val="1F4D78"/>
                <w:sz w:val="16"/>
                <w:shd w:fill="F2F4F7"/>
              </w:rPr>
              <w:t>deal-stacking-lr-v1</w:t>
            </w:r>
          </w:p>
        </w:tc>
      </w:tr>
      <w:tr>
        <w:trPr>
          <w:cantSplit/>
        </w:trPr>
        <w:tc>
          <w:tcPr>
            <w:tcW w:type="dxa" w:w="2350"/>
            <w:tcMar>
              <w:top w:w="65" w:type="dxa"/>
              <w:start w:w="100" w:type="dxa"/>
              <w:bottom w:w="65" w:type="dxa"/>
              <w:end w:w="100" w:type="dxa"/>
            </w:tcMar>
            <w:vAlign w:val="center"/>
          </w:tcPr>
          <w:p>
            <w:pPr>
              <w:spacing w:before="0" w:after="0" w:line="240" w:lineRule="auto"/>
              <w:jc w:val="left"/>
            </w:pPr>
            <w:r>
              <w:rPr>
                <w:rFonts w:ascii="Arial Unicode MS" w:hAnsi="Arial Unicode MS" w:eastAsia="Arial Unicode MS"/>
                <w:b w:val="0"/>
                <w:color w:val="18212B"/>
                <w:sz w:val="16"/>
              </w:rPr>
              <w:t>입력</w:t>
            </w:r>
          </w:p>
        </w:tc>
        <w:tc>
          <w:tcPr>
            <w:tcW w:type="dxa" w:w="7628"/>
            <w:tcMar>
              <w:top w:w="65" w:type="dxa"/>
              <w:start w:w="100" w:type="dxa"/>
              <w:bottom w:w="65" w:type="dxa"/>
              <w:end w:w="100" w:type="dxa"/>
            </w:tcMar>
            <w:vAlign w:val="center"/>
          </w:tcPr>
          <w:p>
            <w:pPr>
              <w:spacing w:before="0" w:after="0" w:line="240" w:lineRule="auto"/>
              <w:jc w:val="left"/>
            </w:pPr>
            <w:r>
              <w:rPr>
                <w:rFonts w:ascii="Arial Unicode MS" w:hAnsi="Arial Unicode MS" w:eastAsia="Arial Unicode MS"/>
                <w:b w:val="0"/>
                <w:color w:val="18212B"/>
                <w:sz w:val="16"/>
              </w:rPr>
              <w:t xml:space="preserve">13개 범주형 컬럼, 행마다 4개 </w:t>
            </w:r>
            <w:r>
              <w:rPr>
                <w:rFonts w:ascii="Arial Unicode MS" w:hAnsi="Arial Unicode MS" w:eastAsia="Arial Unicode MS"/>
                <w:color w:val="1F4D78"/>
                <w:sz w:val="16"/>
                <w:shd w:fill="F2F4F7"/>
              </w:rPr>
              <w:t>Unknown</w:t>
            </w:r>
            <w:r>
              <w:rPr>
                <w:rFonts w:ascii="Arial Unicode MS" w:hAnsi="Arial Unicode MS" w:eastAsia="Arial Unicode MS"/>
                <w:b w:val="0"/>
                <w:color w:val="18212B"/>
                <w:sz w:val="16"/>
              </w:rPr>
              <w:t xml:space="preserve"> 마스킹</w:t>
            </w:r>
          </w:p>
        </w:tc>
      </w:tr>
      <w:tr>
        <w:trPr>
          <w:cantSplit/>
        </w:trPr>
        <w:tc>
          <w:tcPr>
            <w:tcW w:type="dxa" w:w="2350"/>
            <w:tcMar>
              <w:top w:w="65" w:type="dxa"/>
              <w:start w:w="100" w:type="dxa"/>
              <w:bottom w:w="65" w:type="dxa"/>
              <w:end w:w="100" w:type="dxa"/>
            </w:tcMar>
            <w:vAlign w:val="center"/>
            <w:shd w:fill="FAFBFC"/>
          </w:tcPr>
          <w:p>
            <w:pPr>
              <w:spacing w:before="0" w:after="0" w:line="240" w:lineRule="auto"/>
              <w:jc w:val="left"/>
            </w:pPr>
            <w:r>
              <w:rPr>
                <w:rFonts w:ascii="Arial Unicode MS" w:hAnsi="Arial Unicode MS" w:eastAsia="Arial Unicode MS"/>
                <w:b w:val="0"/>
                <w:color w:val="18212B"/>
                <w:sz w:val="16"/>
              </w:rPr>
              <w:t>분류 임계값</w:t>
            </w:r>
          </w:p>
        </w:tc>
        <w:tc>
          <w:tcPr>
            <w:tcW w:type="dxa" w:w="7628"/>
            <w:tcMar>
              <w:top w:w="65" w:type="dxa"/>
              <w:start w:w="100" w:type="dxa"/>
              <w:bottom w:w="65" w:type="dxa"/>
              <w:end w:w="100" w:type="dxa"/>
            </w:tcMar>
            <w:vAlign w:val="center"/>
            <w:shd w:fill="FAFBFC"/>
          </w:tcPr>
          <w:p>
            <w:pPr>
              <w:spacing w:before="0" w:after="0" w:line="240" w:lineRule="auto"/>
              <w:jc w:val="right"/>
            </w:pPr>
            <w:r>
              <w:rPr>
                <w:rFonts w:ascii="Arial Unicode MS" w:hAnsi="Arial Unicode MS" w:eastAsia="Arial Unicode MS"/>
                <w:color w:val="1F4D78"/>
                <w:sz w:val="16"/>
                <w:shd w:fill="F2F4F7"/>
              </w:rPr>
              <w:t>0.50</w:t>
            </w:r>
          </w:p>
        </w:tc>
      </w:tr>
      <w:tr>
        <w:trPr>
          <w:cantSplit/>
        </w:trPr>
        <w:tc>
          <w:tcPr>
            <w:tcW w:type="dxa" w:w="2350"/>
            <w:tcMar>
              <w:top w:w="65" w:type="dxa"/>
              <w:start w:w="100" w:type="dxa"/>
              <w:bottom w:w="65" w:type="dxa"/>
              <w:end w:w="100" w:type="dxa"/>
            </w:tcMar>
            <w:vAlign w:val="center"/>
          </w:tcPr>
          <w:p>
            <w:pPr>
              <w:spacing w:before="0" w:after="0" w:line="240" w:lineRule="auto"/>
              <w:jc w:val="left"/>
            </w:pPr>
            <w:r>
              <w:rPr>
                <w:rFonts w:ascii="Arial Unicode MS" w:hAnsi="Arial Unicode MS" w:eastAsia="Arial Unicode MS"/>
                <w:b w:val="0"/>
                <w:color w:val="18212B"/>
                <w:sz w:val="16"/>
              </w:rPr>
              <w:t>작성 기준일</w:t>
            </w:r>
          </w:p>
        </w:tc>
        <w:tc>
          <w:tcPr>
            <w:tcW w:type="dxa" w:w="7628"/>
            <w:tcMar>
              <w:top w:w="65" w:type="dxa"/>
              <w:start w:w="100" w:type="dxa"/>
              <w:bottom w:w="65" w:type="dxa"/>
              <w:end w:w="100" w:type="dxa"/>
            </w:tcMar>
            <w:vAlign w:val="center"/>
          </w:tcPr>
          <w:p>
            <w:pPr>
              <w:spacing w:before="0" w:after="0" w:line="240" w:lineRule="auto"/>
              <w:jc w:val="right"/>
            </w:pPr>
            <w:r>
              <w:rPr>
                <w:rFonts w:ascii="Arial Unicode MS" w:hAnsi="Arial Unicode MS" w:eastAsia="Arial Unicode MS"/>
                <w:b w:val="0"/>
                <w:color w:val="18212B"/>
                <w:sz w:val="16"/>
              </w:rPr>
              <w:t>2026-08-26</w:t>
            </w:r>
          </w:p>
        </w:tc>
      </w:tr>
      <w:tr>
        <w:trPr>
          <w:cantSplit/>
        </w:trPr>
        <w:tc>
          <w:tcPr>
            <w:tcW w:type="dxa" w:w="2350"/>
            <w:tcMar>
              <w:top w:w="65" w:type="dxa"/>
              <w:start w:w="100" w:type="dxa"/>
              <w:bottom w:w="65" w:type="dxa"/>
              <w:end w:w="100" w:type="dxa"/>
            </w:tcMar>
            <w:vAlign w:val="center"/>
            <w:shd w:fill="FAFBFC"/>
          </w:tcPr>
          <w:p>
            <w:pPr>
              <w:spacing w:before="0" w:after="0" w:line="240" w:lineRule="auto"/>
              <w:jc w:val="left"/>
            </w:pPr>
            <w:r>
              <w:rPr>
                <w:rFonts w:ascii="Arial Unicode MS" w:hAnsi="Arial Unicode MS" w:eastAsia="Arial Unicode MS"/>
                <w:b w:val="0"/>
                <w:color w:val="18212B"/>
                <w:sz w:val="16"/>
              </w:rPr>
              <w:t>현재 상태</w:t>
            </w:r>
          </w:p>
        </w:tc>
        <w:tc>
          <w:tcPr>
            <w:tcW w:type="dxa" w:w="7628"/>
            <w:tcMar>
              <w:top w:w="65" w:type="dxa"/>
              <w:start w:w="100" w:type="dxa"/>
              <w:bottom w:w="65" w:type="dxa"/>
              <w:end w:w="100" w:type="dxa"/>
            </w:tcMar>
            <w:vAlign w:val="center"/>
            <w:shd w:fill="FAFBFC"/>
          </w:tcPr>
          <w:p>
            <w:pPr>
              <w:spacing w:before="0" w:after="0" w:line="240" w:lineRule="auto"/>
              <w:jc w:val="left"/>
            </w:pPr>
            <w:r>
              <w:rPr>
                <w:rFonts w:ascii="Arial Unicode MS" w:hAnsi="Arial Unicode MS" w:eastAsia="Arial Unicode MS"/>
                <w:b w:val="0"/>
                <w:color w:val="18212B"/>
                <w:sz w:val="16"/>
              </w:rPr>
              <w:t>선택·평가·전체 재학습·모델 저장·재로드 검증 완료</w:t>
            </w:r>
          </w:p>
        </w:tc>
      </w:tr>
    </w:tbl>
    <w:p>
      <w:pPr>
        <w:spacing w:after="20"/>
      </w:pPr>
    </w:p>
    <w:p>
      <w:pPr>
        <w:pStyle w:val="Heading1"/>
      </w:pPr>
      <w:r>
        <w:rPr>
          <w:rFonts w:ascii="Arial Unicode MS" w:hAnsi="Arial Unicode MS" w:eastAsia="Arial Unicode MS"/>
          <w:b/>
          <w:color w:val="2E74B5"/>
          <w:sz w:val="30"/>
        </w:rPr>
        <w:t>1. 결과 요약</w:t>
      </w:r>
    </w:p>
    <w:p>
      <w:pPr>
        <w:spacing w:after="80" w:line="269" w:lineRule="auto"/>
      </w:pPr>
      <w:r>
        <w:rPr>
          <w:rFonts w:ascii="Arial Unicode MS" w:hAnsi="Arial Unicode MS" w:eastAsia="Arial Unicode MS"/>
          <w:b w:val="0"/>
          <w:color w:val="18212B"/>
          <w:sz w:val="19"/>
        </w:rPr>
        <w:t xml:space="preserve">공개 Salvirt B2B Sales Dataset 448건을 사용해 미팅 보고서에서 확보할 수 있는 13개 범주형 정보로 딜의 </w:t>
      </w:r>
      <w:r>
        <w:rPr>
          <w:rFonts w:ascii="Arial Unicode MS" w:hAnsi="Arial Unicode MS" w:eastAsia="Arial Unicode MS"/>
          <w:color w:val="1F4D78"/>
          <w:sz w:val="18"/>
          <w:shd w:fill="F2F4F7"/>
        </w:rPr>
        <w:t>Won</w:t>
      </w:r>
      <w:r>
        <w:rPr>
          <w:rFonts w:ascii="Arial Unicode MS" w:hAnsi="Arial Unicode MS" w:eastAsia="Arial Unicode MS"/>
          <w:b w:val="0"/>
          <w:color w:val="18212B"/>
          <w:sz w:val="19"/>
        </w:rPr>
        <w:t xml:space="preserve"> 확률을 예측했다. 실제 서비스에서 일부 항목이 측정되지 않는 상황을 반영하기 위해 각 행의 13개 컬럼 중 정확히 4개를 </w:t>
      </w:r>
      <w:r>
        <w:rPr>
          <w:rFonts w:ascii="Arial Unicode MS" w:hAnsi="Arial Unicode MS" w:eastAsia="Arial Unicode MS"/>
          <w:color w:val="1F4D78"/>
          <w:sz w:val="18"/>
          <w:shd w:fill="F2F4F7"/>
        </w:rPr>
        <w:t>Unknown</w:t>
      </w:r>
      <w:r>
        <w:rPr>
          <w:rFonts w:ascii="Arial Unicode MS" w:hAnsi="Arial Unicode MS" w:eastAsia="Arial Unicode MS"/>
          <w:b w:val="0"/>
          <w:color w:val="18212B"/>
          <w:sz w:val="19"/>
        </w:rPr>
        <w:t>으로 바꾼 서로 다른 마스킹 10세트를 구성했다.</w:t>
      </w:r>
    </w:p>
    <w:p>
      <w:pPr>
        <w:spacing w:after="80" w:line="269" w:lineRule="auto"/>
      </w:pPr>
      <w:r>
        <w:rPr>
          <w:rFonts w:ascii="Arial Unicode MS" w:hAnsi="Arial Unicode MS" w:eastAsia="Arial Unicode MS"/>
          <w:b w:val="0"/>
          <w:color w:val="18212B"/>
          <w:sz w:val="19"/>
        </w:rPr>
        <w:t xml:space="preserve">최종 모델 </w:t>
      </w:r>
      <w:r>
        <w:rPr>
          <w:rFonts w:ascii="Arial Unicode MS" w:hAnsi="Arial Unicode MS" w:eastAsia="Arial Unicode MS"/>
          <w:color w:val="1F4D78"/>
          <w:sz w:val="18"/>
          <w:shd w:fill="F2F4F7"/>
        </w:rPr>
        <w:t>Stacking_LR</w:t>
      </w:r>
      <w:r>
        <w:rPr>
          <w:rFonts w:ascii="Arial Unicode MS" w:hAnsi="Arial Unicode MS" w:eastAsia="Arial Unicode MS"/>
          <w:b w:val="0"/>
          <w:color w:val="18212B"/>
          <w:sz w:val="19"/>
        </w:rPr>
        <w:t xml:space="preserve">는 LogisticRegression, MultinomialNB, ExtraTrees, CatBoost, TabICL의 예측 확률을 입력받아 LogisticRegression 메타모델이 결합하는 분류 앙상블이다. 5-Fold Group CV를 시드 3개로 반복한 비교에서 가장 낮은 평균 Brier Score를 기록했다. 분류 임계값은 </w:t>
      </w:r>
      <w:r>
        <w:rPr>
          <w:rFonts w:ascii="Arial Unicode MS" w:hAnsi="Arial Unicode MS" w:eastAsia="Arial Unicode MS"/>
          <w:color w:val="1F4D78"/>
          <w:sz w:val="18"/>
          <w:shd w:fill="F2F4F7"/>
        </w:rPr>
        <w:t>0.50</w:t>
      </w:r>
      <w:r>
        <w:rPr>
          <w:rFonts w:ascii="Arial Unicode MS" w:hAnsi="Arial Unicode MS" w:eastAsia="Arial Unicode MS"/>
          <w:b w:val="0"/>
          <w:color w:val="18212B"/>
          <w:sz w:val="19"/>
        </w:rPr>
        <w:t>을 유지했다.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700"/>
        <w:gridCol w:w="3639"/>
        <w:gridCol w:w="3639"/>
      </w:tblGrid>
      <w:tr>
        <w:trPr>
          <w:cantSplit/>
          <w:tblHeader w:val="true"/>
        </w:trPr>
        <w:tc>
          <w:tcPr>
            <w:tcW w:type="dxa" w:w="2700"/>
            <w:tcMar>
              <w:top w:w="65" w:type="dxa"/>
              <w:start w:w="100" w:type="dxa"/>
              <w:bottom w:w="65" w:type="dxa"/>
              <w:end w:w="100" w:type="dxa"/>
            </w:tcMar>
            <w:vAlign w:val="center"/>
            <w:shd w:fill="E8EEF5"/>
          </w:tcPr>
          <w:p>
            <w:pPr>
              <w:spacing w:before="0" w:after="0" w:line="240" w:lineRule="auto"/>
            </w:pPr>
            <w:r>
              <w:rPr>
                <w:rFonts w:ascii="Arial Unicode MS" w:hAnsi="Arial Unicode MS" w:eastAsia="Arial Unicode MS"/>
                <w:b/>
                <w:color w:val="1F4D78"/>
                <w:sz w:val="17"/>
              </w:rPr>
              <w:t>지표</w:t>
            </w:r>
          </w:p>
        </w:tc>
        <w:tc>
          <w:tcPr>
            <w:tcW w:type="dxa" w:w="3639"/>
            <w:tcMar>
              <w:top w:w="65" w:type="dxa"/>
              <w:start w:w="100" w:type="dxa"/>
              <w:bottom w:w="65" w:type="dxa"/>
              <w:end w:w="100" w:type="dxa"/>
            </w:tcMar>
            <w:vAlign w:val="center"/>
            <w:shd w:fill="E8EEF5"/>
          </w:tcPr>
          <w:p>
            <w:pPr>
              <w:spacing w:before="0" w:after="0" w:line="240" w:lineRule="auto"/>
            </w:pPr>
            <w:r>
              <w:rPr>
                <w:rFonts w:ascii="Arial Unicode MS" w:hAnsi="Arial Unicode MS" w:eastAsia="Arial Unicode MS"/>
                <w:b/>
                <w:color w:val="1F4D78"/>
                <w:sz w:val="17"/>
              </w:rPr>
              <w:t>반복 Group CV</w:t>
            </w:r>
          </w:p>
        </w:tc>
        <w:tc>
          <w:tcPr>
            <w:tcW w:type="dxa" w:w="3639"/>
            <w:tcMar>
              <w:top w:w="65" w:type="dxa"/>
              <w:start w:w="100" w:type="dxa"/>
              <w:bottom w:w="65" w:type="dxa"/>
              <w:end w:w="100" w:type="dxa"/>
            </w:tcMar>
            <w:vAlign w:val="center"/>
            <w:shd w:fill="E8EEF5"/>
          </w:tcPr>
          <w:p>
            <w:pPr>
              <w:spacing w:before="0" w:after="0" w:line="240" w:lineRule="auto"/>
            </w:pPr>
            <w:r>
              <w:rPr>
                <w:rFonts w:ascii="Arial Unicode MS" w:hAnsi="Arial Unicode MS" w:eastAsia="Arial Unicode MS"/>
                <w:b/>
                <w:color w:val="1F4D78"/>
                <w:sz w:val="17"/>
              </w:rPr>
              <w:t>Test 10세트 평균</w:t>
            </w:r>
          </w:p>
        </w:tc>
      </w:tr>
      <w:tr>
        <w:trPr>
          <w:cantSplit/>
        </w:trPr>
        <w:tc>
          <w:tcPr>
            <w:tcW w:type="dxa" w:w="2700"/>
            <w:tcMar>
              <w:top w:w="65" w:type="dxa"/>
              <w:start w:w="100" w:type="dxa"/>
              <w:bottom w:w="65" w:type="dxa"/>
              <w:end w:w="100" w:type="dxa"/>
            </w:tcMar>
            <w:vAlign w:val="center"/>
          </w:tcPr>
          <w:p>
            <w:pPr>
              <w:spacing w:before="0" w:after="0" w:line="240" w:lineRule="auto"/>
              <w:jc w:val="left"/>
            </w:pPr>
            <w:r>
              <w:rPr>
                <w:rFonts w:ascii="Arial Unicode MS" w:hAnsi="Arial Unicode MS" w:eastAsia="Arial Unicode MS"/>
                <w:b w:val="0"/>
                <w:color w:val="18212B"/>
                <w:sz w:val="16"/>
              </w:rPr>
              <w:t>Brier ↓</w:t>
            </w:r>
          </w:p>
        </w:tc>
        <w:tc>
          <w:tcPr>
            <w:tcW w:type="dxa" w:w="3639"/>
            <w:tcMar>
              <w:top w:w="65" w:type="dxa"/>
              <w:start w:w="100" w:type="dxa"/>
              <w:bottom w:w="65" w:type="dxa"/>
              <w:end w:w="100" w:type="dxa"/>
            </w:tcMar>
            <w:vAlign w:val="center"/>
          </w:tcPr>
          <w:p>
            <w:pPr>
              <w:spacing w:before="0" w:after="0" w:line="240" w:lineRule="auto"/>
              <w:jc w:val="right"/>
            </w:pPr>
            <w:r>
              <w:rPr>
                <w:rFonts w:ascii="Arial Unicode MS" w:hAnsi="Arial Unicode MS" w:eastAsia="Arial Unicode MS"/>
                <w:b/>
                <w:color w:val="18212B"/>
                <w:sz w:val="16"/>
              </w:rPr>
              <w:t>0.194406 ± 0.001928</w:t>
            </w:r>
          </w:p>
        </w:tc>
        <w:tc>
          <w:tcPr>
            <w:tcW w:type="dxa" w:w="3639"/>
            <w:tcMar>
              <w:top w:w="65" w:type="dxa"/>
              <w:start w:w="100" w:type="dxa"/>
              <w:bottom w:w="65" w:type="dxa"/>
              <w:end w:w="100" w:type="dxa"/>
            </w:tcMar>
            <w:vAlign w:val="center"/>
          </w:tcPr>
          <w:p>
            <w:pPr>
              <w:spacing w:before="0" w:after="0" w:line="240" w:lineRule="auto"/>
              <w:jc w:val="right"/>
            </w:pPr>
            <w:r>
              <w:rPr>
                <w:rFonts w:ascii="Arial Unicode MS" w:hAnsi="Arial Unicode MS" w:eastAsia="Arial Unicode MS"/>
                <w:b/>
                <w:color w:val="18212B"/>
                <w:sz w:val="16"/>
              </w:rPr>
              <w:t>0.179131 ± 0.005902</w:t>
            </w:r>
          </w:p>
        </w:tc>
      </w:tr>
      <w:tr>
        <w:trPr>
          <w:cantSplit/>
        </w:trPr>
        <w:tc>
          <w:tcPr>
            <w:tcW w:type="dxa" w:w="2700"/>
            <w:tcMar>
              <w:top w:w="65" w:type="dxa"/>
              <w:start w:w="100" w:type="dxa"/>
              <w:bottom w:w="65" w:type="dxa"/>
              <w:end w:w="100" w:type="dxa"/>
            </w:tcMar>
            <w:vAlign w:val="center"/>
            <w:shd w:fill="FAFBFC"/>
          </w:tcPr>
          <w:p>
            <w:pPr>
              <w:spacing w:before="0" w:after="0" w:line="240" w:lineRule="auto"/>
              <w:jc w:val="left"/>
            </w:pPr>
            <w:r>
              <w:rPr>
                <w:rFonts w:ascii="Arial Unicode MS" w:hAnsi="Arial Unicode MS" w:eastAsia="Arial Unicode MS"/>
                <w:b w:val="0"/>
                <w:color w:val="18212B"/>
                <w:sz w:val="16"/>
              </w:rPr>
              <w:t>ROC-AUC ↑</w:t>
            </w:r>
          </w:p>
        </w:tc>
        <w:tc>
          <w:tcPr>
            <w:tcW w:type="dxa" w:w="3639"/>
            <w:tcMar>
              <w:top w:w="65" w:type="dxa"/>
              <w:start w:w="100" w:type="dxa"/>
              <w:bottom w:w="65" w:type="dxa"/>
              <w:end w:w="100" w:type="dxa"/>
            </w:tcMar>
            <w:vAlign w:val="center"/>
            <w:shd w:fill="FAFBFC"/>
          </w:tcPr>
          <w:p>
            <w:pPr>
              <w:spacing w:before="0" w:after="0" w:line="240" w:lineRule="auto"/>
              <w:jc w:val="right"/>
            </w:pPr>
            <w:r>
              <w:rPr>
                <w:rFonts w:ascii="Arial Unicode MS" w:hAnsi="Arial Unicode MS" w:eastAsia="Arial Unicode MS"/>
                <w:b w:val="0"/>
                <w:color w:val="18212B"/>
                <w:sz w:val="16"/>
              </w:rPr>
              <w:t>0.766326</w:t>
            </w:r>
          </w:p>
        </w:tc>
        <w:tc>
          <w:tcPr>
            <w:tcW w:type="dxa" w:w="3639"/>
            <w:tcMar>
              <w:top w:w="65" w:type="dxa"/>
              <w:start w:w="100" w:type="dxa"/>
              <w:bottom w:w="65" w:type="dxa"/>
              <w:end w:w="100" w:type="dxa"/>
            </w:tcMar>
            <w:vAlign w:val="center"/>
            <w:shd w:fill="FAFBFC"/>
          </w:tcPr>
          <w:p>
            <w:pPr>
              <w:spacing w:before="0" w:after="0" w:line="240" w:lineRule="auto"/>
              <w:jc w:val="right"/>
            </w:pPr>
            <w:r>
              <w:rPr>
                <w:rFonts w:ascii="Arial Unicode MS" w:hAnsi="Arial Unicode MS" w:eastAsia="Arial Unicode MS"/>
                <w:b w:val="0"/>
                <w:color w:val="18212B"/>
                <w:sz w:val="16"/>
              </w:rPr>
              <w:t>0.817164</w:t>
            </w:r>
          </w:p>
        </w:tc>
      </w:tr>
      <w:tr>
        <w:trPr>
          <w:cantSplit/>
        </w:trPr>
        <w:tc>
          <w:tcPr>
            <w:tcW w:type="dxa" w:w="2700"/>
            <w:tcMar>
              <w:top w:w="65" w:type="dxa"/>
              <w:start w:w="100" w:type="dxa"/>
              <w:bottom w:w="65" w:type="dxa"/>
              <w:end w:w="100" w:type="dxa"/>
            </w:tcMar>
            <w:vAlign w:val="center"/>
          </w:tcPr>
          <w:p>
            <w:pPr>
              <w:spacing w:before="0" w:after="0" w:line="240" w:lineRule="auto"/>
              <w:jc w:val="left"/>
            </w:pPr>
            <w:r>
              <w:rPr>
                <w:rFonts w:ascii="Arial Unicode MS" w:hAnsi="Arial Unicode MS" w:eastAsia="Arial Unicode MS"/>
                <w:b w:val="0"/>
                <w:color w:val="18212B"/>
                <w:sz w:val="16"/>
              </w:rPr>
              <w:t>Accuracy ↑</w:t>
            </w:r>
          </w:p>
        </w:tc>
        <w:tc>
          <w:tcPr>
            <w:tcW w:type="dxa" w:w="3639"/>
            <w:tcMar>
              <w:top w:w="65" w:type="dxa"/>
              <w:start w:w="100" w:type="dxa"/>
              <w:bottom w:w="65" w:type="dxa"/>
              <w:end w:w="100" w:type="dxa"/>
            </w:tcMar>
            <w:vAlign w:val="center"/>
          </w:tcPr>
          <w:p>
            <w:pPr>
              <w:spacing w:before="0" w:after="0" w:line="240" w:lineRule="auto"/>
              <w:jc w:val="right"/>
            </w:pPr>
            <w:r>
              <w:rPr>
                <w:rFonts w:ascii="Arial Unicode MS" w:hAnsi="Arial Unicode MS" w:eastAsia="Arial Unicode MS"/>
                <w:b w:val="0"/>
                <w:color w:val="18212B"/>
                <w:sz w:val="16"/>
              </w:rPr>
              <w:t>0.720873</w:t>
            </w:r>
          </w:p>
        </w:tc>
        <w:tc>
          <w:tcPr>
            <w:tcW w:type="dxa" w:w="3639"/>
            <w:tcMar>
              <w:top w:w="65" w:type="dxa"/>
              <w:start w:w="100" w:type="dxa"/>
              <w:bottom w:w="65" w:type="dxa"/>
              <w:end w:w="100" w:type="dxa"/>
            </w:tcMar>
            <w:vAlign w:val="center"/>
          </w:tcPr>
          <w:p>
            <w:pPr>
              <w:spacing w:before="0" w:after="0" w:line="240" w:lineRule="auto"/>
              <w:jc w:val="right"/>
            </w:pPr>
            <w:r>
              <w:rPr>
                <w:rFonts w:ascii="Arial Unicode MS" w:hAnsi="Arial Unicode MS" w:eastAsia="Arial Unicode MS"/>
                <w:b w:val="0"/>
                <w:color w:val="18212B"/>
                <w:sz w:val="16"/>
              </w:rPr>
              <w:t>0.734074</w:t>
            </w:r>
          </w:p>
        </w:tc>
      </w:tr>
      <w:tr>
        <w:trPr>
          <w:cantSplit/>
        </w:trPr>
        <w:tc>
          <w:tcPr>
            <w:tcW w:type="dxa" w:w="2700"/>
            <w:tcMar>
              <w:top w:w="65" w:type="dxa"/>
              <w:start w:w="100" w:type="dxa"/>
              <w:bottom w:w="65" w:type="dxa"/>
              <w:end w:w="100" w:type="dxa"/>
            </w:tcMar>
            <w:vAlign w:val="center"/>
            <w:shd w:fill="FAFBFC"/>
          </w:tcPr>
          <w:p>
            <w:pPr>
              <w:spacing w:before="0" w:after="0" w:line="240" w:lineRule="auto"/>
              <w:jc w:val="left"/>
            </w:pPr>
            <w:r>
              <w:rPr>
                <w:rFonts w:ascii="Arial Unicode MS" w:hAnsi="Arial Unicode MS" w:eastAsia="Arial Unicode MS"/>
                <w:b w:val="0"/>
                <w:color w:val="18212B"/>
                <w:sz w:val="16"/>
              </w:rPr>
              <w:t>Precision ↑</w:t>
            </w:r>
          </w:p>
        </w:tc>
        <w:tc>
          <w:tcPr>
            <w:tcW w:type="dxa" w:w="3639"/>
            <w:tcMar>
              <w:top w:w="65" w:type="dxa"/>
              <w:start w:w="100" w:type="dxa"/>
              <w:bottom w:w="65" w:type="dxa"/>
              <w:end w:w="100" w:type="dxa"/>
            </w:tcMar>
            <w:vAlign w:val="center"/>
            <w:shd w:fill="FAFBFC"/>
          </w:tcPr>
          <w:p>
            <w:pPr>
              <w:spacing w:before="0" w:after="0" w:line="240" w:lineRule="auto"/>
              <w:jc w:val="right"/>
            </w:pPr>
            <w:r>
              <w:rPr>
                <w:rFonts w:ascii="Arial Unicode MS" w:hAnsi="Arial Unicode MS" w:eastAsia="Arial Unicode MS"/>
                <w:b w:val="0"/>
                <w:color w:val="18212B"/>
                <w:sz w:val="16"/>
              </w:rPr>
              <w:t>0.695164</w:t>
            </w:r>
          </w:p>
        </w:tc>
        <w:tc>
          <w:tcPr>
            <w:tcW w:type="dxa" w:w="3639"/>
            <w:tcMar>
              <w:top w:w="65" w:type="dxa"/>
              <w:start w:w="100" w:type="dxa"/>
              <w:bottom w:w="65" w:type="dxa"/>
              <w:end w:w="100" w:type="dxa"/>
            </w:tcMar>
            <w:vAlign w:val="center"/>
            <w:shd w:fill="FAFBFC"/>
          </w:tcPr>
          <w:p>
            <w:pPr>
              <w:spacing w:before="0" w:after="0" w:line="240" w:lineRule="auto"/>
              <w:jc w:val="right"/>
            </w:pPr>
            <w:r>
              <w:rPr>
                <w:rFonts w:ascii="Arial Unicode MS" w:hAnsi="Arial Unicode MS" w:eastAsia="Arial Unicode MS"/>
                <w:b w:val="0"/>
                <w:color w:val="18212B"/>
                <w:sz w:val="16"/>
              </w:rPr>
              <w:t>0.720534</w:t>
            </w:r>
          </w:p>
        </w:tc>
      </w:tr>
      <w:tr>
        <w:trPr>
          <w:cantSplit/>
        </w:trPr>
        <w:tc>
          <w:tcPr>
            <w:tcW w:type="dxa" w:w="2700"/>
            <w:tcMar>
              <w:top w:w="65" w:type="dxa"/>
              <w:start w:w="100" w:type="dxa"/>
              <w:bottom w:w="65" w:type="dxa"/>
              <w:end w:w="100" w:type="dxa"/>
            </w:tcMar>
            <w:vAlign w:val="center"/>
          </w:tcPr>
          <w:p>
            <w:pPr>
              <w:spacing w:before="0" w:after="0" w:line="240" w:lineRule="auto"/>
              <w:jc w:val="left"/>
            </w:pPr>
            <w:r>
              <w:rPr>
                <w:rFonts w:ascii="Arial Unicode MS" w:hAnsi="Arial Unicode MS" w:eastAsia="Arial Unicode MS"/>
                <w:b w:val="0"/>
                <w:color w:val="18212B"/>
                <w:sz w:val="16"/>
              </w:rPr>
              <w:t>Recall ↑</w:t>
            </w:r>
          </w:p>
        </w:tc>
        <w:tc>
          <w:tcPr>
            <w:tcW w:type="dxa" w:w="3639"/>
            <w:tcMar>
              <w:top w:w="65" w:type="dxa"/>
              <w:start w:w="100" w:type="dxa"/>
              <w:bottom w:w="65" w:type="dxa"/>
              <w:end w:w="100" w:type="dxa"/>
            </w:tcMar>
            <w:vAlign w:val="center"/>
          </w:tcPr>
          <w:p>
            <w:pPr>
              <w:spacing w:before="0" w:after="0" w:line="240" w:lineRule="auto"/>
              <w:jc w:val="right"/>
            </w:pPr>
            <w:r>
              <w:rPr>
                <w:rFonts w:ascii="Arial Unicode MS" w:hAnsi="Arial Unicode MS" w:eastAsia="Arial Unicode MS"/>
                <w:b w:val="0"/>
                <w:color w:val="18212B"/>
                <w:sz w:val="16"/>
              </w:rPr>
              <w:t>0.802935</w:t>
            </w:r>
          </w:p>
        </w:tc>
        <w:tc>
          <w:tcPr>
            <w:tcW w:type="dxa" w:w="3639"/>
            <w:tcMar>
              <w:top w:w="65" w:type="dxa"/>
              <w:start w:w="100" w:type="dxa"/>
              <w:bottom w:w="65" w:type="dxa"/>
              <w:end w:w="100" w:type="dxa"/>
            </w:tcMar>
            <w:vAlign w:val="center"/>
          </w:tcPr>
          <w:p>
            <w:pPr>
              <w:spacing w:before="0" w:after="0" w:line="240" w:lineRule="auto"/>
              <w:jc w:val="right"/>
            </w:pPr>
            <w:r>
              <w:rPr>
                <w:rFonts w:ascii="Arial Unicode MS" w:hAnsi="Arial Unicode MS" w:eastAsia="Arial Unicode MS"/>
                <w:b w:val="0"/>
                <w:color w:val="18212B"/>
                <w:sz w:val="16"/>
              </w:rPr>
              <w:t>0.772059</w:t>
            </w:r>
          </w:p>
        </w:tc>
      </w:tr>
      <w:tr>
        <w:trPr>
          <w:cantSplit/>
        </w:trPr>
        <w:tc>
          <w:tcPr>
            <w:tcW w:type="dxa" w:w="2700"/>
            <w:tcMar>
              <w:top w:w="65" w:type="dxa"/>
              <w:start w:w="100" w:type="dxa"/>
              <w:bottom w:w="65" w:type="dxa"/>
              <w:end w:w="100" w:type="dxa"/>
            </w:tcMar>
            <w:vAlign w:val="center"/>
            <w:shd w:fill="FAFBFC"/>
          </w:tcPr>
          <w:p>
            <w:pPr>
              <w:spacing w:before="0" w:after="0" w:line="240" w:lineRule="auto"/>
              <w:jc w:val="left"/>
            </w:pPr>
            <w:r>
              <w:rPr>
                <w:rFonts w:ascii="Arial Unicode MS" w:hAnsi="Arial Unicode MS" w:eastAsia="Arial Unicode MS"/>
                <w:b w:val="0"/>
                <w:color w:val="18212B"/>
                <w:sz w:val="16"/>
              </w:rPr>
              <w:t>F1 ↑</w:t>
            </w:r>
          </w:p>
        </w:tc>
        <w:tc>
          <w:tcPr>
            <w:tcW w:type="dxa" w:w="3639"/>
            <w:tcMar>
              <w:top w:w="65" w:type="dxa"/>
              <w:start w:w="100" w:type="dxa"/>
              <w:bottom w:w="65" w:type="dxa"/>
              <w:end w:w="100" w:type="dxa"/>
            </w:tcMar>
            <w:vAlign w:val="center"/>
            <w:shd w:fill="FAFBFC"/>
          </w:tcPr>
          <w:p>
            <w:pPr>
              <w:spacing w:before="0" w:after="0" w:line="240" w:lineRule="auto"/>
              <w:jc w:val="right"/>
            </w:pPr>
            <w:r>
              <w:rPr>
                <w:rFonts w:ascii="Arial Unicode MS" w:hAnsi="Arial Unicode MS" w:eastAsia="Arial Unicode MS"/>
                <w:b w:val="0"/>
                <w:color w:val="18212B"/>
                <w:sz w:val="16"/>
              </w:rPr>
              <w:t>0.745072</w:t>
            </w:r>
          </w:p>
        </w:tc>
        <w:tc>
          <w:tcPr>
            <w:tcW w:type="dxa" w:w="3639"/>
            <w:tcMar>
              <w:top w:w="65" w:type="dxa"/>
              <w:start w:w="100" w:type="dxa"/>
              <w:bottom w:w="65" w:type="dxa"/>
              <w:end w:w="100" w:type="dxa"/>
            </w:tcMar>
            <w:vAlign w:val="center"/>
            <w:shd w:fill="FAFBFC"/>
          </w:tcPr>
          <w:p>
            <w:pPr>
              <w:spacing w:before="0" w:after="0" w:line="240" w:lineRule="auto"/>
              <w:jc w:val="right"/>
            </w:pPr>
            <w:r>
              <w:rPr>
                <w:rFonts w:ascii="Arial Unicode MS" w:hAnsi="Arial Unicode MS" w:eastAsia="Arial Unicode MS"/>
                <w:b w:val="0"/>
                <w:color w:val="18212B"/>
                <w:sz w:val="16"/>
              </w:rPr>
              <w:t>0.745083</w:t>
            </w:r>
          </w:p>
        </w:tc>
      </w:tr>
      <w:tr>
        <w:trPr>
          <w:cantSplit/>
        </w:trPr>
        <w:tc>
          <w:tcPr>
            <w:tcW w:type="dxa" w:w="2700"/>
            <w:tcMar>
              <w:top w:w="65" w:type="dxa"/>
              <w:start w:w="100" w:type="dxa"/>
              <w:bottom w:w="65" w:type="dxa"/>
              <w:end w:w="100" w:type="dxa"/>
            </w:tcMar>
            <w:vAlign w:val="center"/>
          </w:tcPr>
          <w:p>
            <w:pPr>
              <w:spacing w:before="0" w:after="0" w:line="240" w:lineRule="auto"/>
              <w:jc w:val="left"/>
            </w:pPr>
            <w:r>
              <w:rPr>
                <w:rFonts w:ascii="Arial Unicode MS" w:hAnsi="Arial Unicode MS" w:eastAsia="Arial Unicode MS"/>
                <w:b w:val="0"/>
                <w:color w:val="18212B"/>
                <w:sz w:val="16"/>
              </w:rPr>
              <w:t>FP / FN</w:t>
            </w:r>
          </w:p>
        </w:tc>
        <w:tc>
          <w:tcPr>
            <w:tcW w:type="dxa" w:w="3639"/>
            <w:tcMar>
              <w:top w:w="65" w:type="dxa"/>
              <w:start w:w="100" w:type="dxa"/>
              <w:bottom w:w="65" w:type="dxa"/>
              <w:end w:w="100" w:type="dxa"/>
            </w:tcMar>
            <w:vAlign w:val="center"/>
          </w:tcPr>
          <w:p>
            <w:pPr>
              <w:spacing w:before="0" w:after="0" w:line="240" w:lineRule="auto"/>
              <w:jc w:val="right"/>
            </w:pPr>
            <w:r>
              <w:rPr>
                <w:rFonts w:ascii="Arial Unicode MS" w:hAnsi="Arial Unicode MS" w:eastAsia="Arial Unicode MS"/>
                <w:b w:val="0"/>
                <w:color w:val="18212B"/>
                <w:sz w:val="16"/>
              </w:rPr>
              <w:t>56.03 / 31.33</w:t>
            </w:r>
          </w:p>
        </w:tc>
        <w:tc>
          <w:tcPr>
            <w:tcW w:type="dxa" w:w="3639"/>
            <w:tcMar>
              <w:top w:w="65" w:type="dxa"/>
              <w:start w:w="100" w:type="dxa"/>
              <w:bottom w:w="65" w:type="dxa"/>
              <w:end w:w="100" w:type="dxa"/>
            </w:tcMar>
            <w:vAlign w:val="center"/>
          </w:tcPr>
          <w:p>
            <w:pPr>
              <w:spacing w:before="0" w:after="0" w:line="240" w:lineRule="auto"/>
              <w:jc w:val="right"/>
            </w:pPr>
            <w:r>
              <w:rPr>
                <w:rFonts w:ascii="Arial Unicode MS" w:hAnsi="Arial Unicode MS" w:eastAsia="Arial Unicode MS"/>
                <w:b w:val="0"/>
                <w:color w:val="18212B"/>
                <w:sz w:val="16"/>
              </w:rPr>
              <w:t>20.4 / 15.5</w:t>
            </w:r>
          </w:p>
        </w:tc>
      </w:tr>
    </w:tbl>
    <w:p>
      <w:pPr>
        <w:spacing w:after="20"/>
      </w:pPr>
    </w:p>
    <w:p>
      <w:pPr>
        <w:spacing w:after="80" w:line="269" w:lineRule="auto"/>
      </w:pPr>
      <w:r>
        <w:rPr>
          <w:rFonts w:ascii="Arial Unicode MS" w:hAnsi="Arial Unicode MS" w:eastAsia="Arial Unicode MS"/>
          <w:b w:val="0"/>
          <w:color w:val="18212B"/>
          <w:sz w:val="19"/>
        </w:rPr>
        <w:t>Test 수치는 원본 135건에 서로 다른 결측 패턴을 적용한 10세트의 평균이다. 열 개 세트는 같은 딜을 공유하므로 독립 표본 1,350건으로 해석하지 않는다.</w:t>
      </w:r>
    </w:p>
    <w:p>
      <w:pPr>
        <w:spacing w:after="80" w:line="269" w:lineRule="auto"/>
      </w:pPr>
      <w:r>
        <w:rPr>
          <w:rFonts w:ascii="Arial Unicode MS" w:hAnsi="Arial Unicode MS" w:eastAsia="Arial Unicode MS"/>
          <w:b w:val="0"/>
          <w:color w:val="18212B"/>
          <w:sz w:val="19"/>
        </w:rPr>
        <w:t xml:space="preserve">평가와 모델 선택을 마친 뒤 동일 구성을 전체 448건의 10개 마스킹 세트, 총 4,480행으로 다시 학습해 </w:t>
      </w:r>
      <w:r>
        <w:rPr>
          <w:rFonts w:ascii="Arial Unicode MS" w:hAnsi="Arial Unicode MS" w:eastAsia="Arial Unicode MS"/>
          <w:color w:val="1F4D78"/>
          <w:sz w:val="18"/>
          <w:shd w:fill="F2F4F7"/>
        </w:rPr>
        <w:t>deal-stacking-lr-v1</w:t>
      </w:r>
      <w:r>
        <w:rPr>
          <w:rFonts w:ascii="Arial Unicode MS" w:hAnsi="Arial Unicode MS" w:eastAsia="Arial Unicode MS"/>
          <w:b w:val="0"/>
          <w:color w:val="18212B"/>
          <w:sz w:val="19"/>
        </w:rPr>
        <w:t xml:space="preserve">로 저장했다. 새 CPU 프로세스에서 재로드한 기준 16건의 최대 확률 차이는 </w:t>
      </w:r>
      <w:r>
        <w:rPr>
          <w:rFonts w:ascii="Arial Unicode MS" w:hAnsi="Arial Unicode MS" w:eastAsia="Arial Unicode MS"/>
          <w:color w:val="1F4D78"/>
          <w:sz w:val="18"/>
          <w:shd w:fill="F2F4F7"/>
        </w:rPr>
        <w:t>1.0451534443456367e-06</w:t>
      </w:r>
      <w:r>
        <w:rPr>
          <w:rFonts w:ascii="Arial Unicode MS" w:hAnsi="Arial Unicode MS" w:eastAsia="Arial Unicode MS"/>
          <w:b w:val="0"/>
          <w:color w:val="18212B"/>
          <w:sz w:val="19"/>
        </w:rPr>
        <w:t xml:space="preserve">이며 허용오차 </w:t>
      </w:r>
      <w:r>
        <w:rPr>
          <w:rFonts w:ascii="Arial Unicode MS" w:hAnsi="Arial Unicode MS" w:eastAsia="Arial Unicode MS"/>
          <w:color w:val="1F4D78"/>
          <w:sz w:val="18"/>
          <w:shd w:fill="F2F4F7"/>
        </w:rPr>
        <w:t>rtol=1e-5</w:t>
      </w:r>
      <w:r>
        <w:rPr>
          <w:rFonts w:ascii="Arial Unicode MS" w:hAnsi="Arial Unicode MS" w:eastAsia="Arial Unicode MS"/>
          <w:b w:val="0"/>
          <w:color w:val="18212B"/>
          <w:sz w:val="19"/>
        </w:rPr>
        <w:t xml:space="preserve">, </w:t>
      </w:r>
      <w:r>
        <w:rPr>
          <w:rFonts w:ascii="Arial Unicode MS" w:hAnsi="Arial Unicode MS" w:eastAsia="Arial Unicode MS"/>
          <w:color w:val="1F4D78"/>
          <w:sz w:val="18"/>
          <w:shd w:fill="F2F4F7"/>
        </w:rPr>
        <w:t>atol=1e-6</w:t>
      </w:r>
      <w:r>
        <w:rPr>
          <w:rFonts w:ascii="Arial Unicode MS" w:hAnsi="Arial Unicode MS" w:eastAsia="Arial Unicode MS"/>
          <w:b w:val="0"/>
          <w:color w:val="18212B"/>
          <w:sz w:val="19"/>
        </w:rPr>
        <w:t>을 통과했다.</w:t>
      </w:r>
    </w:p>
    <w:p>
      <w:pPr>
        <w:pStyle w:val="Heading1"/>
      </w:pPr>
      <w:r>
        <w:rPr>
          <w:rFonts w:ascii="Arial Unicode MS" w:hAnsi="Arial Unicode MS" w:eastAsia="Arial Unicode MS"/>
          <w:b/>
          <w:color w:val="2E74B5"/>
          <w:sz w:val="30"/>
        </w:rPr>
        <w:t>2. 데이터와 전처리</w:t>
      </w:r>
    </w:p>
    <w:p>
      <w:pPr>
        <w:pStyle w:val="Heading2"/>
        <w:keepNext/>
        <w:widowControl/>
      </w:pPr>
      <w:r>
        <w:rPr>
          <w:rFonts w:ascii="Arial Unicode MS" w:hAnsi="Arial Unicode MS" w:eastAsia="Arial Unicode MS"/>
        </w:rPr>
        <w:t>2.1 데이터셋 설명</w:t>
      </w:r>
    </w:p>
    <w:p>
      <w:pPr>
        <w:widowControl/>
      </w:pPr>
      <w:r>
        <w:rPr>
          <w:rFonts w:ascii="Arial Unicode MS" w:hAnsi="Arial Unicode MS" w:eastAsia="Arial Unicode MS"/>
        </w:rPr>
        <w:t>Salvirt B2B Sales Dataset은 실제 B2B 영업기회를 익명화한 공개 데이터다. 한 행은 하나의 영업기회를 나타내며, 상품·담당자·고객 상황·구매 절차·요구사항 등 22개 범주형 입력과 최종 결과 Status로 구성된다. 이 구조가 SalesLuv의 목표인 미팅 정보 기반 딜 승패 예측과 직접 맞기 때문에 학습 원천으로 선택했다.</w:t>
      </w:r>
    </w:p>
    <w:tbl>
      <w:tblPr>
        <w:tblW w:type="auto" w:w="0"/>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4989"/>
        <w:gridCol w:w="4989"/>
      </w:tblGrid>
      <w:tr>
        <w:trPr>
          <w:cantSplit/>
          <w:tblHeader w:val="true"/>
        </w:trPr>
        <w:tc>
          <w:tcPr>
            <w:tcW w:type="dxa" w:w="2600"/>
            <w:tcMar>
              <w:top w:w="70" w:type="dxa"/>
              <w:start w:w="100" w:type="dxa"/>
              <w:bottom w:w="70" w:type="dxa"/>
              <w:end w:w="100" w:type="dxa"/>
            </w:tcMar>
            <w:vAlign w:val="center"/>
            <w:shd w:fill="E8EEF5"/>
          </w:tcPr>
          <w:p>
            <w:pPr>
              <w:spacing w:before="0" w:after="0" w:line="240" w:lineRule="auto"/>
            </w:pPr>
            <w:r>
              <w:rPr>
                <w:rFonts w:ascii="Arial Unicode MS" w:hAnsi="Arial Unicode MS" w:eastAsia="Arial Unicode MS"/>
                <w:b/>
                <w:sz w:val="16"/>
              </w:rPr>
              <w:t>항목</w:t>
            </w:r>
          </w:p>
        </w:tc>
        <w:tc>
          <w:tcPr>
            <w:tcW w:type="dxa" w:w="7378"/>
            <w:tcMar>
              <w:top w:w="70" w:type="dxa"/>
              <w:start w:w="100" w:type="dxa"/>
              <w:bottom w:w="70" w:type="dxa"/>
              <w:end w:w="100" w:type="dxa"/>
            </w:tcMar>
            <w:vAlign w:val="center"/>
            <w:shd w:fill="E8EEF5"/>
          </w:tcPr>
          <w:p>
            <w:pPr>
              <w:spacing w:before="0" w:after="0" w:line="240" w:lineRule="auto"/>
            </w:pPr>
            <w:r>
              <w:rPr>
                <w:rFonts w:ascii="Arial Unicode MS" w:hAnsi="Arial Unicode MS" w:eastAsia="Arial Unicode MS"/>
                <w:b/>
                <w:sz w:val="16"/>
              </w:rPr>
              <w:t>내용</w:t>
            </w:r>
          </w:p>
        </w:tc>
      </w:tr>
      <w:tr>
        <w:trPr>
          <w:cantSplit/>
        </w:trPr>
        <w:tc>
          <w:tcPr>
            <w:tcW w:type="dxa" w:w="26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공식 출처</w:t>
            </w:r>
          </w:p>
        </w:tc>
        <w:tc>
          <w:tcPr>
            <w:tcW w:type="dxa" w:w="737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Salvirt B2B Sales Dataset</w:t>
            </w:r>
          </w:p>
        </w:tc>
      </w:tr>
      <w:tr>
        <w:trPr>
          <w:cantSplit/>
        </w:trPr>
        <w:tc>
          <w:tcPr>
            <w:tcW w:type="dxa" w:w="26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연관 연구</w:t>
            </w:r>
          </w:p>
        </w:tc>
        <w:tc>
          <w:tcPr>
            <w:tcW w:type="dxa" w:w="737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Bohanec, Kljajić Borštnar, Robnik-Šikonja (2017), Explaining machine learning models in sales predictions, Expert Systems with Applications 71, 416-428</w:t>
            </w:r>
          </w:p>
        </w:tc>
      </w:tr>
      <w:tr>
        <w:trPr>
          <w:cantSplit/>
        </w:trPr>
        <w:tc>
          <w:tcPr>
            <w:tcW w:type="dxa" w:w="26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원본 크기</w:t>
            </w:r>
          </w:p>
        </w:tc>
        <w:tc>
          <w:tcPr>
            <w:tcW w:type="dxa" w:w="737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448행 × 23컬럼: 입력 22개 + 정답 Status</w:t>
            </w:r>
          </w:p>
        </w:tc>
      </w:tr>
      <w:tr>
        <w:trPr>
          <w:cantSplit/>
        </w:trPr>
        <w:tc>
          <w:tcPr>
            <w:tcW w:type="dxa" w:w="26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입력 형태</w:t>
            </w:r>
          </w:p>
        </w:tc>
        <w:tc>
          <w:tcPr>
            <w:tcW w:type="dxa" w:w="737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모든 입력이 범주형 문자열</w:t>
            </w:r>
          </w:p>
        </w:tc>
      </w:tr>
      <w:tr>
        <w:trPr>
          <w:cantSplit/>
        </w:trPr>
        <w:tc>
          <w:tcPr>
            <w:tcW w:type="dxa" w:w="26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정답 분포</w:t>
            </w:r>
          </w:p>
        </w:tc>
        <w:tc>
          <w:tcPr>
            <w:tcW w:type="dxa" w:w="737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Lost 221건(49.33%), Won 227건(50.67%)</w:t>
            </w:r>
          </w:p>
        </w:tc>
      </w:tr>
      <w:tr>
        <w:trPr>
          <w:cantSplit/>
        </w:trPr>
        <w:tc>
          <w:tcPr>
            <w:tcW w:type="dxa" w:w="26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원본 SHA-256</w:t>
            </w:r>
          </w:p>
        </w:tc>
        <w:tc>
          <w:tcPr>
            <w:tcW w:type="dxa" w:w="737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8dee635b95bdcb00896b654efe62fc20177090081c81ef5224e8641ba31c3061</w:t>
            </w:r>
          </w:p>
        </w:tc>
      </w:tr>
    </w:tbl>
    <w:p>
      <w:pPr>
        <w:widowControl/>
      </w:pPr>
      <w:r>
        <w:rPr>
          <w:rFonts w:ascii="Arial Unicode MS" w:hAnsi="Arial Unicode MS" w:eastAsia="Arial Unicode MS"/>
        </w:rPr>
        <w:t>클래스 비율은 거의 균형이므로 단순히 다수 클래스를 맞혀 정확도를 높이는 데이터는 아니다. 공식 페이지에는 데이터 라이선스가 명시되어 있지 않아 상용 학습·재배포 전에 원저작자 허가 여부를 별도로 확인해야 한다.</w:t>
      </w:r>
    </w:p>
    <w:p>
      <w:pPr>
        <w:widowControl/>
      </w:pPr>
      <w:r>
        <w:rPr>
          <w:rFonts w:ascii="Arial Unicode MS" w:hAnsi="Arial Unicode MS" w:eastAsia="Arial Unicode MS"/>
        </w:rPr>
        <w:t>중복은 삭제하지 않았다. 23개 전체 컬럼 기준 완전중복 후속 행은 83건이고, 최종 13개 입력과 Status 기준 중복 후속 행은 226건이다. 반복 행도 서로 다른 실제 영업 사례로 간주해 448건을 모두 보존했다. 다만 같은 13개 입력이 Train과 Test에 동시에 들어가 성능이 부풀지 않도록 198개 입력 조합을 그룹으로 묶어 분할했다. 같은 입력인데 Won과 Lost가 함께 존재하는 조합 24개도 유지해 현재 입력만으로 구분되지 않는 현실적 불확실성을 반영했다.</w:t>
      </w:r>
    </w:p>
    <w:p>
      <w:pPr>
        <w:pStyle w:val="Heading2"/>
        <w:keepNext/>
        <w:widowControl/>
      </w:pPr>
      <w:r>
        <w:rPr>
          <w:rFonts w:ascii="Arial Unicode MS" w:hAnsi="Arial Unicode MS" w:eastAsia="Arial Unicode MS"/>
        </w:rPr>
        <w:t>2.2 원본 컬럼 설명과 선정</w:t>
      </w:r>
    </w:p>
    <w:p>
      <w:pPr>
        <w:widowControl/>
      </w:pPr>
      <w:r>
        <w:rPr>
          <w:rFonts w:ascii="Arial Unicode MS" w:hAnsi="Arial Unicode MS" w:eastAsia="Arial Unicode MS"/>
        </w:rPr>
        <w:t>원본 22개 입력 중 미팅 보고서에서 비교적 일관되게 추출할 수 있고 사용자·조직이 달라도 의미가 유지되는 13개를 모델 입력으로 선택했다.</w:t>
      </w:r>
    </w:p>
    <w:tbl>
      <w:tblPr>
        <w:tblW w:type="auto" w:w="0"/>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494"/>
        <w:gridCol w:w="2494"/>
        <w:gridCol w:w="2494"/>
        <w:gridCol w:w="2494"/>
      </w:tblGrid>
      <w:tr>
        <w:trPr>
          <w:cantSplit/>
          <w:tblHeader w:val="true"/>
        </w:trPr>
        <w:tc>
          <w:tcPr>
            <w:tcW w:type="dxa" w:w="1500"/>
            <w:tcMar>
              <w:top w:w="70" w:type="dxa"/>
              <w:start w:w="100" w:type="dxa"/>
              <w:bottom w:w="70" w:type="dxa"/>
              <w:end w:w="100" w:type="dxa"/>
            </w:tcMar>
            <w:vAlign w:val="center"/>
            <w:shd w:fill="E8EEF5"/>
          </w:tcPr>
          <w:p>
            <w:pPr>
              <w:spacing w:before="0" w:after="0" w:line="240" w:lineRule="auto"/>
            </w:pPr>
            <w:r>
              <w:rPr>
                <w:rFonts w:ascii="Arial Unicode MS" w:hAnsi="Arial Unicode MS" w:eastAsia="Arial Unicode MS"/>
                <w:b/>
                <w:sz w:val="15"/>
              </w:rPr>
              <w:t>원본 순서·컬럼</w:t>
            </w:r>
          </w:p>
        </w:tc>
        <w:tc>
          <w:tcPr>
            <w:tcW w:type="dxa" w:w="1950"/>
            <w:tcMar>
              <w:top w:w="70" w:type="dxa"/>
              <w:start w:w="100" w:type="dxa"/>
              <w:bottom w:w="70" w:type="dxa"/>
              <w:end w:w="100" w:type="dxa"/>
            </w:tcMar>
            <w:vAlign w:val="center"/>
            <w:shd w:fill="E8EEF5"/>
          </w:tcPr>
          <w:p>
            <w:pPr>
              <w:spacing w:before="0" w:after="0" w:line="240" w:lineRule="auto"/>
            </w:pPr>
            <w:r>
              <w:rPr>
                <w:rFonts w:ascii="Arial Unicode MS" w:hAnsi="Arial Unicode MS" w:eastAsia="Arial Unicode MS"/>
                <w:b/>
                <w:sz w:val="15"/>
              </w:rPr>
              <w:t>의미</w:t>
            </w:r>
          </w:p>
        </w:tc>
        <w:tc>
          <w:tcPr>
            <w:tcW w:type="dxa" w:w="2700"/>
            <w:tcMar>
              <w:top w:w="70" w:type="dxa"/>
              <w:start w:w="100" w:type="dxa"/>
              <w:bottom w:w="70" w:type="dxa"/>
              <w:end w:w="100" w:type="dxa"/>
            </w:tcMar>
            <w:vAlign w:val="center"/>
            <w:shd w:fill="E8EEF5"/>
          </w:tcPr>
          <w:p>
            <w:pPr>
              <w:spacing w:before="0" w:after="0" w:line="240" w:lineRule="auto"/>
            </w:pPr>
            <w:r>
              <w:rPr>
                <w:rFonts w:ascii="Arial Unicode MS" w:hAnsi="Arial Unicode MS" w:eastAsia="Arial Unicode MS"/>
                <w:b/>
                <w:sz w:val="15"/>
              </w:rPr>
              <w:t>원본 저장값</w:t>
            </w:r>
          </w:p>
        </w:tc>
        <w:tc>
          <w:tcPr>
            <w:tcW w:type="dxa" w:w="3828"/>
            <w:tcMar>
              <w:top w:w="70" w:type="dxa"/>
              <w:start w:w="100" w:type="dxa"/>
              <w:bottom w:w="70" w:type="dxa"/>
              <w:end w:w="100" w:type="dxa"/>
            </w:tcMar>
            <w:vAlign w:val="center"/>
            <w:shd w:fill="E8EEF5"/>
          </w:tcPr>
          <w:p>
            <w:pPr>
              <w:spacing w:before="0" w:after="0" w:line="240" w:lineRule="auto"/>
            </w:pPr>
            <w:r>
              <w:rPr>
                <w:rFonts w:ascii="Arial Unicode MS" w:hAnsi="Arial Unicode MS" w:eastAsia="Arial Unicode MS"/>
                <w:b/>
                <w:sz w:val="15"/>
              </w:rPr>
              <w:t>선정 이유</w:t>
            </w:r>
          </w:p>
        </w:tc>
      </w:tr>
      <w:tr>
        <w:trPr>
          <w:cantSplit/>
        </w:trPr>
        <w:tc>
          <w:tcPr>
            <w:tcW w:type="dxa" w:w="15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3 Authority</w:t>
            </w:r>
          </w:p>
        </w:tc>
        <w:tc>
          <w:tcPr>
            <w:tcW w:type="dxa" w:w="195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고객 의사결정권자의 권한 수준</w:t>
            </w:r>
          </w:p>
        </w:tc>
        <w:tc>
          <w:tcPr>
            <w:tcW w:type="dxa" w:w="27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High, Mid, Low</w:t>
            </w:r>
          </w:p>
        </w:tc>
        <w:tc>
          <w:tcPr>
            <w:tcW w:type="dxa" w:w="382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의사결정 접근 수준을 나타내는 공통 영업 신호</w:t>
            </w:r>
          </w:p>
        </w:tc>
      </w:tr>
      <w:tr>
        <w:trPr>
          <w:cantSplit/>
        </w:trPr>
        <w:tc>
          <w:tcPr>
            <w:tcW w:type="dxa" w:w="15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5 Competitors</w:t>
            </w:r>
          </w:p>
        </w:tc>
        <w:tc>
          <w:tcPr>
            <w:tcW w:type="dxa" w:w="195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경쟁사 존재·검토 여부</w:t>
            </w:r>
          </w:p>
        </w:tc>
        <w:tc>
          <w:tcPr>
            <w:tcW w:type="dxa" w:w="27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Yes, No, Unknown</w:t>
            </w:r>
          </w:p>
        </w:tc>
        <w:tc>
          <w:tcPr>
            <w:tcW w:type="dxa" w:w="382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경쟁 구도의 존재 여부를 미팅에서 확인 가능</w:t>
            </w:r>
          </w:p>
        </w:tc>
      </w:tr>
      <w:tr>
        <w:trPr>
          <w:cantSplit/>
        </w:trPr>
        <w:tc>
          <w:tcPr>
            <w:tcW w:type="dxa" w:w="15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6 Purch_dept</w:t>
            </w:r>
          </w:p>
        </w:tc>
        <w:tc>
          <w:tcPr>
            <w:tcW w:type="dxa" w:w="195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고객사 구매부서 참여 여부</w:t>
            </w:r>
          </w:p>
        </w:tc>
        <w:tc>
          <w:tcPr>
            <w:tcW w:type="dxa" w:w="27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Yes, No, Unknown</w:t>
            </w:r>
          </w:p>
        </w:tc>
        <w:tc>
          <w:tcPr>
            <w:tcW w:type="dxa" w:w="382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구매 절차의 진입 상태를 나타냄</w:t>
            </w:r>
          </w:p>
        </w:tc>
      </w:tr>
      <w:tr>
        <w:trPr>
          <w:cantSplit/>
        </w:trPr>
        <w:tc>
          <w:tcPr>
            <w:tcW w:type="dxa" w:w="15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8 Budgt_alloc</w:t>
            </w:r>
          </w:p>
        </w:tc>
        <w:tc>
          <w:tcPr>
            <w:tcW w:type="dxa" w:w="195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고객 예산 확보·배정 여부</w:t>
            </w:r>
          </w:p>
        </w:tc>
        <w:tc>
          <w:tcPr>
            <w:tcW w:type="dxa" w:w="27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Yes, No, Unknown</w:t>
            </w:r>
          </w:p>
        </w:tc>
        <w:tc>
          <w:tcPr>
            <w:tcW w:type="dxa" w:w="382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실행 가능한 예산 준비 상태를 나타냄</w:t>
            </w:r>
          </w:p>
        </w:tc>
      </w:tr>
      <w:tr>
        <w:trPr>
          <w:cantSplit/>
        </w:trPr>
        <w:tc>
          <w:tcPr>
            <w:tcW w:type="dxa" w:w="15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9 Forml_tend</w:t>
            </w:r>
          </w:p>
        </w:tc>
        <w:tc>
          <w:tcPr>
            <w:tcW w:type="dxa" w:w="195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공식 입찰 절차 여부</w:t>
            </w:r>
          </w:p>
        </w:tc>
        <w:tc>
          <w:tcPr>
            <w:tcW w:type="dxa" w:w="27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Yes, No</w:t>
            </w:r>
          </w:p>
        </w:tc>
        <w:tc>
          <w:tcPr>
            <w:tcW w:type="dxa" w:w="382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거래 절차의 공식화 여부를 나타냄</w:t>
            </w:r>
          </w:p>
        </w:tc>
      </w:tr>
      <w:tr>
        <w:trPr>
          <w:cantSplit/>
        </w:trPr>
        <w:tc>
          <w:tcPr>
            <w:tcW w:type="dxa" w:w="15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11 RFP</w:t>
            </w:r>
          </w:p>
        </w:tc>
        <w:tc>
          <w:tcPr>
            <w:tcW w:type="dxa" w:w="195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제안요청서 진행 여부</w:t>
            </w:r>
          </w:p>
        </w:tc>
        <w:tc>
          <w:tcPr>
            <w:tcW w:type="dxa" w:w="27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Yes, No</w:t>
            </w:r>
          </w:p>
        </w:tc>
        <w:tc>
          <w:tcPr>
            <w:tcW w:type="dxa" w:w="382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제안 단계의 진행 상태를 나타냄</w:t>
            </w:r>
          </w:p>
        </w:tc>
      </w:tr>
      <w:tr>
        <w:trPr>
          <w:cantSplit/>
        </w:trPr>
        <w:tc>
          <w:tcPr>
            <w:tcW w:type="dxa" w:w="15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13 Posit_statm</w:t>
            </w:r>
          </w:p>
        </w:tc>
        <w:tc>
          <w:tcPr>
            <w:tcW w:type="dxa" w:w="195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고객의 명시적 긍정 구매 표현</w:t>
            </w:r>
          </w:p>
        </w:tc>
        <w:tc>
          <w:tcPr>
            <w:tcW w:type="dxa" w:w="27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Yes, No, Neutral</w:t>
            </w:r>
          </w:p>
        </w:tc>
        <w:tc>
          <w:tcPr>
            <w:tcW w:type="dxa" w:w="382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미팅에서 관측 가능한 구매 의향 신호</w:t>
            </w:r>
          </w:p>
        </w:tc>
      </w:tr>
      <w:tr>
        <w:trPr>
          <w:cantSplit/>
        </w:trPr>
        <w:tc>
          <w:tcPr>
            <w:tcW w:type="dxa" w:w="15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14 Source</w:t>
            </w:r>
          </w:p>
        </w:tc>
        <w:tc>
          <w:tcPr>
            <w:tcW w:type="dxa" w:w="195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영업기회 유입 경로</w:t>
            </w:r>
          </w:p>
        </w:tc>
        <w:tc>
          <w:tcPr>
            <w:tcW w:type="dxa" w:w="27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Direct mail, Event, Joint past, Media, Online form, Other, Referral, Unknown</w:t>
            </w:r>
          </w:p>
        </w:tc>
        <w:tc>
          <w:tcPr>
            <w:tcW w:type="dxa" w:w="382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기회가 형성된 관계·채널 맥락을 나타냄</w:t>
            </w:r>
          </w:p>
        </w:tc>
      </w:tr>
      <w:tr>
        <w:trPr>
          <w:cantSplit/>
        </w:trPr>
        <w:tc>
          <w:tcPr>
            <w:tcW w:type="dxa" w:w="15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15 Client</w:t>
            </w:r>
          </w:p>
        </w:tc>
        <w:tc>
          <w:tcPr>
            <w:tcW w:type="dxa" w:w="195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고객과의 거래 관계</w:t>
            </w:r>
          </w:p>
        </w:tc>
        <w:tc>
          <w:tcPr>
            <w:tcW w:type="dxa" w:w="27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Current, New, Past</w:t>
            </w:r>
          </w:p>
        </w:tc>
        <w:tc>
          <w:tcPr>
            <w:tcW w:type="dxa" w:w="382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신규·기존·과거 고객의 관계 상태를 나타냄</w:t>
            </w:r>
          </w:p>
        </w:tc>
      </w:tr>
      <w:tr>
        <w:trPr>
          <w:cantSplit/>
        </w:trPr>
        <w:tc>
          <w:tcPr>
            <w:tcW w:type="dxa" w:w="15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16 Scope</w:t>
            </w:r>
          </w:p>
        </w:tc>
        <w:tc>
          <w:tcPr>
            <w:tcW w:type="dxa" w:w="195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계약·수행 범위의 명확성</w:t>
            </w:r>
          </w:p>
        </w:tc>
        <w:tc>
          <w:tcPr>
            <w:tcW w:type="dxa" w:w="27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Clear, Few questions, Low</w:t>
            </w:r>
          </w:p>
        </w:tc>
        <w:tc>
          <w:tcPr>
            <w:tcW w:type="dxa" w:w="382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요구 범위의 구체화 정도를 나타냄</w:t>
            </w:r>
          </w:p>
        </w:tc>
      </w:tr>
      <w:tr>
        <w:trPr>
          <w:cantSplit/>
        </w:trPr>
        <w:tc>
          <w:tcPr>
            <w:tcW w:type="dxa" w:w="15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18 Cross_sale</w:t>
            </w:r>
          </w:p>
        </w:tc>
        <w:tc>
          <w:tcPr>
            <w:tcW w:type="dxa" w:w="195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기존 고객 대상 교차판매 여부</w:t>
            </w:r>
          </w:p>
        </w:tc>
        <w:tc>
          <w:tcPr>
            <w:tcW w:type="dxa" w:w="27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Yes, No</w:t>
            </w:r>
          </w:p>
        </w:tc>
        <w:tc>
          <w:tcPr>
            <w:tcW w:type="dxa" w:w="382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기존 관계를 이용한 판매 유형을 나타냄</w:t>
            </w:r>
          </w:p>
        </w:tc>
      </w:tr>
      <w:tr>
        <w:trPr>
          <w:cantSplit/>
        </w:trPr>
        <w:tc>
          <w:tcPr>
            <w:tcW w:type="dxa" w:w="15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20 Deal_type</w:t>
            </w:r>
          </w:p>
        </w:tc>
        <w:tc>
          <w:tcPr>
            <w:tcW w:type="dxa" w:w="195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거래 유형</w:t>
            </w:r>
          </w:p>
        </w:tc>
        <w:tc>
          <w:tcPr>
            <w:tcW w:type="dxa" w:w="27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Consulting, Maintenance, Project, Solution</w:t>
            </w:r>
          </w:p>
        </w:tc>
        <w:tc>
          <w:tcPr>
            <w:tcW w:type="dxa" w:w="382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서로 다른 영업·계약 유형을 구분함</w:t>
            </w:r>
          </w:p>
        </w:tc>
      </w:tr>
      <w:tr>
        <w:trPr>
          <w:cantSplit/>
        </w:trPr>
        <w:tc>
          <w:tcPr>
            <w:tcW w:type="dxa" w:w="15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21 Needs_def</w:t>
            </w:r>
          </w:p>
        </w:tc>
        <w:tc>
          <w:tcPr>
            <w:tcW w:type="dxa" w:w="195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고객 요구사항의 정의 수준</w:t>
            </w:r>
          </w:p>
        </w:tc>
        <w:tc>
          <w:tcPr>
            <w:tcW w:type="dxa" w:w="27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Yes, Poor, Info gathering, No</w:t>
            </w:r>
          </w:p>
        </w:tc>
        <w:tc>
          <w:tcPr>
            <w:tcW w:type="dxa" w:w="382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고객 문제와 요구가 구체화된 정도를 나타냄</w:t>
            </w:r>
          </w:p>
        </w:tc>
      </w:tr>
    </w:tbl>
    <w:p>
      <w:pPr>
        <w:widowControl/>
      </w:pPr>
      <w:r>
        <w:rPr>
          <w:rFonts w:ascii="Arial Unicode MS" w:hAnsi="Arial Unicode MS" w:eastAsia="Arial Unicode MS"/>
        </w:rPr>
        <w:t>다음 9개는 원본에는 존재하지만 서비스 간 일반화 가능성, 미팅에서의 확보 가능성, 현재 제품 데이터 계약을 기준으로 제외했다.</w:t>
      </w:r>
    </w:p>
    <w:tbl>
      <w:tblPr>
        <w:tblW w:type="auto" w:w="0"/>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494"/>
        <w:gridCol w:w="2494"/>
        <w:gridCol w:w="2494"/>
        <w:gridCol w:w="2494"/>
      </w:tblGrid>
      <w:tr>
        <w:trPr>
          <w:cantSplit/>
          <w:tblHeader w:val="true"/>
        </w:trPr>
        <w:tc>
          <w:tcPr>
            <w:tcW w:type="dxa" w:w="1500"/>
            <w:tcMar>
              <w:top w:w="70" w:type="dxa"/>
              <w:start w:w="100" w:type="dxa"/>
              <w:bottom w:w="70" w:type="dxa"/>
              <w:end w:w="100" w:type="dxa"/>
            </w:tcMar>
            <w:vAlign w:val="center"/>
            <w:shd w:fill="E8EEF5"/>
          </w:tcPr>
          <w:p>
            <w:pPr>
              <w:spacing w:before="0" w:after="0" w:line="240" w:lineRule="auto"/>
            </w:pPr>
            <w:r>
              <w:rPr>
                <w:rFonts w:ascii="Arial Unicode MS" w:hAnsi="Arial Unicode MS" w:eastAsia="Arial Unicode MS"/>
                <w:b/>
                <w:sz w:val="15"/>
              </w:rPr>
              <w:t>원본 순서·컬럼</w:t>
            </w:r>
          </w:p>
        </w:tc>
        <w:tc>
          <w:tcPr>
            <w:tcW w:type="dxa" w:w="1950"/>
            <w:tcMar>
              <w:top w:w="70" w:type="dxa"/>
              <w:start w:w="100" w:type="dxa"/>
              <w:bottom w:w="70" w:type="dxa"/>
              <w:end w:w="100" w:type="dxa"/>
            </w:tcMar>
            <w:vAlign w:val="center"/>
            <w:shd w:fill="E8EEF5"/>
          </w:tcPr>
          <w:p>
            <w:pPr>
              <w:spacing w:before="0" w:after="0" w:line="240" w:lineRule="auto"/>
            </w:pPr>
            <w:r>
              <w:rPr>
                <w:rFonts w:ascii="Arial Unicode MS" w:hAnsi="Arial Unicode MS" w:eastAsia="Arial Unicode MS"/>
                <w:b/>
                <w:sz w:val="15"/>
              </w:rPr>
              <w:t>의미</w:t>
            </w:r>
          </w:p>
        </w:tc>
        <w:tc>
          <w:tcPr>
            <w:tcW w:type="dxa" w:w="2700"/>
            <w:tcMar>
              <w:top w:w="70" w:type="dxa"/>
              <w:start w:w="100" w:type="dxa"/>
              <w:bottom w:w="70" w:type="dxa"/>
              <w:end w:w="100" w:type="dxa"/>
            </w:tcMar>
            <w:vAlign w:val="center"/>
            <w:shd w:fill="E8EEF5"/>
          </w:tcPr>
          <w:p>
            <w:pPr>
              <w:spacing w:before="0" w:after="0" w:line="240" w:lineRule="auto"/>
            </w:pPr>
            <w:r>
              <w:rPr>
                <w:rFonts w:ascii="Arial Unicode MS" w:hAnsi="Arial Unicode MS" w:eastAsia="Arial Unicode MS"/>
                <w:b/>
                <w:sz w:val="15"/>
              </w:rPr>
              <w:t>원본 저장값</w:t>
            </w:r>
          </w:p>
        </w:tc>
        <w:tc>
          <w:tcPr>
            <w:tcW w:type="dxa" w:w="3828"/>
            <w:tcMar>
              <w:top w:w="70" w:type="dxa"/>
              <w:start w:w="100" w:type="dxa"/>
              <w:bottom w:w="70" w:type="dxa"/>
              <w:end w:w="100" w:type="dxa"/>
            </w:tcMar>
            <w:vAlign w:val="center"/>
            <w:shd w:fill="E8EEF5"/>
          </w:tcPr>
          <w:p>
            <w:pPr>
              <w:spacing w:before="0" w:after="0" w:line="240" w:lineRule="auto"/>
            </w:pPr>
            <w:r>
              <w:rPr>
                <w:rFonts w:ascii="Arial Unicode MS" w:hAnsi="Arial Unicode MS" w:eastAsia="Arial Unicode MS"/>
                <w:b/>
                <w:sz w:val="15"/>
              </w:rPr>
              <w:t>제외 이유</w:t>
            </w:r>
          </w:p>
        </w:tc>
      </w:tr>
      <w:tr>
        <w:trPr>
          <w:cantSplit/>
        </w:trPr>
        <w:tc>
          <w:tcPr>
            <w:tcW w:type="dxa" w:w="15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1 Product</w:t>
            </w:r>
          </w:p>
        </w:tc>
        <w:tc>
          <w:tcPr>
            <w:tcW w:type="dxa" w:w="195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제안 상품 코드</w:t>
            </w:r>
          </w:p>
        </w:tc>
        <w:tc>
          <w:tcPr>
            <w:tcW w:type="dxa" w:w="27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Product A-L, N, P</w:t>
            </w:r>
          </w:p>
        </w:tc>
        <w:tc>
          <w:tcPr>
            <w:tcW w:type="dxa" w:w="382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회사마다 상품 체계가 달라 공통 모델이 코드를 암기할 위험이 있음</w:t>
            </w:r>
          </w:p>
        </w:tc>
      </w:tr>
      <w:tr>
        <w:trPr>
          <w:cantSplit/>
        </w:trPr>
        <w:tc>
          <w:tcPr>
            <w:tcW w:type="dxa" w:w="15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2 Seller</w:t>
            </w:r>
          </w:p>
        </w:tc>
        <w:tc>
          <w:tcPr>
            <w:tcW w:type="dxa" w:w="195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영업 담당자 코드</w:t>
            </w:r>
          </w:p>
        </w:tc>
        <w:tc>
          <w:tcPr>
            <w:tcW w:type="dxa" w:w="27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Seller 1-17, 20</w:t>
            </w:r>
          </w:p>
        </w:tc>
        <w:tc>
          <w:tcPr>
            <w:tcW w:type="dxa" w:w="382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사용자·조직마다 식별자가 달라 다른 조직에 일반화되지 않음</w:t>
            </w:r>
          </w:p>
        </w:tc>
      </w:tr>
      <w:tr>
        <w:trPr>
          <w:cantSplit/>
        </w:trPr>
        <w:tc>
          <w:tcPr>
            <w:tcW w:type="dxa" w:w="15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4 Comp_size</w:t>
            </w:r>
          </w:p>
        </w:tc>
        <w:tc>
          <w:tcPr>
            <w:tcW w:type="dxa" w:w="195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고객사 규모</w:t>
            </w:r>
          </w:p>
        </w:tc>
        <w:tc>
          <w:tcPr>
            <w:tcW w:type="dxa" w:w="27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Big, Mid, Small</w:t>
            </w:r>
          </w:p>
        </w:tc>
        <w:tc>
          <w:tcPr>
            <w:tcW w:type="dxa" w:w="382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현재 미팅 기반 승패 판단 요소로 사용하지 않기로 결정</w:t>
            </w:r>
          </w:p>
        </w:tc>
      </w:tr>
      <w:tr>
        <w:trPr>
          <w:cantSplit/>
        </w:trPr>
        <w:tc>
          <w:tcPr>
            <w:tcW w:type="dxa" w:w="15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7 Partnership</w:t>
            </w:r>
          </w:p>
        </w:tc>
        <w:tc>
          <w:tcPr>
            <w:tcW w:type="dxa" w:w="195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파트너 협업 판매 여부</w:t>
            </w:r>
          </w:p>
        </w:tc>
        <w:tc>
          <w:tcPr>
            <w:tcW w:type="dxa" w:w="27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Yes, No</w:t>
            </w:r>
          </w:p>
        </w:tc>
        <w:tc>
          <w:tcPr>
            <w:tcW w:type="dxa" w:w="382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이번 서비스의 승패 판단 요소로 사용하지 않기로 결정</w:t>
            </w:r>
          </w:p>
        </w:tc>
      </w:tr>
      <w:tr>
        <w:trPr>
          <w:cantSplit/>
        </w:trPr>
        <w:tc>
          <w:tcPr>
            <w:tcW w:type="dxa" w:w="15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10 RFI</w:t>
            </w:r>
          </w:p>
        </w:tc>
        <w:tc>
          <w:tcPr>
            <w:tcW w:type="dxa" w:w="195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정보요청서 진행 여부</w:t>
            </w:r>
          </w:p>
        </w:tc>
        <w:tc>
          <w:tcPr>
            <w:tcW w:type="dxa" w:w="27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Yes, No</w:t>
            </w:r>
          </w:p>
        </w:tc>
        <w:tc>
          <w:tcPr>
            <w:tcW w:type="dxa" w:w="382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이번 서비스의 승패 판단 요소로 사용하지 않기로 결정</w:t>
            </w:r>
          </w:p>
        </w:tc>
      </w:tr>
      <w:tr>
        <w:trPr>
          <w:cantSplit/>
        </w:trPr>
        <w:tc>
          <w:tcPr>
            <w:tcW w:type="dxa" w:w="15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12 Growth</w:t>
            </w:r>
          </w:p>
        </w:tc>
        <w:tc>
          <w:tcPr>
            <w:tcW w:type="dxa" w:w="195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고객사의 성장 상태</w:t>
            </w:r>
          </w:p>
        </w:tc>
        <w:tc>
          <w:tcPr>
            <w:tcW w:type="dxa" w:w="27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Growth, Stable, Slow down, Unknown</w:t>
            </w:r>
          </w:p>
        </w:tc>
        <w:tc>
          <w:tcPr>
            <w:tcW w:type="dxa" w:w="382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이번 서비스의 승패 판단 요소로 사용하지 않기로 결정</w:t>
            </w:r>
          </w:p>
        </w:tc>
      </w:tr>
      <w:tr>
        <w:trPr>
          <w:cantSplit/>
        </w:trPr>
        <w:tc>
          <w:tcPr>
            <w:tcW w:type="dxa" w:w="15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17 Strat_deal</w:t>
            </w:r>
          </w:p>
        </w:tc>
        <w:tc>
          <w:tcPr>
            <w:tcW w:type="dxa" w:w="195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회사 관점의 전략적 중요도</w:t>
            </w:r>
          </w:p>
        </w:tc>
        <w:tc>
          <w:tcPr>
            <w:tcW w:type="dxa" w:w="27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Very important, Average important, Unimportant</w:t>
            </w:r>
          </w:p>
        </w:tc>
        <w:tc>
          <w:tcPr>
            <w:tcW w:type="dxa" w:w="382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미팅 내용에서 안정적으로 추출하기 어려운 내부 판단값</w:t>
            </w:r>
          </w:p>
        </w:tc>
      </w:tr>
      <w:tr>
        <w:trPr>
          <w:cantSplit/>
        </w:trPr>
        <w:tc>
          <w:tcPr>
            <w:tcW w:type="dxa" w:w="15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19 Up_sale</w:t>
            </w:r>
          </w:p>
        </w:tc>
        <w:tc>
          <w:tcPr>
            <w:tcW w:type="dxa" w:w="195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상향판매 여부</w:t>
            </w:r>
          </w:p>
        </w:tc>
        <w:tc>
          <w:tcPr>
            <w:tcW w:type="dxa" w:w="27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Yes, No</w:t>
            </w:r>
          </w:p>
        </w:tc>
        <w:tc>
          <w:tcPr>
            <w:tcW w:type="dxa" w:w="382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상품 등급·서열 데이터가 없어 일관되게 판정할 수 없음</w:t>
            </w:r>
          </w:p>
        </w:tc>
      </w:tr>
      <w:tr>
        <w:trPr>
          <w:cantSplit/>
        </w:trPr>
        <w:tc>
          <w:tcPr>
            <w:tcW w:type="dxa" w:w="15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22 Att_t_client</w:t>
            </w:r>
          </w:p>
        </w:tc>
        <w:tc>
          <w:tcPr>
            <w:tcW w:type="dxa" w:w="195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조직이 분류한 고객관리 유형</w:t>
            </w:r>
          </w:p>
        </w:tc>
        <w:tc>
          <w:tcPr>
            <w:tcW w:type="dxa" w:w="27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Bad client, First deal, Normal, Strategic account</w:t>
            </w:r>
          </w:p>
        </w:tc>
        <w:tc>
          <w:tcPr>
            <w:tcW w:type="dxa" w:w="382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조직별 주관적 분류라 다른 사용자·조직에 일반화되지 않음</w:t>
            </w:r>
          </w:p>
        </w:tc>
      </w:tr>
    </w:tbl>
    <w:p>
      <w:pPr>
        <w:widowControl/>
      </w:pPr>
      <w:r>
        <w:rPr>
          <w:rFonts w:ascii="Arial Unicode MS" w:hAnsi="Arial Unicode MS" w:eastAsia="Arial Unicode MS"/>
        </w:rPr>
        <w:t>정답 Status는 Lost=0, Won=1로 변환했다. 원본 컬럼명은 데이터 추적과 재현을 위해 바꾸지 않았다.</w:t>
      </w:r>
    </w:p>
    <w:p>
      <w:pPr>
        <w:pStyle w:val="Heading2"/>
        <w:keepNext/>
        <w:widowControl/>
      </w:pPr>
      <w:r>
        <w:rPr>
          <w:rFonts w:ascii="Arial Unicode MS" w:hAnsi="Arial Unicode MS" w:eastAsia="Arial Unicode MS"/>
        </w:rPr>
        <w:t>2.3 결측치 조사와 처리 결정</w:t>
      </w:r>
    </w:p>
    <w:p>
      <w:pPr>
        <w:widowControl/>
      </w:pPr>
      <w:r>
        <w:rPr>
          <w:rFonts w:ascii="Arial Unicode MS" w:hAnsi="Arial Unicode MS" w:eastAsia="Arial Unicode MS"/>
        </w:rPr>
        <w:t>범주형 데이터이므로 숫자 평균이나 중앙값으로 채우지 않았다. 먼저 NaN, 빈 문자열, 문자열 Unknown을 구분해 조사하고 셋의 합집합을 실질 결측치로 정의했다. 실제 원본에는 NaN과 빈 문자열이 없었고, 결측은 모두 데이터 제공자가 값 미확인을 명시한 Unknown이었다.</w:t>
      </w:r>
    </w:p>
    <w:tbl>
      <w:tblPr>
        <w:tblW w:type="auto" w:w="0"/>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1996"/>
        <w:gridCol w:w="1996"/>
        <w:gridCol w:w="1996"/>
        <w:gridCol w:w="1996"/>
        <w:gridCol w:w="1996"/>
      </w:tblGrid>
      <w:tr>
        <w:trPr>
          <w:cantSplit/>
          <w:tblHeader w:val="true"/>
        </w:trPr>
        <w:tc>
          <w:tcPr>
            <w:tcW w:type="dxa" w:w="2100"/>
            <w:tcMar>
              <w:top w:w="70" w:type="dxa"/>
              <w:start w:w="100" w:type="dxa"/>
              <w:bottom w:w="70" w:type="dxa"/>
              <w:end w:w="100" w:type="dxa"/>
            </w:tcMar>
            <w:vAlign w:val="center"/>
            <w:shd w:fill="E8EEF5"/>
          </w:tcPr>
          <w:p>
            <w:pPr>
              <w:spacing w:before="0" w:after="0" w:line="240" w:lineRule="auto"/>
            </w:pPr>
            <w:r>
              <w:rPr>
                <w:rFonts w:ascii="Arial Unicode MS" w:hAnsi="Arial Unicode MS" w:eastAsia="Arial Unicode MS"/>
                <w:b/>
                <w:sz w:val="15"/>
              </w:rPr>
              <w:t>컬럼</w:t>
            </w:r>
          </w:p>
        </w:tc>
        <w:tc>
          <w:tcPr>
            <w:tcW w:type="dxa" w:w="1500"/>
            <w:tcMar>
              <w:top w:w="70" w:type="dxa"/>
              <w:start w:w="100" w:type="dxa"/>
              <w:bottom w:w="70" w:type="dxa"/>
              <w:end w:w="100" w:type="dxa"/>
            </w:tcMar>
            <w:vAlign w:val="center"/>
            <w:shd w:fill="E8EEF5"/>
          </w:tcPr>
          <w:p>
            <w:pPr>
              <w:spacing w:before="0" w:after="0" w:line="240" w:lineRule="auto"/>
            </w:pPr>
            <w:r>
              <w:rPr>
                <w:rFonts w:ascii="Arial Unicode MS" w:hAnsi="Arial Unicode MS" w:eastAsia="Arial Unicode MS"/>
                <w:b/>
                <w:sz w:val="15"/>
              </w:rPr>
              <w:t>자연 Unknown</w:t>
            </w:r>
          </w:p>
        </w:tc>
        <w:tc>
          <w:tcPr>
            <w:tcW w:type="dxa" w:w="1400"/>
            <w:tcMar>
              <w:top w:w="70" w:type="dxa"/>
              <w:start w:w="100" w:type="dxa"/>
              <w:bottom w:w="70" w:type="dxa"/>
              <w:end w:w="100" w:type="dxa"/>
            </w:tcMar>
            <w:vAlign w:val="center"/>
            <w:shd w:fill="E8EEF5"/>
          </w:tcPr>
          <w:p>
            <w:pPr>
              <w:spacing w:before="0" w:after="0" w:line="240" w:lineRule="auto"/>
            </w:pPr>
            <w:r>
              <w:rPr>
                <w:rFonts w:ascii="Arial Unicode MS" w:hAnsi="Arial Unicode MS" w:eastAsia="Arial Unicode MS"/>
                <w:b/>
                <w:sz w:val="15"/>
              </w:rPr>
              <w:t>결측률</w:t>
            </w:r>
          </w:p>
        </w:tc>
        <w:tc>
          <w:tcPr>
            <w:tcW w:type="dxa" w:w="2400"/>
            <w:tcMar>
              <w:top w:w="70" w:type="dxa"/>
              <w:start w:w="100" w:type="dxa"/>
              <w:bottom w:w="70" w:type="dxa"/>
              <w:end w:w="100" w:type="dxa"/>
            </w:tcMar>
            <w:vAlign w:val="center"/>
            <w:shd w:fill="E8EEF5"/>
          </w:tcPr>
          <w:p>
            <w:pPr>
              <w:spacing w:before="0" w:after="0" w:line="240" w:lineRule="auto"/>
            </w:pPr>
            <w:r>
              <w:rPr>
                <w:rFonts w:ascii="Arial Unicode MS" w:hAnsi="Arial Unicode MS" w:eastAsia="Arial Unicode MS"/>
                <w:b/>
                <w:sz w:val="15"/>
              </w:rPr>
              <w:t>Unknown 행 Won 비율</w:t>
            </w:r>
          </w:p>
        </w:tc>
        <w:tc>
          <w:tcPr>
            <w:tcW w:type="dxa" w:w="2578"/>
            <w:tcMar>
              <w:top w:w="70" w:type="dxa"/>
              <w:start w:w="100" w:type="dxa"/>
              <w:bottom w:w="70" w:type="dxa"/>
              <w:end w:w="100" w:type="dxa"/>
            </w:tcMar>
            <w:vAlign w:val="center"/>
            <w:shd w:fill="E8EEF5"/>
          </w:tcPr>
          <w:p>
            <w:pPr>
              <w:spacing w:before="0" w:after="0" w:line="240" w:lineRule="auto"/>
            </w:pPr>
            <w:r>
              <w:rPr>
                <w:rFonts w:ascii="Arial Unicode MS" w:hAnsi="Arial Unicode MS" w:eastAsia="Arial Unicode MS"/>
                <w:b/>
                <w:sz w:val="15"/>
              </w:rPr>
              <w:t>관측 행 Won 비율</w:t>
            </w:r>
          </w:p>
        </w:tc>
      </w:tr>
      <w:tr>
        <w:trPr>
          <w:cantSplit/>
        </w:trPr>
        <w:tc>
          <w:tcPr>
            <w:tcW w:type="dxa" w:w="21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Budgt_alloc</w:t>
            </w:r>
          </w:p>
        </w:tc>
        <w:tc>
          <w:tcPr>
            <w:tcW w:type="dxa" w:w="15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36</w:t>
            </w:r>
          </w:p>
        </w:tc>
        <w:tc>
          <w:tcPr>
            <w:tcW w:type="dxa" w:w="14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8.036%</w:t>
            </w:r>
          </w:p>
        </w:tc>
        <w:tc>
          <w:tcPr>
            <w:tcW w:type="dxa" w:w="24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13.889%</w:t>
            </w:r>
          </w:p>
        </w:tc>
        <w:tc>
          <w:tcPr>
            <w:tcW w:type="dxa" w:w="257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53.883%</w:t>
            </w:r>
          </w:p>
        </w:tc>
      </w:tr>
      <w:tr>
        <w:trPr>
          <w:cantSplit/>
        </w:trPr>
        <w:tc>
          <w:tcPr>
            <w:tcW w:type="dxa" w:w="21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Purch_dept</w:t>
            </w:r>
          </w:p>
        </w:tc>
        <w:tc>
          <w:tcPr>
            <w:tcW w:type="dxa" w:w="15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32</w:t>
            </w:r>
          </w:p>
        </w:tc>
        <w:tc>
          <w:tcPr>
            <w:tcW w:type="dxa" w:w="14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7.143%</w:t>
            </w:r>
          </w:p>
        </w:tc>
        <w:tc>
          <w:tcPr>
            <w:tcW w:type="dxa" w:w="24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15.625%</w:t>
            </w:r>
          </w:p>
        </w:tc>
        <w:tc>
          <w:tcPr>
            <w:tcW w:type="dxa" w:w="257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53.365%</w:t>
            </w:r>
          </w:p>
        </w:tc>
      </w:tr>
      <w:tr>
        <w:trPr>
          <w:cantSplit/>
        </w:trPr>
        <w:tc>
          <w:tcPr>
            <w:tcW w:type="dxa" w:w="21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Competitors</w:t>
            </w:r>
          </w:p>
        </w:tc>
        <w:tc>
          <w:tcPr>
            <w:tcW w:type="dxa" w:w="15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20</w:t>
            </w:r>
          </w:p>
        </w:tc>
        <w:tc>
          <w:tcPr>
            <w:tcW w:type="dxa" w:w="14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4.464%</w:t>
            </w:r>
          </w:p>
        </w:tc>
        <w:tc>
          <w:tcPr>
            <w:tcW w:type="dxa" w:w="24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25.000%</w:t>
            </w:r>
          </w:p>
        </w:tc>
        <w:tc>
          <w:tcPr>
            <w:tcW w:type="dxa" w:w="257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51.869%</w:t>
            </w:r>
          </w:p>
        </w:tc>
      </w:tr>
      <w:tr>
        <w:trPr>
          <w:cantSplit/>
        </w:trPr>
        <w:tc>
          <w:tcPr>
            <w:tcW w:type="dxa" w:w="21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Source</w:t>
            </w:r>
          </w:p>
        </w:tc>
        <w:tc>
          <w:tcPr>
            <w:tcW w:type="dxa" w:w="15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10</w:t>
            </w:r>
          </w:p>
        </w:tc>
        <w:tc>
          <w:tcPr>
            <w:tcW w:type="dxa" w:w="14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2.232%</w:t>
            </w:r>
          </w:p>
        </w:tc>
        <w:tc>
          <w:tcPr>
            <w:tcW w:type="dxa" w:w="24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20.000%</w:t>
            </w:r>
          </w:p>
        </w:tc>
        <w:tc>
          <w:tcPr>
            <w:tcW w:type="dxa" w:w="257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51.370%</w:t>
            </w:r>
          </w:p>
        </w:tc>
      </w:tr>
      <w:tr>
        <w:trPr>
          <w:cantSplit/>
        </w:trPr>
        <w:tc>
          <w:tcPr>
            <w:tcW w:type="dxa" w:w="21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나머지 9개 입력</w:t>
            </w:r>
          </w:p>
        </w:tc>
        <w:tc>
          <w:tcPr>
            <w:tcW w:type="dxa" w:w="15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w:t>
            </w:r>
          </w:p>
        </w:tc>
        <w:tc>
          <w:tcPr>
            <w:tcW w:type="dxa" w:w="14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w:t>
            </w:r>
          </w:p>
        </w:tc>
        <w:tc>
          <w:tcPr>
            <w:tcW w:type="dxa" w:w="24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w:t>
            </w:r>
          </w:p>
        </w:tc>
        <w:tc>
          <w:tcPr>
            <w:tcW w:type="dxa" w:w="257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w:t>
            </w:r>
          </w:p>
        </w:tc>
      </w:tr>
    </w:tbl>
    <w:p>
      <w:pPr>
        <w:widowControl/>
      </w:pPr>
      <w:r>
        <w:rPr>
          <w:rFonts w:ascii="Arial Unicode MS" w:hAnsi="Arial Unicode MS" w:eastAsia="Arial Unicode MS"/>
        </w:rPr>
        <w:t>13개 입력의 총 5,824셀 중 자연 Unknown은 98셀(1.683%)이며, 448행 중 72행(16.07%)이 하나 이상을 포함했다. 행당 평균은 0.219개, 중앙값은 0개, 최대는 3개였다.</w:t>
      </w:r>
    </w:p>
    <w:p>
      <w:pPr>
        <w:widowControl/>
      </w:pPr>
      <w:r>
        <w:rPr>
          <w:rFonts w:ascii="Arial Unicode MS" w:hAnsi="Arial Unicode MS" w:eastAsia="Arial Unicode MS"/>
        </w:rPr>
        <w:t>자연 Unknown이 있는 72행의 Won 비율은 19.44%이고 Unknown이 없는 376행은 56.65%였다. 이는 인과관계가 아니라 현재 표본에서 확인된 연관성이지만, 행을 삭제하면 Lost 사례를 주로 제거하고 최빈값으로 채우면 값 미확인 자체의 신호를 지울 수 있다. 따라서 행 삭제와 최빈값 대체를 하지 않고 Unknown을 No와 구분되는 정상 범주로 보존했다. 원본에 Unknown이 없던 9개 입력도 실서비스에서 추출되지 않을 수 있으므로 같은 범주를 허용했다.</w:t>
      </w:r>
    </w:p>
    <w:p>
      <w:pPr>
        <w:pStyle w:val="Heading2"/>
        <w:keepNext/>
        <w:widowControl/>
      </w:pPr>
      <w:r>
        <w:rPr>
          <w:rFonts w:ascii="Arial Unicode MS" w:hAnsi="Arial Unicode MS" w:eastAsia="Arial Unicode MS"/>
        </w:rPr>
        <w:t>2.4 실서비스의 값 누락 상황을 만드는 방법</w:t>
      </w:r>
    </w:p>
    <w:p>
      <w:pPr>
        <w:widowControl/>
      </w:pPr>
      <w:r>
        <w:rPr>
          <w:rFonts w:ascii="Arial Unicode MS" w:hAnsi="Arial Unicode MS" w:eastAsia="Arial Unicode MS"/>
        </w:rPr>
        <w:t>실제 미팅 보고서에는 13개 항목이 항상 전부 들어오지 않는다. 예를 들어 예산 확보 여부는 확인했지만 경쟁사나 구매부서 참여 여부는 알 수 없을 수 있다. 이런 상황에서도 모델이 작동하는지 확인하기 위해, 학습 데이터에서도 한 거래의 13개 값 중 약 30%가 확인되지 않은 상황을 만들었다.</w:t>
      </w:r>
    </w:p>
    <w:p>
      <w:pPr>
        <w:widowControl/>
      </w:pPr>
      <w:r>
        <w:rPr>
          <w:rFonts w:ascii="Arial Unicode MS" w:hAnsi="Arial Unicode MS" w:eastAsia="Arial Unicode MS"/>
        </w:rPr>
        <w:t>13개의 30%는 3.9개이므로 한 행에 최종적으로 Unknown이 4개가 되게 했다. 원본에 이미 Unknown이 있다면 그대로 인정하고 부족한 개수만 추가했다. 예를 들어 원래 Unknown이 2개인 행에는 2개만 더 넣고, 하나도 없는 행에는 4개를 넣었다.</w:t>
      </w:r>
    </w:p>
    <w:p>
      <w:pPr>
        <w:widowControl/>
      </w:pPr>
      <w:r>
        <w:rPr>
          <w:rFonts w:ascii="Arial Unicode MS" w:hAnsi="Arial Unicode MS" w:eastAsia="Arial Unicode MS"/>
        </w:rPr>
        <w:t>같은 거래에서도 어떤 항목이 빠지느냐에 따라 예측이 달라질 수 있다. 그래서 거래 한 건마다 Unknown이 들어가는 위치가 서로 다른 10가지 버전을 만들었다. 이때 같은 조합을 반복해서 사용하지 않았고, 실제 결과인 Status도 빠질 위치를 정하는 데 사용하지 않았다.</w:t>
      </w:r>
    </w:p>
    <w:p>
      <w:pPr>
        <w:widowControl/>
      </w:pPr>
      <w:r>
        <w:rPr>
          <w:rFonts w:ascii="Arial Unicode MS" w:hAnsi="Arial Unicode MS" w:eastAsia="Arial Unicode MS"/>
        </w:rPr>
        <w:t>결과적으로 원본 448건에서 10개 버전씩 총 4,480행이 만들어졌다. 이 4,480행은 새로운 거래 4,480건이 아니라, 같은 448건을 서로 다른 값 누락 상황으로 보여준 학습용 변형이다. 목적은 특정 한 번의 무작위 결측에 결과가 좌우되지 않게 하고, 일부 정보가 없어도 모델이 비슷한 판단을 내리는지 확인하는 것이다.</w:t>
      </w:r>
    </w:p>
    <w:p>
      <w:pPr>
        <w:pStyle w:val="Heading2"/>
        <w:keepNext/>
        <w:widowControl/>
      </w:pPr>
      <w:r>
        <w:rPr>
          <w:rFonts w:ascii="Arial Unicode MS" w:hAnsi="Arial Unicode MS" w:eastAsia="Arial Unicode MS"/>
        </w:rPr>
        <w:t>2.5 학습용과 평가용을 나누는 방법</w:t>
      </w:r>
    </w:p>
    <w:p>
      <w:pPr>
        <w:widowControl/>
      </w:pPr>
      <w:r>
        <w:rPr>
          <w:rFonts w:ascii="Arial Unicode MS" w:hAnsi="Arial Unicode MS" w:eastAsia="Arial Unicode MS"/>
        </w:rPr>
        <w:t>원본에는 13개 입력값이 완전히 같은 거래가 반복해서 등장한다. 이런 거래 하나가 Train에 있고 똑같은 거래가 Test에도 있으면, 모델이 규칙을 배운 것이 아니라 이미 본 값을 기억해서 높은 점수를 낼 수 있다.</w:t>
      </w:r>
    </w:p>
    <w:p>
      <w:pPr>
        <w:widowControl/>
      </w:pPr>
      <w:r>
        <w:rPr>
          <w:rFonts w:ascii="Arial Unicode MS" w:hAnsi="Arial Unicode MS" w:eastAsia="Arial Unicode MS"/>
        </w:rPr>
        <w:t>이를 막기 위해 13개 입력값이 같은 행을 하나의 묶음으로 만들었다. 총 448건은 198개 묶음으로 정리되며, 같은 묶음은 Train 또는 Test 중 한쪽에만 들어가게 했다. Status는 묶음을 만드는 데 사용하지 않았기 때문에 같은 입력에서 Won과 Lost가 모두 나온 경우도 하나의 묶음으로 함께 이동한다.</w:t>
      </w:r>
    </w:p>
    <w:p>
      <w:pPr>
        <w:widowControl/>
      </w:pPr>
      <w:r>
        <w:rPr>
          <w:rFonts w:ascii="Arial Unicode MS" w:hAnsi="Arial Unicode MS" w:eastAsia="Arial Unicode MS"/>
        </w:rPr>
        <w:t>약 70%를 학습용, 30%를 평가용으로 나눴다. 정답 비율도 두 데이터가 비슷하도록 맞췄다. 앞에서 만든 10개 값 누락 버전에도 모두 같은 분할 기준을 적용했다.</w:t>
      </w:r>
    </w:p>
    <w:tbl>
      <w:tblPr>
        <w:tblW w:type="auto" w:w="0"/>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1996"/>
        <w:gridCol w:w="1996"/>
        <w:gridCol w:w="1996"/>
        <w:gridCol w:w="1996"/>
        <w:gridCol w:w="1996"/>
      </w:tblGrid>
      <w:tr>
        <w:trPr>
          <w:cantSplit/>
          <w:tblHeader w:val="true"/>
        </w:trPr>
        <w:tc>
          <w:tcPr>
            <w:tcW w:type="dxa" w:w="1995"/>
            <w:tcMar>
              <w:top w:w="70" w:type="dxa"/>
              <w:start w:w="100" w:type="dxa"/>
              <w:bottom w:w="70" w:type="dxa"/>
              <w:end w:w="100" w:type="dxa"/>
            </w:tcMar>
            <w:vAlign w:val="center"/>
            <w:shd w:fill="E8EEF5"/>
          </w:tcPr>
          <w:p>
            <w:pPr>
              <w:spacing w:before="0" w:after="0" w:line="240" w:lineRule="auto"/>
            </w:pPr>
            <w:r>
              <w:rPr>
                <w:rFonts w:ascii="Arial Unicode MS" w:hAnsi="Arial Unicode MS" w:eastAsia="Arial Unicode MS"/>
                <w:b/>
                <w:sz w:val="15"/>
              </w:rPr>
              <w:t>구분</w:t>
            </w:r>
          </w:p>
        </w:tc>
        <w:tc>
          <w:tcPr>
            <w:tcW w:type="dxa" w:w="1995"/>
            <w:tcMar>
              <w:top w:w="70" w:type="dxa"/>
              <w:start w:w="100" w:type="dxa"/>
              <w:bottom w:w="70" w:type="dxa"/>
              <w:end w:w="100" w:type="dxa"/>
            </w:tcMar>
            <w:vAlign w:val="center"/>
            <w:shd w:fill="E8EEF5"/>
          </w:tcPr>
          <w:p>
            <w:pPr>
              <w:spacing w:before="0" w:after="0" w:line="240" w:lineRule="auto"/>
            </w:pPr>
            <w:r>
              <w:rPr>
                <w:rFonts w:ascii="Arial Unicode MS" w:hAnsi="Arial Unicode MS" w:eastAsia="Arial Unicode MS"/>
                <w:b/>
                <w:sz w:val="15"/>
              </w:rPr>
              <w:t>원본 행</w:t>
            </w:r>
          </w:p>
        </w:tc>
        <w:tc>
          <w:tcPr>
            <w:tcW w:type="dxa" w:w="1995"/>
            <w:tcMar>
              <w:top w:w="70" w:type="dxa"/>
              <w:start w:w="100" w:type="dxa"/>
              <w:bottom w:w="70" w:type="dxa"/>
              <w:end w:w="100" w:type="dxa"/>
            </w:tcMar>
            <w:vAlign w:val="center"/>
            <w:shd w:fill="E8EEF5"/>
          </w:tcPr>
          <w:p>
            <w:pPr>
              <w:spacing w:before="0" w:after="0" w:line="240" w:lineRule="auto"/>
            </w:pPr>
            <w:r>
              <w:rPr>
                <w:rFonts w:ascii="Arial Unicode MS" w:hAnsi="Arial Unicode MS" w:eastAsia="Arial Unicode MS"/>
                <w:b/>
                <w:sz w:val="15"/>
              </w:rPr>
              <w:t>입력 그룹</w:t>
            </w:r>
          </w:p>
        </w:tc>
        <w:tc>
          <w:tcPr>
            <w:tcW w:type="dxa" w:w="1995"/>
            <w:tcMar>
              <w:top w:w="70" w:type="dxa"/>
              <w:start w:w="100" w:type="dxa"/>
              <w:bottom w:w="70" w:type="dxa"/>
              <w:end w:w="100" w:type="dxa"/>
            </w:tcMar>
            <w:vAlign w:val="center"/>
            <w:shd w:fill="E8EEF5"/>
          </w:tcPr>
          <w:p>
            <w:pPr>
              <w:spacing w:before="0" w:after="0" w:line="240" w:lineRule="auto"/>
            </w:pPr>
            <w:r>
              <w:rPr>
                <w:rFonts w:ascii="Arial Unicode MS" w:hAnsi="Arial Unicode MS" w:eastAsia="Arial Unicode MS"/>
                <w:b/>
                <w:sz w:val="15"/>
              </w:rPr>
              <w:t>Lost / Won</w:t>
            </w:r>
          </w:p>
        </w:tc>
        <w:tc>
          <w:tcPr>
            <w:tcW w:type="dxa" w:w="1998"/>
            <w:tcMar>
              <w:top w:w="70" w:type="dxa"/>
              <w:start w:w="100" w:type="dxa"/>
              <w:bottom w:w="70" w:type="dxa"/>
              <w:end w:w="100" w:type="dxa"/>
            </w:tcMar>
            <w:vAlign w:val="center"/>
            <w:shd w:fill="E8EEF5"/>
          </w:tcPr>
          <w:p>
            <w:pPr>
              <w:spacing w:before="0" w:after="0" w:line="240" w:lineRule="auto"/>
            </w:pPr>
            <w:r>
              <w:rPr>
                <w:rFonts w:ascii="Arial Unicode MS" w:hAnsi="Arial Unicode MS" w:eastAsia="Arial Unicode MS"/>
                <w:b/>
                <w:sz w:val="15"/>
              </w:rPr>
              <w:t>마스킹 후 구조</w:t>
            </w:r>
          </w:p>
        </w:tc>
      </w:tr>
      <w:tr>
        <w:trPr>
          <w:cantSplit/>
        </w:trPr>
        <w:tc>
          <w:tcPr>
            <w:tcW w:type="dxa" w:w="1995"/>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Train</w:t>
            </w:r>
          </w:p>
        </w:tc>
        <w:tc>
          <w:tcPr>
            <w:tcW w:type="dxa" w:w="1995"/>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313</w:t>
            </w:r>
          </w:p>
        </w:tc>
        <w:tc>
          <w:tcPr>
            <w:tcW w:type="dxa" w:w="1995"/>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138</w:t>
            </w:r>
          </w:p>
        </w:tc>
        <w:tc>
          <w:tcPr>
            <w:tcW w:type="dxa" w:w="1995"/>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154 / 159</w:t>
            </w:r>
          </w:p>
        </w:tc>
        <w:tc>
          <w:tcPr>
            <w:tcW w:type="dxa" w:w="199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3,130행 × 13컬럼</w:t>
            </w:r>
          </w:p>
        </w:tc>
      </w:tr>
      <w:tr>
        <w:trPr>
          <w:cantSplit/>
        </w:trPr>
        <w:tc>
          <w:tcPr>
            <w:tcW w:type="dxa" w:w="1995"/>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Test</w:t>
            </w:r>
          </w:p>
        </w:tc>
        <w:tc>
          <w:tcPr>
            <w:tcW w:type="dxa" w:w="1995"/>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135</w:t>
            </w:r>
          </w:p>
        </w:tc>
        <w:tc>
          <w:tcPr>
            <w:tcW w:type="dxa" w:w="1995"/>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60</w:t>
            </w:r>
          </w:p>
        </w:tc>
        <w:tc>
          <w:tcPr>
            <w:tcW w:type="dxa" w:w="1995"/>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67 / 68</w:t>
            </w:r>
          </w:p>
        </w:tc>
        <w:tc>
          <w:tcPr>
            <w:tcW w:type="dxa" w:w="199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135행 × 13컬럼, 10세트</w:t>
            </w:r>
          </w:p>
        </w:tc>
      </w:tr>
    </w:tbl>
    <w:p>
      <w:pPr>
        <w:widowControl/>
      </w:pPr>
      <w:r>
        <w:rPr>
          <w:rFonts w:ascii="Arial Unicode MS" w:hAnsi="Arial Unicode MS" w:eastAsia="Arial Unicode MS"/>
        </w:rPr>
        <w:t>따라서 한 거래와 그 거래에서 만든 10개 값 누락 버전은 모두 Train 또는 Test 한쪽에만 존재한다. 중복된 영업 사례는 학습에 사용하면서, 모델이 Test의 정답을 미리 본 것처럼 평가되는 문제는 막았다.</w:t>
      </w:r>
    </w:p>
    <w:p>
      <w:pPr>
        <w:pStyle w:val="Heading2"/>
        <w:keepNext/>
        <w:widowControl/>
      </w:pPr>
      <w:r>
        <w:rPr>
          <w:rFonts w:ascii="Arial Unicode MS" w:hAnsi="Arial Unicode MS" w:eastAsia="Arial Unicode MS"/>
        </w:rPr>
        <w:t>2.6 모델이 읽을 수 있는 형태로 바꾸는 방법</w:t>
      </w:r>
    </w:p>
    <w:p>
      <w:pPr>
        <w:widowControl/>
      </w:pPr>
      <w:r>
        <w:rPr>
          <w:rFonts w:ascii="Arial Unicode MS" w:hAnsi="Arial Unicode MS" w:eastAsia="Arial Unicode MS"/>
        </w:rPr>
        <w:t>13개 입력은 숫자가 아니라 Yes, No, High, Project 같은 글자 범주다. LogisticRegression, MultinomialNB, ExtraTrees는 이 글자를 바로 학습할 수 없으므로, 각 범주에 해당하는지를 0과 1로 표시하는 One-Hot Encoding을 모델 내부에서 적용했다. 이 과정을 거치면 13개 입력이 39개 숫자 컬럼으로 바뀐다.</w:t>
      </w:r>
    </w:p>
    <w:p>
      <w:pPr>
        <w:widowControl/>
      </w:pPr>
      <w:r>
        <w:rPr>
          <w:rFonts w:ascii="Arial Unicode MS" w:hAnsi="Arial Unicode MS" w:eastAsia="Arial Unicode MS"/>
        </w:rPr>
        <w:t>CatBoost와 TabICL은 범주형 값을 직접 다룰 수 있으므로 13개 글자 범주를 그대로 사용했다. 두 모델에는 One-Hot Encoding을 다시 적용하지 않았다.</w:t>
      </w:r>
    </w:p>
    <w:p>
      <w:pPr>
        <w:widowControl/>
      </w:pPr>
      <w:r>
        <w:rPr>
          <w:rFonts w:ascii="Arial Unicode MS" w:hAnsi="Arial Unicode MS" w:eastAsia="Arial Unicode MS"/>
        </w:rPr>
        <w:t>Unknown은 값이 확인되지 않았다는 뜻으로 미리 등록한 정상 범주다. 따라서 Unknown이 들어와도 오류가 나지 않는다. 반면 허용 목록에 없는 새로운 문자열이나 오탈자가 들어오면 구조화 오류로 판단해 입력 단계에서 막는다.</w:t>
      </w:r>
    </w:p>
    <w:p>
      <w:pPr>
        <w:pStyle w:val="Heading1"/>
        <w:keepNext/>
        <w:widowControl/>
      </w:pPr>
      <w:r>
        <w:rPr>
          <w:rFonts w:ascii="Arial Unicode MS" w:hAnsi="Arial Unicode MS" w:eastAsia="Arial Unicode MS"/>
        </w:rPr>
        <w:t>3. 학습과 평가 설계</w:t>
      </w:r>
    </w:p>
    <w:p>
      <w:pPr>
        <w:pStyle w:val="Heading2"/>
        <w:keepNext/>
        <w:widowControl/>
      </w:pPr>
      <w:r>
        <w:rPr>
          <w:rFonts w:ascii="Arial Unicode MS" w:hAnsi="Arial Unicode MS" w:eastAsia="Arial Unicode MS"/>
        </w:rPr>
        <w:t>3.1 처음 비교할 5개 모델을 선택한 이유</w:t>
      </w:r>
    </w:p>
    <w:p>
      <w:pPr>
        <w:widowControl/>
      </w:pPr>
      <w:r>
        <w:rPr>
          <w:rFonts w:ascii="Arial Unicode MS" w:hAnsi="Arial Unicode MS" w:eastAsia="Arial Unicode MS"/>
        </w:rPr>
        <w:t>전처리 결과는 원본 448건, 최종 입력 13개, 모든 입력이 범주형이며 한 행에 Unknown이 4개씩 포함된 작은 표형 데이터다. 또한 최종 목표가 Won 확률이므로 각 모델에서 확률을 얻을 수 있어야 한다. 한 종류의 모델만 비교하면 특정 학습 방식에 유리한 결론이 날 수 있어, 서로 다른 방식으로 데이터를 해석하는 다섯 계열을 선택했다. 이후 앙상블에서 비슷한 모델만 합치는 일을 피하려는 목적도 있다.</w:t>
      </w:r>
    </w:p>
    <w:tbl>
      <w:tblPr>
        <w:tblW w:type="auto" w:w="0"/>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3326"/>
        <w:gridCol w:w="3326"/>
        <w:gridCol w:w="3326"/>
      </w:tblGrid>
      <w:tr>
        <w:trPr>
          <w:cantSplit/>
          <w:tblHeader w:val="true"/>
        </w:trPr>
        <w:tc>
          <w:tcPr>
            <w:tcW w:type="dxa" w:w="1800"/>
            <w:tcMar>
              <w:top w:w="70" w:type="dxa"/>
              <w:start w:w="100" w:type="dxa"/>
              <w:bottom w:w="70" w:type="dxa"/>
              <w:end w:w="100" w:type="dxa"/>
            </w:tcMar>
            <w:vAlign w:val="center"/>
            <w:shd w:fill="E8EEF5"/>
          </w:tcPr>
          <w:p>
            <w:pPr>
              <w:spacing w:before="0" w:after="0" w:line="240" w:lineRule="auto"/>
            </w:pPr>
            <w:r>
              <w:rPr>
                <w:rFonts w:ascii="Arial Unicode MS" w:hAnsi="Arial Unicode MS" w:eastAsia="Arial Unicode MS"/>
                <w:b/>
                <w:sz w:val="15"/>
              </w:rPr>
              <w:t>모델</w:t>
            </w:r>
          </w:p>
        </w:tc>
        <w:tc>
          <w:tcPr>
            <w:tcW w:type="dxa" w:w="5300"/>
            <w:tcMar>
              <w:top w:w="70" w:type="dxa"/>
              <w:start w:w="100" w:type="dxa"/>
              <w:bottom w:w="70" w:type="dxa"/>
              <w:end w:w="100" w:type="dxa"/>
            </w:tcMar>
            <w:vAlign w:val="center"/>
            <w:shd w:fill="E8EEF5"/>
          </w:tcPr>
          <w:p>
            <w:pPr>
              <w:spacing w:before="0" w:after="0" w:line="240" w:lineRule="auto"/>
            </w:pPr>
            <w:r>
              <w:rPr>
                <w:rFonts w:ascii="Arial Unicode MS" w:hAnsi="Arial Unicode MS" w:eastAsia="Arial Unicode MS"/>
                <w:b/>
                <w:sz w:val="15"/>
              </w:rPr>
              <w:t>선정 이유</w:t>
            </w:r>
          </w:p>
        </w:tc>
        <w:tc>
          <w:tcPr>
            <w:tcW w:type="dxa" w:w="2878"/>
            <w:tcMar>
              <w:top w:w="70" w:type="dxa"/>
              <w:start w:w="100" w:type="dxa"/>
              <w:bottom w:w="70" w:type="dxa"/>
              <w:end w:w="100" w:type="dxa"/>
            </w:tcMar>
            <w:vAlign w:val="center"/>
            <w:shd w:fill="E8EEF5"/>
          </w:tcPr>
          <w:p>
            <w:pPr>
              <w:spacing w:before="0" w:after="0" w:line="240" w:lineRule="auto"/>
            </w:pPr>
            <w:r>
              <w:rPr>
                <w:rFonts w:ascii="Arial Unicode MS" w:hAnsi="Arial Unicode MS" w:eastAsia="Arial Unicode MS"/>
                <w:b/>
                <w:sz w:val="15"/>
              </w:rPr>
              <w:t>입력 처리</w:t>
            </w:r>
          </w:p>
        </w:tc>
      </w:tr>
      <w:tr>
        <w:trPr>
          <w:cantSplit/>
        </w:trPr>
        <w:tc>
          <w:tcPr>
            <w:tcW w:type="dxa" w:w="18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LogisticRegression</w:t>
            </w:r>
          </w:p>
        </w:tc>
        <w:tc>
          <w:tcPr>
            <w:tcW w:type="dxa" w:w="53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작은 데이터에서 과적합을 규제로 제어하기 쉽고, 각 범주의 영향을 선형으로 합산하는 안정적인 확률 기준선이 됨</w:t>
            </w:r>
          </w:p>
        </w:tc>
        <w:tc>
          <w:tcPr>
            <w:tcW w:type="dxa" w:w="287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고정 범주 One-Hot Encoding 후 학습</w:t>
            </w:r>
          </w:p>
        </w:tc>
      </w:tr>
      <w:tr>
        <w:trPr>
          <w:cantSplit/>
        </w:trPr>
        <w:tc>
          <w:tcPr>
            <w:tcW w:type="dxa" w:w="18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MultinomialNB</w:t>
            </w:r>
          </w:p>
        </w:tc>
        <w:tc>
          <w:tcPr>
            <w:tcW w:type="dxa" w:w="53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범주와 승패가 함께 나타나는 빈도만으로 만들 수 있는 단순 확률 기준을 확인함. 복잡한 상호작용을 학습하는 모델과 다른 판단 방식을 제공함</w:t>
            </w:r>
          </w:p>
        </w:tc>
        <w:tc>
          <w:tcPr>
            <w:tcW w:type="dxa" w:w="287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고정 범주 One-Hot Encoding 후 학습</w:t>
            </w:r>
          </w:p>
        </w:tc>
      </w:tr>
      <w:tr>
        <w:trPr>
          <w:cantSplit/>
        </w:trPr>
        <w:tc>
          <w:tcPr>
            <w:tcW w:type="dxa" w:w="18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ExtraTrees</w:t>
            </w:r>
          </w:p>
        </w:tc>
        <w:tc>
          <w:tcPr>
            <w:tcW w:type="dxa" w:w="53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여러 무작위 트리를 사용해 범주 조합의 비선형 관계를 학습함. 선형 모델이 놓칠 수 있는 조건 조합을 확인함</w:t>
            </w:r>
          </w:p>
        </w:tc>
        <w:tc>
          <w:tcPr>
            <w:tcW w:type="dxa" w:w="287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고정 범주 One-Hot Encoding 후 학습</w:t>
            </w:r>
          </w:p>
        </w:tc>
      </w:tr>
      <w:tr>
        <w:trPr>
          <w:cantSplit/>
        </w:trPr>
        <w:tc>
          <w:tcPr>
            <w:tcW w:type="dxa" w:w="18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CatBoost</w:t>
            </w:r>
          </w:p>
        </w:tc>
        <w:tc>
          <w:tcPr>
            <w:tcW w:type="dxa" w:w="53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범주형 데이터를 직접 다루도록 설계됐으며, 원핫 변환 없이 범주와 범주 조합의 관계를 학습할 수 있음</w:t>
            </w:r>
          </w:p>
        </w:tc>
        <w:tc>
          <w:tcPr>
            <w:tcW w:type="dxa" w:w="287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13개 원본 범주형 컬럼 직접 처리</w:t>
            </w:r>
          </w:p>
        </w:tc>
      </w:tr>
      <w:tr>
        <w:trPr>
          <w:cantSplit/>
        </w:trPr>
        <w:tc>
          <w:tcPr>
            <w:tcW w:type="dxa" w:w="18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TabICL</w:t>
            </w:r>
          </w:p>
        </w:tc>
        <w:tc>
          <w:tcPr>
            <w:tcW w:type="dxa" w:w="53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사전학습된 표형 파운데이션 모델이 448건 규모의 작은 데이터에서 기존 ML보다 나은지 확인하기 위한 최신 계열 비교군임</w:t>
            </w:r>
          </w:p>
        </w:tc>
        <w:tc>
          <w:tcPr>
            <w:tcW w:type="dxa" w:w="287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13개 원본 범주형 컬럼 직접 처리, 실행 시 MPS 사용</w:t>
            </w:r>
          </w:p>
        </w:tc>
      </w:tr>
    </w:tbl>
    <w:p>
      <w:pPr>
        <w:widowControl/>
      </w:pPr>
      <w:r>
        <w:rPr>
          <w:rFonts w:ascii="Arial Unicode MS" w:hAnsi="Arial Unicode MS" w:eastAsia="Arial Unicode MS"/>
        </w:rPr>
        <w:t>LogisticRegression은 선형 모델, MultinomialNB는 빈도 기반 확률 모델, ExtraTrees는 배깅 트리, CatBoost는 범주형 부스팅, TabICL은 표형 파운데이션 모델을 대표한다. 입력을 사용하지 않고 Train의 평균 승률만 반환하는 Dummy 모델도 기준선으로 실행했지만, 실제 후보 5개에는 포함하지 않았다.</w:t>
      </w:r>
    </w:p>
    <w:p>
      <w:pPr>
        <w:widowControl/>
      </w:pPr>
      <w:r>
        <w:rPr>
          <w:rFonts w:ascii="Arial Unicode MS" w:hAnsi="Arial Unicode MS" w:eastAsia="Arial Unicode MS"/>
        </w:rPr>
        <w:t>One-Hot Encoding 결과는 39개 컬럼이다. 등록되지 않은 범주는 오류로 처리하며, 측정되지 않은 값은 명시적인 Unknown 범주를 사용한다.</w:t>
      </w:r>
    </w:p>
    <w:p>
      <w:pPr>
        <w:pStyle w:val="Heading2"/>
        <w:keepNext/>
        <w:widowControl/>
      </w:pPr>
      <w:r>
        <w:rPr>
          <w:rFonts w:ascii="Arial Unicode MS" w:hAnsi="Arial Unicode MS" w:eastAsia="Arial Unicode MS"/>
        </w:rPr>
        <w:t>3.2 Brier Score를 선택 기준으로 사용한 이유</w:t>
      </w:r>
    </w:p>
    <w:p>
      <w:pPr>
        <w:widowControl/>
      </w:pPr>
      <w:r>
        <w:rPr>
          <w:rFonts w:ascii="Arial Unicode MS" w:hAnsi="Arial Unicode MS" w:eastAsia="Arial Unicode MS"/>
        </w:rPr>
        <w:t>SalesLuv가 제공해야 하는 핵심 결과는 단순한 Won 또는 Lost 분류만이 아니라 Won일 확률이다. 이 확률은 거래 우선순위와 영업 파이프라인을 판단하는 데 사용되므로, 맞고 틀린 개수뿐 아니라 표시된 확률을 실제로 얼마나 믿을 수 있는지가 중요하다.</w:t>
      </w:r>
    </w:p>
    <w:p>
      <w:pPr>
        <w:widowControl/>
      </w:pPr>
      <w:r>
        <w:rPr>
          <w:rFonts w:ascii="Arial Unicode MS" w:hAnsi="Arial Unicode MS" w:eastAsia="Arial Unicode MS"/>
        </w:rPr>
        <w:t>Brier Score는 평균((Won 예측확률 - 실제 정답)^2)로 계산하며 낮을수록 좋다. 실제 정답은 Won=1, Lost=0을 사용한다. 예를 들어 실제로 Lost인 거래에 Won 확률을 0.9로 주면 오차는 0.81이고, 0.6으로 주면 0.36이다. 따라서 틀린 예측을 지나치게 확신할수록 더 큰 불이익을 준다. 모든 행의 확률을 평가하고, 실제 결과에 맞는 정직한 확률을 내도록 평가한다는 점에서 이번 서비스 목적과 맞는다.</w:t>
      </w:r>
    </w:p>
    <w:tbl>
      <w:tblPr>
        <w:tblW w:type="auto" w:w="0"/>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3326"/>
        <w:gridCol w:w="3326"/>
        <w:gridCol w:w="3326"/>
      </w:tblGrid>
      <w:tr>
        <w:trPr>
          <w:cantSplit/>
          <w:tblHeader w:val="true"/>
        </w:trPr>
        <w:tc>
          <w:tcPr>
            <w:tcW w:type="dxa" w:w="1750"/>
            <w:tcMar>
              <w:top w:w="70" w:type="dxa"/>
              <w:start w:w="100" w:type="dxa"/>
              <w:bottom w:w="70" w:type="dxa"/>
              <w:end w:w="100" w:type="dxa"/>
            </w:tcMar>
            <w:vAlign w:val="center"/>
            <w:shd w:fill="E8EEF5"/>
          </w:tcPr>
          <w:p>
            <w:pPr>
              <w:spacing w:before="0" w:after="0" w:line="240" w:lineRule="auto"/>
            </w:pPr>
            <w:r>
              <w:rPr>
                <w:rFonts w:ascii="Arial Unicode MS" w:hAnsi="Arial Unicode MS" w:eastAsia="Arial Unicode MS"/>
                <w:b/>
                <w:sz w:val="16"/>
              </w:rPr>
              <w:t>지표</w:t>
            </w:r>
          </w:p>
        </w:tc>
        <w:tc>
          <w:tcPr>
            <w:tcW w:type="dxa" w:w="3800"/>
            <w:tcMar>
              <w:top w:w="70" w:type="dxa"/>
              <w:start w:w="100" w:type="dxa"/>
              <w:bottom w:w="70" w:type="dxa"/>
              <w:end w:w="100" w:type="dxa"/>
            </w:tcMar>
            <w:vAlign w:val="center"/>
            <w:shd w:fill="E8EEF5"/>
          </w:tcPr>
          <w:p>
            <w:pPr>
              <w:spacing w:before="0" w:after="0" w:line="240" w:lineRule="auto"/>
            </w:pPr>
            <w:r>
              <w:rPr>
                <w:rFonts w:ascii="Arial Unicode MS" w:hAnsi="Arial Unicode MS" w:eastAsia="Arial Unicode MS"/>
                <w:b/>
                <w:sz w:val="16"/>
              </w:rPr>
              <w:t>확인하는 내용</w:t>
            </w:r>
          </w:p>
        </w:tc>
        <w:tc>
          <w:tcPr>
            <w:tcW w:type="dxa" w:w="4428"/>
            <w:tcMar>
              <w:top w:w="70" w:type="dxa"/>
              <w:start w:w="100" w:type="dxa"/>
              <w:bottom w:w="70" w:type="dxa"/>
              <w:end w:w="100" w:type="dxa"/>
            </w:tcMar>
            <w:vAlign w:val="center"/>
            <w:shd w:fill="E8EEF5"/>
          </w:tcPr>
          <w:p>
            <w:pPr>
              <w:spacing w:before="0" w:after="0" w:line="240" w:lineRule="auto"/>
            </w:pPr>
            <w:r>
              <w:rPr>
                <w:rFonts w:ascii="Arial Unicode MS" w:hAnsi="Arial Unicode MS" w:eastAsia="Arial Unicode MS"/>
                <w:b/>
                <w:sz w:val="16"/>
              </w:rPr>
              <w:t>이번 활용 방식</w:t>
            </w:r>
          </w:p>
        </w:tc>
      </w:tr>
      <w:tr>
        <w:trPr>
          <w:cantSplit/>
        </w:trPr>
        <w:tc>
          <w:tcPr>
            <w:tcW w:type="dxa" w:w="175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Brier Score</w:t>
            </w:r>
          </w:p>
        </w:tc>
        <w:tc>
          <w:tcPr>
            <w:tcW w:type="dxa" w:w="38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예측 확률과 실제 결과의 차이</w:t>
            </w:r>
          </w:p>
        </w:tc>
        <w:tc>
          <w:tcPr>
            <w:tcW w:type="dxa" w:w="442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모델·하이퍼파라미터의 주 선택 기준</w:t>
            </w:r>
          </w:p>
        </w:tc>
      </w:tr>
      <w:tr>
        <w:trPr>
          <w:cantSplit/>
        </w:trPr>
        <w:tc>
          <w:tcPr>
            <w:tcW w:type="dxa" w:w="175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ROC-AUC</w:t>
            </w:r>
          </w:p>
        </w:tc>
        <w:tc>
          <w:tcPr>
            <w:tcW w:type="dxa" w:w="38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Won 거래가 Lost 거래보다 높은 점수를 받는지</w:t>
            </w:r>
          </w:p>
        </w:tc>
        <w:tc>
          <w:tcPr>
            <w:tcW w:type="dxa" w:w="442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거래 순위 구분 능력 확인</w:t>
            </w:r>
          </w:p>
        </w:tc>
      </w:tr>
      <w:tr>
        <w:trPr>
          <w:cantSplit/>
        </w:trPr>
        <w:tc>
          <w:tcPr>
            <w:tcW w:type="dxa" w:w="175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Accuracy·F1</w:t>
            </w:r>
          </w:p>
        </w:tc>
        <w:tc>
          <w:tcPr>
            <w:tcW w:type="dxa" w:w="38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임계값 적용 후 최종 분류가 얼마나 맞는지</w:t>
            </w:r>
          </w:p>
        </w:tc>
        <w:tc>
          <w:tcPr>
            <w:tcW w:type="dxa" w:w="442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분류 성능 보조 확인</w:t>
            </w:r>
          </w:p>
        </w:tc>
      </w:tr>
      <w:tr>
        <w:trPr>
          <w:cantSplit/>
        </w:trPr>
        <w:tc>
          <w:tcPr>
            <w:tcW w:type="dxa" w:w="175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Precision·Recall</w:t>
            </w:r>
          </w:p>
        </w:tc>
        <w:tc>
          <w:tcPr>
            <w:tcW w:type="dxa" w:w="38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Won 예측의 신뢰도와 실제 Won 탐지 비율</w:t>
            </w:r>
          </w:p>
        </w:tc>
        <w:tc>
          <w:tcPr>
            <w:tcW w:type="dxa" w:w="442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한쪽 오류로 치우치는지 확인</w:t>
            </w:r>
          </w:p>
        </w:tc>
      </w:tr>
      <w:tr>
        <w:trPr>
          <w:cantSplit/>
        </w:trPr>
        <w:tc>
          <w:tcPr>
            <w:tcW w:type="dxa" w:w="175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FP·FN</w:t>
            </w:r>
          </w:p>
        </w:tc>
        <w:tc>
          <w:tcPr>
            <w:tcW w:type="dxa" w:w="38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어떤 종류의 업무상 오류가 발생했는지</w:t>
            </w:r>
          </w:p>
        </w:tc>
        <w:tc>
          <w:tcPr>
            <w:tcW w:type="dxa" w:w="442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영업 위험과 임계값 판단에 사용</w:t>
            </w:r>
          </w:p>
        </w:tc>
      </w:tr>
    </w:tbl>
    <w:p>
      <w:pPr>
        <w:widowControl/>
      </w:pPr>
      <w:r>
        <w:rPr>
          <w:rFonts w:ascii="Arial Unicode MS" w:hAnsi="Arial Unicode MS" w:eastAsia="Arial Unicode MS"/>
        </w:rPr>
        <w:t>Accuracy와 F1은 확률을 Won 또는 Lost로 바꾸는 임계값에 따라 달라지고, ROC-AUC는 거래의 순서는 평가하지만 0.8이라는 확률 자체가 믿을 만한지는 평가하지 않는다. 그래서 튜닝과 모델 선택은 CV Brier Score를 중심으로 진행하고, AUC·Accuracy·F1·FP·FN을 함께 확인했다. Brier는 모든 모델이 학습 과정에서 직접 최소화한 공통 손실함수가 아니라, 학습된 후보 중 어떤 모델과 파라미터를 선택할지 정한 평가 기준이다.</w:t>
      </w:r>
    </w:p>
    <w:p>
      <w:pPr>
        <w:pStyle w:val="Heading2"/>
        <w:keepNext/>
        <w:widowControl/>
      </w:pPr>
      <w:r>
        <w:rPr>
          <w:rFonts w:ascii="Arial Unicode MS" w:hAnsi="Arial Unicode MS" w:eastAsia="Arial Unicode MS"/>
        </w:rPr>
        <w:t>3.3 3단계 개별 모델 튜닝</w:t>
      </w:r>
    </w:p>
    <w:p>
      <w:pPr>
        <w:widowControl/>
      </w:pPr>
      <w:r>
        <w:rPr>
          <w:rFonts w:ascii="Arial Unicode MS" w:hAnsi="Arial Unicode MS" w:eastAsia="Arial Unicode MS"/>
        </w:rPr>
        <w:t>각 모델의 하이퍼파라미터 조합을 교차검증하고 평균 Brier Score가 가장 낮은 조합을 선택했다.</w:t>
      </w:r>
    </w:p>
    <w:tbl>
      <w:tblPr>
        <w:tblW w:type="auto" w:w="0"/>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3326"/>
        <w:gridCol w:w="3326"/>
        <w:gridCol w:w="3326"/>
      </w:tblGrid>
      <w:tr>
        <w:trPr>
          <w:cantSplit/>
          <w:tblHeader w:val="true"/>
        </w:trPr>
        <w:tc>
          <w:tcPr>
            <w:tcW w:type="dxa" w:w="2200"/>
            <w:tcMar>
              <w:top w:w="70" w:type="dxa"/>
              <w:start w:w="100" w:type="dxa"/>
              <w:bottom w:w="70" w:type="dxa"/>
              <w:end w:w="100" w:type="dxa"/>
            </w:tcMar>
            <w:vAlign w:val="center"/>
            <w:shd w:fill="E8EEF5"/>
          </w:tcPr>
          <w:p>
            <w:pPr>
              <w:spacing w:before="0" w:after="0" w:line="240" w:lineRule="auto"/>
            </w:pPr>
            <w:r>
              <w:rPr>
                <w:rFonts w:ascii="Arial Unicode MS" w:hAnsi="Arial Unicode MS" w:eastAsia="Arial Unicode MS"/>
                <w:b/>
                <w:sz w:val="16"/>
              </w:rPr>
              <w:t>순위</w:t>
            </w:r>
          </w:p>
        </w:tc>
        <w:tc>
          <w:tcPr>
            <w:tcW w:type="dxa" w:w="3000"/>
            <w:tcMar>
              <w:top w:w="70" w:type="dxa"/>
              <w:start w:w="100" w:type="dxa"/>
              <w:bottom w:w="70" w:type="dxa"/>
              <w:end w:w="100" w:type="dxa"/>
            </w:tcMar>
            <w:vAlign w:val="center"/>
            <w:shd w:fill="E8EEF5"/>
          </w:tcPr>
          <w:p>
            <w:pPr>
              <w:spacing w:before="0" w:after="0" w:line="240" w:lineRule="auto"/>
            </w:pPr>
            <w:r>
              <w:rPr>
                <w:rFonts w:ascii="Arial Unicode MS" w:hAnsi="Arial Unicode MS" w:eastAsia="Arial Unicode MS"/>
                <w:b/>
                <w:sz w:val="16"/>
              </w:rPr>
              <w:t>모델</w:t>
            </w:r>
          </w:p>
        </w:tc>
        <w:tc>
          <w:tcPr>
            <w:tcW w:type="dxa" w:w="4778"/>
            <w:tcMar>
              <w:top w:w="70" w:type="dxa"/>
              <w:start w:w="100" w:type="dxa"/>
              <w:bottom w:w="70" w:type="dxa"/>
              <w:end w:w="100" w:type="dxa"/>
            </w:tcMar>
            <w:vAlign w:val="center"/>
            <w:shd w:fill="E8EEF5"/>
          </w:tcPr>
          <w:p>
            <w:pPr>
              <w:spacing w:before="0" w:after="0" w:line="240" w:lineRule="auto"/>
            </w:pPr>
            <w:r>
              <w:rPr>
                <w:rFonts w:ascii="Arial Unicode MS" w:hAnsi="Arial Unicode MS" w:eastAsia="Arial Unicode MS"/>
                <w:b/>
                <w:sz w:val="16"/>
              </w:rPr>
              <w:t>CV Brier ↓</w:t>
            </w:r>
          </w:p>
        </w:tc>
      </w:tr>
      <w:tr>
        <w:trPr>
          <w:cantSplit/>
        </w:trPr>
        <w:tc>
          <w:tcPr>
            <w:tcW w:type="dxa" w:w="22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1</w:t>
            </w:r>
          </w:p>
        </w:tc>
        <w:tc>
          <w:tcPr>
            <w:tcW w:type="dxa" w:w="30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CatBoost</w:t>
            </w:r>
          </w:p>
        </w:tc>
        <w:tc>
          <w:tcPr>
            <w:tcW w:type="dxa" w:w="477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0.194832</w:t>
            </w:r>
          </w:p>
        </w:tc>
      </w:tr>
      <w:tr>
        <w:trPr>
          <w:cantSplit/>
        </w:trPr>
        <w:tc>
          <w:tcPr>
            <w:tcW w:type="dxa" w:w="22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2</w:t>
            </w:r>
          </w:p>
        </w:tc>
        <w:tc>
          <w:tcPr>
            <w:tcW w:type="dxa" w:w="30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LogisticRegression</w:t>
            </w:r>
          </w:p>
        </w:tc>
        <w:tc>
          <w:tcPr>
            <w:tcW w:type="dxa" w:w="477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0.197362</w:t>
            </w:r>
          </w:p>
        </w:tc>
      </w:tr>
      <w:tr>
        <w:trPr>
          <w:cantSplit/>
        </w:trPr>
        <w:tc>
          <w:tcPr>
            <w:tcW w:type="dxa" w:w="22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3</w:t>
            </w:r>
          </w:p>
        </w:tc>
        <w:tc>
          <w:tcPr>
            <w:tcW w:type="dxa" w:w="30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MultinomialNB</w:t>
            </w:r>
          </w:p>
        </w:tc>
        <w:tc>
          <w:tcPr>
            <w:tcW w:type="dxa" w:w="477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0.198054</w:t>
            </w:r>
          </w:p>
        </w:tc>
      </w:tr>
      <w:tr>
        <w:trPr>
          <w:cantSplit/>
        </w:trPr>
        <w:tc>
          <w:tcPr>
            <w:tcW w:type="dxa" w:w="22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4</w:t>
            </w:r>
          </w:p>
        </w:tc>
        <w:tc>
          <w:tcPr>
            <w:tcW w:type="dxa" w:w="30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ExtraTrees</w:t>
            </w:r>
          </w:p>
        </w:tc>
        <w:tc>
          <w:tcPr>
            <w:tcW w:type="dxa" w:w="477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0.198232</w:t>
            </w:r>
          </w:p>
        </w:tc>
      </w:tr>
      <w:tr>
        <w:trPr>
          <w:cantSplit/>
        </w:trPr>
        <w:tc>
          <w:tcPr>
            <w:tcW w:type="dxa" w:w="22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5</w:t>
            </w:r>
          </w:p>
        </w:tc>
        <w:tc>
          <w:tcPr>
            <w:tcW w:type="dxa" w:w="3000"/>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TabICL</w:t>
            </w:r>
          </w:p>
        </w:tc>
        <w:tc>
          <w:tcPr>
            <w:tcW w:type="dxa" w:w="477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6"/>
              </w:rPr>
              <w:t>0.213916</w:t>
            </w:r>
          </w:p>
        </w:tc>
      </w:tr>
    </w:tbl>
    <w:p>
      <w:pPr>
        <w:pStyle w:val="Heading2"/>
        <w:keepNext/>
        <w:widowControl/>
      </w:pPr>
      <w:r>
        <w:rPr>
          <w:rFonts w:ascii="Arial Unicode MS" w:hAnsi="Arial Unicode MS" w:eastAsia="Arial Unicode MS"/>
        </w:rPr>
        <w:t>3.4 4단계 앙상블 비교</w:t>
      </w:r>
    </w:p>
    <w:p>
      <w:pPr>
        <w:widowControl/>
      </w:pPr>
      <w:r>
        <w:rPr>
          <w:rFonts w:ascii="Arial Unicode MS" w:hAnsi="Arial Unicode MS" w:eastAsia="Arial Unicode MS"/>
        </w:rPr>
        <w:t>3단계 최적 파라미터를 고정하고 5-Fold Stratified Group CV를 세 개 시드로 반복했다. Stacking과 Greedy Ensemble Selection의 결합 학습에는 각 바깥 Train 안에서 만든 3-Fold OOF 확률을 사용했다.</w:t>
      </w:r>
    </w:p>
    <w:tbl>
      <w:tblPr>
        <w:tblW w:type="auto" w:w="0"/>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1996"/>
        <w:gridCol w:w="1996"/>
        <w:gridCol w:w="1996"/>
        <w:gridCol w:w="1996"/>
        <w:gridCol w:w="1996"/>
      </w:tblGrid>
      <w:tr>
        <w:trPr>
          <w:cantSplit/>
          <w:tblHeader w:val="true"/>
        </w:trPr>
        <w:tc>
          <w:tcPr>
            <w:tcW w:type="dxa" w:w="1995"/>
            <w:tcMar>
              <w:top w:w="70" w:type="dxa"/>
              <w:start w:w="100" w:type="dxa"/>
              <w:bottom w:w="70" w:type="dxa"/>
              <w:end w:w="100" w:type="dxa"/>
            </w:tcMar>
            <w:vAlign w:val="center"/>
            <w:shd w:fill="E8EEF5"/>
          </w:tcPr>
          <w:p>
            <w:pPr>
              <w:spacing w:before="0" w:after="0" w:line="240" w:lineRule="auto"/>
            </w:pPr>
            <w:r>
              <w:rPr>
                <w:rFonts w:ascii="Arial Unicode MS" w:hAnsi="Arial Unicode MS" w:eastAsia="Arial Unicode MS"/>
                <w:b/>
                <w:sz w:val="15"/>
              </w:rPr>
              <w:t>후보</w:t>
            </w:r>
          </w:p>
        </w:tc>
        <w:tc>
          <w:tcPr>
            <w:tcW w:type="dxa" w:w="1995"/>
            <w:tcMar>
              <w:top w:w="70" w:type="dxa"/>
              <w:start w:w="100" w:type="dxa"/>
              <w:bottom w:w="70" w:type="dxa"/>
              <w:end w:w="100" w:type="dxa"/>
            </w:tcMar>
            <w:vAlign w:val="center"/>
            <w:shd w:fill="E8EEF5"/>
          </w:tcPr>
          <w:p>
            <w:pPr>
              <w:spacing w:before="0" w:after="0" w:line="240" w:lineRule="auto"/>
            </w:pPr>
            <w:r>
              <w:rPr>
                <w:rFonts w:ascii="Arial Unicode MS" w:hAnsi="Arial Unicode MS" w:eastAsia="Arial Unicode MS"/>
                <w:b/>
                <w:sz w:val="15"/>
              </w:rPr>
              <w:t>CV Brier ↓</w:t>
            </w:r>
          </w:p>
        </w:tc>
        <w:tc>
          <w:tcPr>
            <w:tcW w:type="dxa" w:w="1995"/>
            <w:tcMar>
              <w:top w:w="70" w:type="dxa"/>
              <w:start w:w="100" w:type="dxa"/>
              <w:bottom w:w="70" w:type="dxa"/>
              <w:end w:w="100" w:type="dxa"/>
            </w:tcMar>
            <w:vAlign w:val="center"/>
            <w:shd w:fill="E8EEF5"/>
          </w:tcPr>
          <w:p>
            <w:pPr>
              <w:spacing w:before="0" w:after="0" w:line="240" w:lineRule="auto"/>
            </w:pPr>
            <w:r>
              <w:rPr>
                <w:rFonts w:ascii="Arial Unicode MS" w:hAnsi="Arial Unicode MS" w:eastAsia="Arial Unicode MS"/>
                <w:b/>
                <w:sz w:val="15"/>
              </w:rPr>
              <w:t>CV AUC ↑</w:t>
            </w:r>
          </w:p>
        </w:tc>
        <w:tc>
          <w:tcPr>
            <w:tcW w:type="dxa" w:w="1995"/>
            <w:tcMar>
              <w:top w:w="70" w:type="dxa"/>
              <w:start w:w="100" w:type="dxa"/>
              <w:bottom w:w="70" w:type="dxa"/>
              <w:end w:w="100" w:type="dxa"/>
            </w:tcMar>
            <w:vAlign w:val="center"/>
            <w:shd w:fill="E8EEF5"/>
          </w:tcPr>
          <w:p>
            <w:pPr>
              <w:spacing w:before="0" w:after="0" w:line="240" w:lineRule="auto"/>
            </w:pPr>
            <w:r>
              <w:rPr>
                <w:rFonts w:ascii="Arial Unicode MS" w:hAnsi="Arial Unicode MS" w:eastAsia="Arial Unicode MS"/>
                <w:b/>
                <w:sz w:val="15"/>
              </w:rPr>
              <w:t>CV Acc. ↑</w:t>
            </w:r>
          </w:p>
        </w:tc>
        <w:tc>
          <w:tcPr>
            <w:tcW w:type="dxa" w:w="1998"/>
            <w:tcMar>
              <w:top w:w="70" w:type="dxa"/>
              <w:start w:w="100" w:type="dxa"/>
              <w:bottom w:w="70" w:type="dxa"/>
              <w:end w:w="100" w:type="dxa"/>
            </w:tcMar>
            <w:vAlign w:val="center"/>
            <w:shd w:fill="E8EEF5"/>
          </w:tcPr>
          <w:p>
            <w:pPr>
              <w:spacing w:before="0" w:after="0" w:line="240" w:lineRule="auto"/>
            </w:pPr>
            <w:r>
              <w:rPr>
                <w:rFonts w:ascii="Arial Unicode MS" w:hAnsi="Arial Unicode MS" w:eastAsia="Arial Unicode MS"/>
                <w:b/>
                <w:sz w:val="15"/>
              </w:rPr>
              <w:t>CV F1 ↑</w:t>
            </w:r>
          </w:p>
        </w:tc>
      </w:tr>
      <w:tr>
        <w:trPr>
          <w:cantSplit/>
        </w:trPr>
        <w:tc>
          <w:tcPr>
            <w:tcW w:type="dxa" w:w="1995"/>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Stacking_LR</w:t>
            </w:r>
          </w:p>
        </w:tc>
        <w:tc>
          <w:tcPr>
            <w:tcW w:type="dxa" w:w="1995"/>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0.194406</w:t>
            </w:r>
          </w:p>
        </w:tc>
        <w:tc>
          <w:tcPr>
            <w:tcW w:type="dxa" w:w="1995"/>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0.766326</w:t>
            </w:r>
          </w:p>
        </w:tc>
        <w:tc>
          <w:tcPr>
            <w:tcW w:type="dxa" w:w="1995"/>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0.720873</w:t>
            </w:r>
          </w:p>
        </w:tc>
        <w:tc>
          <w:tcPr>
            <w:tcW w:type="dxa" w:w="199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0.745072</w:t>
            </w:r>
          </w:p>
        </w:tc>
      </w:tr>
      <w:tr>
        <w:trPr>
          <w:cantSplit/>
        </w:trPr>
        <w:tc>
          <w:tcPr>
            <w:tcW w:type="dxa" w:w="1995"/>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SoftVoting_All</w:t>
            </w:r>
          </w:p>
        </w:tc>
        <w:tc>
          <w:tcPr>
            <w:tcW w:type="dxa" w:w="1995"/>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0.194633</w:t>
            </w:r>
          </w:p>
        </w:tc>
        <w:tc>
          <w:tcPr>
            <w:tcW w:type="dxa" w:w="1995"/>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0.767950</w:t>
            </w:r>
          </w:p>
        </w:tc>
        <w:tc>
          <w:tcPr>
            <w:tcW w:type="dxa" w:w="1995"/>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0.722577</w:t>
            </w:r>
          </w:p>
        </w:tc>
        <w:tc>
          <w:tcPr>
            <w:tcW w:type="dxa" w:w="199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0.748789</w:t>
            </w:r>
          </w:p>
        </w:tc>
      </w:tr>
      <w:tr>
        <w:trPr>
          <w:cantSplit/>
        </w:trPr>
        <w:tc>
          <w:tcPr>
            <w:tcW w:type="dxa" w:w="1995"/>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CatBoost</w:t>
            </w:r>
          </w:p>
        </w:tc>
        <w:tc>
          <w:tcPr>
            <w:tcW w:type="dxa" w:w="1995"/>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0.194730</w:t>
            </w:r>
          </w:p>
        </w:tc>
        <w:tc>
          <w:tcPr>
            <w:tcW w:type="dxa" w:w="1995"/>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0.766774</w:t>
            </w:r>
          </w:p>
        </w:tc>
        <w:tc>
          <w:tcPr>
            <w:tcW w:type="dxa" w:w="1995"/>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0.723855</w:t>
            </w:r>
          </w:p>
        </w:tc>
        <w:tc>
          <w:tcPr>
            <w:tcW w:type="dxa" w:w="199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0.749255</w:t>
            </w:r>
          </w:p>
        </w:tc>
      </w:tr>
      <w:tr>
        <w:trPr>
          <w:cantSplit/>
        </w:trPr>
        <w:tc>
          <w:tcPr>
            <w:tcW w:type="dxa" w:w="1995"/>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GES_25</w:t>
            </w:r>
          </w:p>
        </w:tc>
        <w:tc>
          <w:tcPr>
            <w:tcW w:type="dxa" w:w="1995"/>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0.195123</w:t>
            </w:r>
          </w:p>
        </w:tc>
        <w:tc>
          <w:tcPr>
            <w:tcW w:type="dxa" w:w="1995"/>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0.766453</w:t>
            </w:r>
          </w:p>
        </w:tc>
        <w:tc>
          <w:tcPr>
            <w:tcW w:type="dxa" w:w="1995"/>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0.720660</w:t>
            </w:r>
          </w:p>
        </w:tc>
        <w:tc>
          <w:tcPr>
            <w:tcW w:type="dxa" w:w="199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0.749682</w:t>
            </w:r>
          </w:p>
        </w:tc>
      </w:tr>
      <w:tr>
        <w:trPr>
          <w:cantSplit/>
        </w:trPr>
        <w:tc>
          <w:tcPr>
            <w:tcW w:type="dxa" w:w="1995"/>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LogisticRegression</w:t>
            </w:r>
          </w:p>
        </w:tc>
        <w:tc>
          <w:tcPr>
            <w:tcW w:type="dxa" w:w="1995"/>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0.196919</w:t>
            </w:r>
          </w:p>
        </w:tc>
        <w:tc>
          <w:tcPr>
            <w:tcW w:type="dxa" w:w="1995"/>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0.762328</w:t>
            </w:r>
          </w:p>
        </w:tc>
        <w:tc>
          <w:tcPr>
            <w:tcW w:type="dxa" w:w="1995"/>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0.720021</w:t>
            </w:r>
          </w:p>
        </w:tc>
        <w:tc>
          <w:tcPr>
            <w:tcW w:type="dxa" w:w="199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0.742750</w:t>
            </w:r>
          </w:p>
        </w:tc>
      </w:tr>
      <w:tr>
        <w:trPr>
          <w:cantSplit/>
        </w:trPr>
        <w:tc>
          <w:tcPr>
            <w:tcW w:type="dxa" w:w="1995"/>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MultinomialNB</w:t>
            </w:r>
          </w:p>
        </w:tc>
        <w:tc>
          <w:tcPr>
            <w:tcW w:type="dxa" w:w="1995"/>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0.196940</w:t>
            </w:r>
          </w:p>
        </w:tc>
        <w:tc>
          <w:tcPr>
            <w:tcW w:type="dxa" w:w="1995"/>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0.757841</w:t>
            </w:r>
          </w:p>
        </w:tc>
        <w:tc>
          <w:tcPr>
            <w:tcW w:type="dxa" w:w="1995"/>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0.715868</w:t>
            </w:r>
          </w:p>
        </w:tc>
        <w:tc>
          <w:tcPr>
            <w:tcW w:type="dxa" w:w="199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0.746959</w:t>
            </w:r>
          </w:p>
        </w:tc>
      </w:tr>
      <w:tr>
        <w:trPr>
          <w:cantSplit/>
        </w:trPr>
        <w:tc>
          <w:tcPr>
            <w:tcW w:type="dxa" w:w="1995"/>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ExtraTrees</w:t>
            </w:r>
          </w:p>
        </w:tc>
        <w:tc>
          <w:tcPr>
            <w:tcW w:type="dxa" w:w="1995"/>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0.197144</w:t>
            </w:r>
          </w:p>
        </w:tc>
        <w:tc>
          <w:tcPr>
            <w:tcW w:type="dxa" w:w="1995"/>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0.762715</w:t>
            </w:r>
          </w:p>
        </w:tc>
        <w:tc>
          <w:tcPr>
            <w:tcW w:type="dxa" w:w="1995"/>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0.722258</w:t>
            </w:r>
          </w:p>
        </w:tc>
        <w:tc>
          <w:tcPr>
            <w:tcW w:type="dxa" w:w="199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0.748857</w:t>
            </w:r>
          </w:p>
        </w:tc>
      </w:tr>
      <w:tr>
        <w:trPr>
          <w:cantSplit/>
        </w:trPr>
        <w:tc>
          <w:tcPr>
            <w:tcW w:type="dxa" w:w="1995"/>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TabICL</w:t>
            </w:r>
          </w:p>
        </w:tc>
        <w:tc>
          <w:tcPr>
            <w:tcW w:type="dxa" w:w="1995"/>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0.210237</w:t>
            </w:r>
          </w:p>
        </w:tc>
        <w:tc>
          <w:tcPr>
            <w:tcW w:type="dxa" w:w="1995"/>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0.742070</w:t>
            </w:r>
          </w:p>
        </w:tc>
        <w:tc>
          <w:tcPr>
            <w:tcW w:type="dxa" w:w="1995"/>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0.701704</w:t>
            </w:r>
          </w:p>
        </w:tc>
        <w:tc>
          <w:tcPr>
            <w:tcW w:type="dxa" w:w="1998"/>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0.723962</w:t>
            </w:r>
          </w:p>
        </w:tc>
      </w:tr>
    </w:tbl>
    <w:tbl>
      <w:tblPr>
        <w:tblW w:type="auto" w:w="0"/>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1663"/>
        <w:gridCol w:w="1663"/>
        <w:gridCol w:w="1663"/>
        <w:gridCol w:w="1663"/>
        <w:gridCol w:w="1663"/>
        <w:gridCol w:w="1663"/>
      </w:tblGrid>
      <w:tr>
        <w:trPr>
          <w:cantSplit/>
          <w:tblHeader w:val="true"/>
        </w:trPr>
        <w:tc>
          <w:tcPr>
            <w:tcW w:type="dxa" w:w="1663"/>
            <w:tcMar>
              <w:top w:w="70" w:type="dxa"/>
              <w:start w:w="100" w:type="dxa"/>
              <w:bottom w:w="70" w:type="dxa"/>
              <w:end w:w="100" w:type="dxa"/>
            </w:tcMar>
            <w:vAlign w:val="center"/>
            <w:shd w:fill="E8EEF5"/>
          </w:tcPr>
          <w:p>
            <w:pPr>
              <w:spacing w:before="0" w:after="0" w:line="240" w:lineRule="auto"/>
            </w:pPr>
            <w:r>
              <w:rPr>
                <w:rFonts w:ascii="Arial Unicode MS" w:hAnsi="Arial Unicode MS" w:eastAsia="Arial Unicode MS"/>
                <w:b/>
                <w:sz w:val="15"/>
              </w:rPr>
              <w:t>후보</w:t>
            </w:r>
          </w:p>
        </w:tc>
        <w:tc>
          <w:tcPr>
            <w:tcW w:type="dxa" w:w="1663"/>
            <w:tcMar>
              <w:top w:w="70" w:type="dxa"/>
              <w:start w:w="100" w:type="dxa"/>
              <w:bottom w:w="70" w:type="dxa"/>
              <w:end w:w="100" w:type="dxa"/>
            </w:tcMar>
            <w:vAlign w:val="center"/>
            <w:shd w:fill="E8EEF5"/>
          </w:tcPr>
          <w:p>
            <w:pPr>
              <w:spacing w:before="0" w:after="0" w:line="240" w:lineRule="auto"/>
            </w:pPr>
            <w:r>
              <w:rPr>
                <w:rFonts w:ascii="Arial Unicode MS" w:hAnsi="Arial Unicode MS" w:eastAsia="Arial Unicode MS"/>
                <w:b/>
                <w:sz w:val="15"/>
              </w:rPr>
              <w:t>Test Brier ↓</w:t>
            </w:r>
          </w:p>
        </w:tc>
        <w:tc>
          <w:tcPr>
            <w:tcW w:type="dxa" w:w="1663"/>
            <w:tcMar>
              <w:top w:w="70" w:type="dxa"/>
              <w:start w:w="100" w:type="dxa"/>
              <w:bottom w:w="70" w:type="dxa"/>
              <w:end w:w="100" w:type="dxa"/>
            </w:tcMar>
            <w:vAlign w:val="center"/>
            <w:shd w:fill="E8EEF5"/>
          </w:tcPr>
          <w:p>
            <w:pPr>
              <w:spacing w:before="0" w:after="0" w:line="240" w:lineRule="auto"/>
            </w:pPr>
            <w:r>
              <w:rPr>
                <w:rFonts w:ascii="Arial Unicode MS" w:hAnsi="Arial Unicode MS" w:eastAsia="Arial Unicode MS"/>
                <w:b/>
                <w:sz w:val="15"/>
              </w:rPr>
              <w:t>Test AUC ↑</w:t>
            </w:r>
          </w:p>
        </w:tc>
        <w:tc>
          <w:tcPr>
            <w:tcW w:type="dxa" w:w="1663"/>
            <w:tcMar>
              <w:top w:w="70" w:type="dxa"/>
              <w:start w:w="100" w:type="dxa"/>
              <w:bottom w:w="70" w:type="dxa"/>
              <w:end w:w="100" w:type="dxa"/>
            </w:tcMar>
            <w:vAlign w:val="center"/>
            <w:shd w:fill="E8EEF5"/>
          </w:tcPr>
          <w:p>
            <w:pPr>
              <w:spacing w:before="0" w:after="0" w:line="240" w:lineRule="auto"/>
            </w:pPr>
            <w:r>
              <w:rPr>
                <w:rFonts w:ascii="Arial Unicode MS" w:hAnsi="Arial Unicode MS" w:eastAsia="Arial Unicode MS"/>
                <w:b/>
                <w:sz w:val="15"/>
              </w:rPr>
              <w:t>Test Acc. ↑</w:t>
            </w:r>
          </w:p>
        </w:tc>
        <w:tc>
          <w:tcPr>
            <w:tcW w:type="dxa" w:w="1663"/>
            <w:tcMar>
              <w:top w:w="70" w:type="dxa"/>
              <w:start w:w="100" w:type="dxa"/>
              <w:bottom w:w="70" w:type="dxa"/>
              <w:end w:w="100" w:type="dxa"/>
            </w:tcMar>
            <w:vAlign w:val="center"/>
            <w:shd w:fill="E8EEF5"/>
          </w:tcPr>
          <w:p>
            <w:pPr>
              <w:spacing w:before="0" w:after="0" w:line="240" w:lineRule="auto"/>
            </w:pPr>
            <w:r>
              <w:rPr>
                <w:rFonts w:ascii="Arial Unicode MS" w:hAnsi="Arial Unicode MS" w:eastAsia="Arial Unicode MS"/>
                <w:b/>
                <w:sz w:val="15"/>
              </w:rPr>
              <w:t>Test F1 ↑</w:t>
            </w:r>
          </w:p>
        </w:tc>
        <w:tc>
          <w:tcPr>
            <w:tcW w:type="dxa" w:w="1663"/>
            <w:tcMar>
              <w:top w:w="70" w:type="dxa"/>
              <w:start w:w="100" w:type="dxa"/>
              <w:bottom w:w="70" w:type="dxa"/>
              <w:end w:w="100" w:type="dxa"/>
            </w:tcMar>
            <w:vAlign w:val="center"/>
            <w:shd w:fill="E8EEF5"/>
          </w:tcPr>
          <w:p>
            <w:pPr>
              <w:spacing w:before="0" w:after="0" w:line="240" w:lineRule="auto"/>
            </w:pPr>
            <w:r>
              <w:rPr>
                <w:rFonts w:ascii="Arial Unicode MS" w:hAnsi="Arial Unicode MS" w:eastAsia="Arial Unicode MS"/>
                <w:b/>
                <w:sz w:val="15"/>
              </w:rPr>
              <w:t>FP / FN</w:t>
            </w:r>
          </w:p>
        </w:tc>
      </w:tr>
      <w:tr>
        <w:trPr>
          <w:cantSplit/>
        </w:trPr>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Stacking_LR</w:t>
            </w:r>
          </w:p>
        </w:tc>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0.179131</w:t>
            </w:r>
          </w:p>
        </w:tc>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0.817164</w:t>
            </w:r>
          </w:p>
        </w:tc>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0.734074</w:t>
            </w:r>
          </w:p>
        </w:tc>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0.745083</w:t>
            </w:r>
          </w:p>
        </w:tc>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20.4 / 15.5</w:t>
            </w:r>
          </w:p>
        </w:tc>
      </w:tr>
      <w:tr>
        <w:trPr>
          <w:cantSplit/>
        </w:trPr>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SoftVoting_All</w:t>
            </w:r>
          </w:p>
        </w:tc>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0.177875</w:t>
            </w:r>
          </w:p>
        </w:tc>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0.819557</w:t>
            </w:r>
          </w:p>
        </w:tc>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0.740741</w:t>
            </w:r>
          </w:p>
        </w:tc>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0.754755</w:t>
            </w:r>
          </w:p>
        </w:tc>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20.9 / 14.1</w:t>
            </w:r>
          </w:p>
        </w:tc>
      </w:tr>
      <w:tr>
        <w:trPr>
          <w:cantSplit/>
        </w:trPr>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CatBoost</w:t>
            </w:r>
          </w:p>
        </w:tc>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0.186809</w:t>
            </w:r>
          </w:p>
        </w:tc>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0.790222</w:t>
            </w:r>
          </w:p>
        </w:tc>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0.740741</w:t>
            </w:r>
          </w:p>
        </w:tc>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0.766377</w:t>
            </w:r>
          </w:p>
        </w:tc>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24.4 / 10.6</w:t>
            </w:r>
          </w:p>
        </w:tc>
      </w:tr>
      <w:tr>
        <w:trPr>
          <w:cantSplit/>
        </w:trPr>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GES_25</w:t>
            </w:r>
          </w:p>
        </w:tc>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0.180980</w:t>
            </w:r>
          </w:p>
        </w:tc>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0.806212</w:t>
            </w:r>
          </w:p>
        </w:tc>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0.740741</w:t>
            </w:r>
          </w:p>
        </w:tc>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0.762161</w:t>
            </w:r>
          </w:p>
        </w:tc>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23.1 / 11.9</w:t>
            </w:r>
          </w:p>
        </w:tc>
      </w:tr>
      <w:tr>
        <w:trPr>
          <w:cantSplit/>
        </w:trPr>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LogisticRegression</w:t>
            </w:r>
          </w:p>
        </w:tc>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0.185205</w:t>
            </w:r>
          </w:p>
        </w:tc>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0.806080</w:t>
            </w:r>
          </w:p>
        </w:tc>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0.713333</w:t>
            </w:r>
          </w:p>
        </w:tc>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0.703239</w:t>
            </w:r>
          </w:p>
        </w:tc>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16.5 / 22.2</w:t>
            </w:r>
          </w:p>
        </w:tc>
      </w:tr>
      <w:tr>
        <w:trPr>
          <w:cantSplit/>
        </w:trPr>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MultinomialNB</w:t>
            </w:r>
          </w:p>
        </w:tc>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0.181453</w:t>
            </w:r>
          </w:p>
        </w:tc>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0.800373</w:t>
            </w:r>
          </w:p>
        </w:tc>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0.721481</w:t>
            </w:r>
          </w:p>
        </w:tc>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0.725737</w:t>
            </w:r>
          </w:p>
        </w:tc>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19.4 / 18.2</w:t>
            </w:r>
          </w:p>
        </w:tc>
      </w:tr>
      <w:tr>
        <w:trPr>
          <w:cantSplit/>
        </w:trPr>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ExtraTrees</w:t>
            </w:r>
          </w:p>
        </w:tc>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0.181914</w:t>
            </w:r>
          </w:p>
        </w:tc>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0.812028</w:t>
            </w:r>
          </w:p>
        </w:tc>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0.742963</w:t>
            </w:r>
          </w:p>
        </w:tc>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0.767612</w:t>
            </w:r>
          </w:p>
        </w:tc>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24.0 / 10.7</w:t>
            </w:r>
          </w:p>
        </w:tc>
      </w:tr>
      <w:tr>
        <w:trPr>
          <w:cantSplit/>
        </w:trPr>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TabICL</w:t>
            </w:r>
          </w:p>
        </w:tc>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0.177992</w:t>
            </w:r>
          </w:p>
        </w:tc>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0.806629</w:t>
            </w:r>
          </w:p>
        </w:tc>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0.730370</w:t>
            </w:r>
          </w:p>
        </w:tc>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0.742526</w:t>
            </w:r>
          </w:p>
        </w:tc>
        <w:tc>
          <w:tcPr>
            <w:tcW w:type="dxa" w:w="1663"/>
            <w:tcMar>
              <w:top w:w="70" w:type="dxa"/>
              <w:start w:w="100" w:type="dxa"/>
              <w:bottom w:w="70" w:type="dxa"/>
              <w:end w:w="100" w:type="dxa"/>
            </w:tcMar>
            <w:vAlign w:val="center"/>
          </w:tcPr>
          <w:p>
            <w:pPr>
              <w:spacing w:before="0" w:after="0" w:line="240" w:lineRule="auto"/>
            </w:pPr>
            <w:r>
              <w:rPr>
                <w:rFonts w:ascii="Arial Unicode MS" w:hAnsi="Arial Unicode MS" w:eastAsia="Arial Unicode MS"/>
                <w:sz w:val="15"/>
              </w:rPr>
              <w:t>21.2 / 15.2</w:t>
            </w:r>
          </w:p>
        </w:tc>
      </w:tr>
    </w:tbl>
    <w:p>
      <w:pPr>
        <w:pStyle w:val="Heading1"/>
        <w:keepNext/>
        <w:widowControl/>
      </w:pPr>
      <w:r>
        <w:rPr>
          <w:rFonts w:ascii="Arial Unicode MS" w:hAnsi="Arial Unicode MS" w:eastAsia="Arial Unicode MS"/>
        </w:rPr>
        <w:t>4. 최종 모델 선정</w:t>
      </w:r>
    </w:p>
    <w:p>
      <w:pPr>
        <w:pStyle w:val="Heading2"/>
        <w:keepNext/>
        <w:widowControl/>
      </w:pPr>
      <w:r>
        <w:rPr>
          <w:rFonts w:ascii="Arial Unicode MS" w:hAnsi="Arial Unicode MS" w:eastAsia="Arial Unicode MS"/>
        </w:rPr>
        <w:t>4.1 FP를 중요하게 본 이유</w:t>
      </w:r>
    </w:p>
    <w:p>
      <w:pPr>
        <w:widowControl/>
      </w:pPr>
      <w:r>
        <w:rPr>
          <w:rFonts w:ascii="Arial Unicode MS" w:hAnsi="Arial Unicode MS" w:eastAsia="Arial Unicode MS"/>
        </w:rPr>
        <w:t>이 보고서에서 양성 클래스는 Won이다. 따라서 FP(False Positive)는 모델이 성사 가능성이 있다고 판단했지만 실제로는 Lost가 된 거래를 뜻한다.</w:t>
      </w:r>
    </w:p>
    <w:p>
      <w:pPr>
        <w:widowControl/>
      </w:pPr>
      <w:r>
        <w:rPr>
          <w:rFonts w:ascii="Arial Unicode MS" w:hAnsi="Arial Unicode MS" w:eastAsia="Arial Unicode MS"/>
        </w:rPr>
        <w:t>SalesLuv에서 FP가 발생하면 실제로는 Lost 위험이 높아 추가 관리가 필요한 거래가 Won 가능성이 높은 거래로 표시된다. 영업팀은 해당 거래가 쉽게 성사될 것이라고 오인해 위험 신호를 놓치고, 추가 확인·설득·조건 조정이 필요한 시점을 지나칠 수 있다. 또한 잘될 것으로 잘못 표시된 거래를 우선순위에 올리면서 실제로 성사 가능성이 높은 다른 거래에 사용할 시간과 인력이 줄어들 수 있다.</w:t>
      </w:r>
    </w:p>
    <w:p>
      <w:pPr>
        <w:widowControl/>
      </w:pPr>
      <w:r>
        <w:rPr>
          <w:rFonts w:ascii="Arial Unicode MS" w:hAnsi="Arial Unicode MS" w:eastAsia="Arial Unicode MS"/>
        </w:rPr>
        <w:t>이러한 낙관적 오판은 파이프라인과 예상 매출도 실제보다 높게 만든다. 그 결과 인력 배치, 일정, 재고, 경영 판단이 잘못될 수 있으며, 같은 문제가 반복되면 영업 담당자가 모델의 승률 자체를 신뢰하지 않게 된다. 이런 이유로 전체 성능이 비슷한 모델끼리 비교할 때는 FP가 낮은 모델을 더 안전한 모델로 본다.</w:t>
      </w:r>
    </w:p>
    <w:p>
      <w:pPr>
        <w:widowControl/>
      </w:pPr>
      <w:r>
        <w:rPr>
          <w:rFonts w:ascii="Arial Unicode MS" w:hAnsi="Arial Unicode MS" w:eastAsia="Arial Unicode MS"/>
        </w:rPr>
        <w:t>다만 FP만 0으로 만드는 것은 올바른 목표가 아니다. 모든 거래를 Lost로 예측하면 FP는 없어지지만 실제 Won 거래를 전부 놓친다. 임계값을 높여도 FP는 줄어드는 대신 FN이 늘고 Recall이 낮아진다. 따라서 이번 학습은 다음 두 문제를 분리했다.</w:t>
      </w:r>
    </w:p>
    <w:p>
      <w:pPr>
        <w:ind w:left="360" w:hanging="360"/>
      </w:pPr>
      <w:r>
        <w:rPr>
          <w:rFonts w:ascii="Arial Unicode MS" w:hAnsi="Arial Unicode MS" w:eastAsia="Arial Unicode MS"/>
        </w:rPr>
        <w:t>1.  먼저 Brier Score로 확률 자체가 실제 결과와 잘 맞는 모델을 고른다.</w:t>
      </w:r>
    </w:p>
    <w:p>
      <w:pPr>
        <w:ind w:left="360" w:hanging="360"/>
      </w:pPr>
      <w:r>
        <w:rPr>
          <w:rFonts w:ascii="Arial Unicode MS" w:hAnsi="Arial Unicode MS" w:eastAsia="Arial Unicode MS"/>
        </w:rPr>
        <w:t>2.  이후 FP와 FN의 실제 업무 비용을 바탕으로 분류 임계값을 결정한다.</w:t>
      </w:r>
    </w:p>
    <w:p>
      <w:pPr>
        <w:widowControl/>
      </w:pPr>
      <w:r>
        <w:rPr>
          <w:rFonts w:ascii="Arial Unicode MS" w:hAnsi="Arial Unicode MS" w:eastAsia="Arial Unicode MS"/>
        </w:rPr>
        <w:t>현재 모델은 후보를 같은 조건으로 비교하고 운영 기준을 단순하게 유지하기 위해 임계값을 0.50으로 확정했다. FP와 FN의 실제 비용은 운영 지표로 기록하되, 이번 모델의 임계값은 별도로 조정하지 않았다. 향후 충분한 실제 데이터와 비용 근거가 확보될 때만 새 모델 버전에서 재검토한다.</w:t>
      </w:r>
    </w:p>
    <w:p>
      <w:pPr>
        <w:pStyle w:val="Heading2"/>
        <w:keepNext/>
        <w:widowControl/>
      </w:pPr>
      <w:r>
        <w:rPr>
          <w:rFonts w:ascii="Arial Unicode MS" w:hAnsi="Arial Unicode MS" w:eastAsia="Arial Unicode MS"/>
        </w:rPr>
        <w:t>4.2 최종 선택 결과</w:t>
      </w:r>
    </w:p>
    <w:p>
      <w:pPr>
        <w:widowControl/>
      </w:pPr>
      <w:r>
        <w:rPr>
          <w:rFonts w:ascii="Arial Unicode MS" w:hAnsi="Arial Unicode MS" w:eastAsia="Arial Unicode MS"/>
        </w:rPr>
        <w:t>Stacking_LR를 최종 모델로 선정했다.</w:t>
      </w:r>
    </w:p>
    <w:p>
      <w:pPr>
        <w:ind w:left="360" w:hanging="360"/>
      </w:pPr>
      <w:r>
        <w:rPr>
          <w:rFonts w:ascii="Arial Unicode MS" w:hAnsi="Arial Unicode MS" w:eastAsia="Arial Unicode MS"/>
        </w:rPr>
        <w:t>1.  반복 Group CV에서 가장 낮은 Brier Score 0.194406을 기록했다.</w:t>
      </w:r>
    </w:p>
    <w:p>
      <w:pPr>
        <w:ind w:left="360" w:hanging="360"/>
      </w:pPr>
      <w:r>
        <w:rPr>
          <w:rFonts w:ascii="Arial Unicode MS" w:hAnsi="Arial Unicode MS" w:eastAsia="Arial Unicode MS"/>
        </w:rPr>
        <w:t>2.  Test AUC 0.817164, Accuracy 0.734074, FP 20.4, FN 15.5로 확률·분류·오류 유형의 균형을 확인했다.</w:t>
      </w:r>
    </w:p>
    <w:p>
      <w:pPr>
        <w:ind w:left="360" w:hanging="360"/>
      </w:pPr>
      <w:r>
        <w:rPr>
          <w:rFonts w:ascii="Arial Unicode MS" w:hAnsi="Arial Unicode MS" w:eastAsia="Arial Unicode MS"/>
        </w:rPr>
        <w:t>3.  후보를 동일한 기준으로 비교하고 운영을 단순화하기 위해 기본 임계값 0.50을 유지했다.</w:t>
      </w:r>
    </w:p>
    <w:p>
      <w:pPr>
        <w:ind w:left="360" w:hanging="360"/>
      </w:pPr>
      <w:r>
        <w:rPr>
          <w:rFonts w:ascii="Arial Unicode MS" w:hAnsi="Arial Unicode MS" w:eastAsia="Arial Unicode MS"/>
        </w:rPr>
        <w:t>4.  후보 선택은 반복 CV 순위로 확정했다. Test의 Soft Voting과 ExtraTrees 우수 지표는 참고 결과로 기록했다.</w:t>
      </w:r>
    </w:p>
    <w:p>
      <w:pPr>
        <w:widowControl/>
      </w:pPr>
      <w:r>
        <w:rPr>
          <w:rFonts w:ascii="Arial Unicode MS" w:hAnsi="Arial Unicode MS" w:eastAsia="Arial Unicode MS"/>
        </w:rPr>
        <w:t>상위 세 후보의 CV Brier 차이는 0.000324 이내다. 기본 모델 확률의 상관계수도 약 0.84~0.97로 높아 앙상블 개선 폭이 작다. 현재 결과는 Stacking_LR의 절대적 우위를 뜻하지 않으며, 운영 복잡도와 재검증 결과를 함께 관리한다.</w:t>
      </w:r>
    </w:p>
    <w:p>
      <w:pPr>
        <w:widowControl/>
      </w:pPr>
      <w:r>
        <w:rPr>
          <w:rFonts w:ascii="Arial Unicode MS" w:hAnsi="Arial Unicode MS" w:eastAsia="Arial Unicode MS"/>
        </w:rPr>
        <w:t>Test에서 LogisticRegression의 FP는 16.5로 가장 낮았지만 FN은 22.2로 늘었고 Accuracy와 F1도 Stacking보다 낮았다. 따라서 FP 하나만으로 모델을 정하지 않고, 반복 CV Brier를 우선하면서 AUC·Accuracy·F1과 FP/FN의 균형을 함께 확인했다.</w:t>
      </w:r>
    </w:p>
    <w:p>
      <w:pPr>
        <w:pStyle w:val="Heading1"/>
      </w:pPr>
      <w:r>
        <w:rPr>
          <w:rFonts w:ascii="Arial Unicode MS" w:hAnsi="Arial Unicode MS" w:eastAsia="Arial Unicode MS"/>
          <w:b/>
          <w:color w:val="2E74B5"/>
          <w:sz w:val="30"/>
        </w:rPr>
        <w:t>5. 최종 재학습과 저장 검증</w:t>
      </w:r>
    </w:p>
    <w:p>
      <w:pPr>
        <w:spacing w:after="80" w:line="269" w:lineRule="auto"/>
      </w:pPr>
      <w:r>
        <w:rPr>
          <w:rFonts w:ascii="Arial Unicode MS" w:hAnsi="Arial Unicode MS" w:eastAsia="Arial Unicode MS"/>
          <w:b w:val="0"/>
          <w:color w:val="18212B"/>
          <w:sz w:val="19"/>
        </w:rPr>
        <w:t>평가를 마친 구성으로 전체 448건의 열 개 마스킹 세트를 사용했다.</w:t>
      </w:r>
    </w:p>
    <w:p>
      <w:pPr>
        <w:spacing w:after="50" w:line="259" w:lineRule="auto"/>
        <w:ind w:left="312" w:hanging="227"/>
      </w:pPr>
      <w:r>
        <w:rPr>
          <w:rFonts w:ascii="Arial Unicode MS" w:hAnsi="Arial Unicode MS" w:eastAsia="Arial Unicode MS"/>
          <w:b/>
          <w:color w:val="2E74B5"/>
          <w:sz w:val="18"/>
        </w:rPr>
        <w:t xml:space="preserve">1. </w:t>
      </w:r>
      <w:r>
        <w:rPr>
          <w:rFonts w:ascii="Arial Unicode MS" w:hAnsi="Arial Unicode MS" w:eastAsia="Arial Unicode MS"/>
          <w:b w:val="0"/>
          <w:color w:val="18212B"/>
          <w:sz w:val="18"/>
        </w:rPr>
        <w:t>세 개 시드의 5-Fold Stratified Group OOF 확률을 생성했다.</w:t>
      </w:r>
    </w:p>
    <w:p>
      <w:pPr>
        <w:spacing w:after="50" w:line="259" w:lineRule="auto"/>
        <w:ind w:left="312" w:hanging="227"/>
      </w:pPr>
      <w:r>
        <w:rPr>
          <w:rFonts w:ascii="Arial Unicode MS" w:hAnsi="Arial Unicode MS" w:eastAsia="Arial Unicode MS"/>
          <w:b/>
          <w:color w:val="2E74B5"/>
          <w:sz w:val="18"/>
        </w:rPr>
        <w:t xml:space="preserve">2. </w:t>
      </w:r>
      <w:r>
        <w:rPr>
          <w:rFonts w:ascii="Arial Unicode MS" w:hAnsi="Arial Unicode MS" w:eastAsia="Arial Unicode MS"/>
          <w:b w:val="0"/>
          <w:color w:val="18212B"/>
          <w:sz w:val="18"/>
        </w:rPr>
        <w:t>다섯 기본 모델의 평균 OOF 확률로 LogisticRegression 메타모델을 학습했다.</w:t>
      </w:r>
    </w:p>
    <w:p>
      <w:pPr>
        <w:spacing w:after="50" w:line="259" w:lineRule="auto"/>
        <w:ind w:left="312" w:hanging="227"/>
      </w:pPr>
      <w:r>
        <w:rPr>
          <w:rFonts w:ascii="Arial Unicode MS" w:hAnsi="Arial Unicode MS" w:eastAsia="Arial Unicode MS"/>
          <w:b/>
          <w:color w:val="2E74B5"/>
          <w:sz w:val="18"/>
        </w:rPr>
        <w:t xml:space="preserve">3. </w:t>
      </w:r>
      <w:r>
        <w:rPr>
          <w:rFonts w:ascii="Arial Unicode MS" w:hAnsi="Arial Unicode MS" w:eastAsia="Arial Unicode MS"/>
          <w:b w:val="0"/>
          <w:color w:val="18212B"/>
          <w:sz w:val="18"/>
        </w:rPr>
        <w:t>다섯 기본 모델을 전체 4,480행으로 다시 학습했다.</w:t>
      </w:r>
    </w:p>
    <w:p>
      <w:pPr>
        <w:spacing w:after="50" w:line="259" w:lineRule="auto"/>
        <w:ind w:left="312" w:hanging="227"/>
      </w:pPr>
      <w:r>
        <w:rPr>
          <w:rFonts w:ascii="Arial Unicode MS" w:hAnsi="Arial Unicode MS" w:eastAsia="Arial Unicode MS"/>
          <w:b/>
          <w:color w:val="2E74B5"/>
          <w:sz w:val="18"/>
        </w:rPr>
        <w:t xml:space="preserve">4. </w:t>
      </w:r>
      <w:r>
        <w:rPr>
          <w:rFonts w:ascii="Arial Unicode MS" w:hAnsi="Arial Unicode MS" w:eastAsia="Arial Unicode MS"/>
          <w:b w:val="0"/>
          <w:color w:val="18212B"/>
          <w:sz w:val="18"/>
        </w:rPr>
        <w:t>비-TabICL 모델·메타모델·스키마를 joblib에 저장하고 TabICL은 전용 형식으로 저장했다.</w:t>
      </w:r>
    </w:p>
    <w:p>
      <w:pPr>
        <w:spacing w:after="50" w:line="259" w:lineRule="auto"/>
        <w:ind w:left="312" w:hanging="227"/>
      </w:pPr>
      <w:r>
        <w:rPr>
          <w:rFonts w:ascii="Arial Unicode MS" w:hAnsi="Arial Unicode MS" w:eastAsia="Arial Unicode MS"/>
          <w:b/>
          <w:color w:val="2E74B5"/>
          <w:sz w:val="18"/>
        </w:rPr>
        <w:t xml:space="preserve">5. </w:t>
      </w:r>
      <w:r>
        <w:rPr>
          <w:rFonts w:ascii="Arial Unicode MS" w:hAnsi="Arial Unicode MS" w:eastAsia="Arial Unicode MS"/>
          <w:b w:val="0"/>
          <w:color w:val="18212B"/>
          <w:sz w:val="18"/>
        </w:rPr>
        <w:t>현재 프로세스와 새 CPU 프로세스에서 기준 16건의 확률을 다시 계산했다.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350"/>
        <w:gridCol w:w="7628"/>
      </w:tblGrid>
      <w:tr>
        <w:trPr>
          <w:cantSplit/>
          <w:tblHeader w:val="true"/>
        </w:trPr>
        <w:tc>
          <w:tcPr>
            <w:tcW w:type="dxa" w:w="2350"/>
            <w:tcMar>
              <w:top w:w="65" w:type="dxa"/>
              <w:start w:w="100" w:type="dxa"/>
              <w:bottom w:w="65" w:type="dxa"/>
              <w:end w:w="100" w:type="dxa"/>
            </w:tcMar>
            <w:vAlign w:val="center"/>
            <w:shd w:fill="E8EEF5"/>
          </w:tcPr>
          <w:p>
            <w:pPr>
              <w:spacing w:before="0" w:after="0" w:line="240" w:lineRule="auto"/>
            </w:pPr>
            <w:r>
              <w:rPr>
                <w:rFonts w:ascii="Arial Unicode MS" w:hAnsi="Arial Unicode MS" w:eastAsia="Arial Unicode MS"/>
                <w:b/>
                <w:color w:val="1F4D78"/>
                <w:sz w:val="17"/>
              </w:rPr>
              <w:t>검증 항목</w:t>
            </w:r>
          </w:p>
        </w:tc>
        <w:tc>
          <w:tcPr>
            <w:tcW w:type="dxa" w:w="7628"/>
            <w:tcMar>
              <w:top w:w="65" w:type="dxa"/>
              <w:start w:w="100" w:type="dxa"/>
              <w:bottom w:w="65" w:type="dxa"/>
              <w:end w:w="100" w:type="dxa"/>
            </w:tcMar>
            <w:vAlign w:val="center"/>
            <w:shd w:fill="E8EEF5"/>
          </w:tcPr>
          <w:p>
            <w:pPr>
              <w:spacing w:before="0" w:after="0" w:line="240" w:lineRule="auto"/>
            </w:pPr>
            <w:r>
              <w:rPr>
                <w:rFonts w:ascii="Arial Unicode MS" w:hAnsi="Arial Unicode MS" w:eastAsia="Arial Unicode MS"/>
                <w:b/>
                <w:color w:val="1F4D78"/>
                <w:sz w:val="17"/>
              </w:rPr>
              <w:t>결과</w:t>
            </w:r>
          </w:p>
        </w:tc>
      </w:tr>
      <w:tr>
        <w:trPr>
          <w:cantSplit/>
        </w:trPr>
        <w:tc>
          <w:tcPr>
            <w:tcW w:type="dxa" w:w="2350"/>
            <w:tcMar>
              <w:top w:w="65" w:type="dxa"/>
              <w:start w:w="100" w:type="dxa"/>
              <w:bottom w:w="65" w:type="dxa"/>
              <w:end w:w="100" w:type="dxa"/>
            </w:tcMar>
            <w:vAlign w:val="center"/>
          </w:tcPr>
          <w:p>
            <w:pPr>
              <w:spacing w:before="0" w:after="0" w:line="240" w:lineRule="auto"/>
              <w:jc w:val="left"/>
            </w:pPr>
            <w:r>
              <w:rPr>
                <w:rFonts w:ascii="Arial Unicode MS" w:hAnsi="Arial Unicode MS" w:eastAsia="Arial Unicode MS"/>
                <w:b w:val="0"/>
                <w:color w:val="18212B"/>
                <w:sz w:val="16"/>
              </w:rPr>
              <w:t>저장 모델 버전</w:t>
            </w:r>
          </w:p>
        </w:tc>
        <w:tc>
          <w:tcPr>
            <w:tcW w:type="dxa" w:w="7628"/>
            <w:tcMar>
              <w:top w:w="65" w:type="dxa"/>
              <w:start w:w="100" w:type="dxa"/>
              <w:bottom w:w="65" w:type="dxa"/>
              <w:end w:w="100" w:type="dxa"/>
            </w:tcMar>
            <w:vAlign w:val="center"/>
          </w:tcPr>
          <w:p>
            <w:pPr>
              <w:spacing w:before="0" w:after="0" w:line="240" w:lineRule="auto"/>
              <w:jc w:val="left"/>
            </w:pPr>
            <w:r>
              <w:rPr>
                <w:rFonts w:ascii="Arial Unicode MS" w:hAnsi="Arial Unicode MS" w:eastAsia="Arial Unicode MS"/>
                <w:color w:val="1F4D78"/>
                <w:sz w:val="16"/>
                <w:shd w:fill="F2F4F7"/>
              </w:rPr>
              <w:t>deal-stacking-lr-v1</w:t>
            </w:r>
          </w:p>
        </w:tc>
      </w:tr>
      <w:tr>
        <w:trPr>
          <w:cantSplit/>
        </w:trPr>
        <w:tc>
          <w:tcPr>
            <w:tcW w:type="dxa" w:w="2350"/>
            <w:tcMar>
              <w:top w:w="65" w:type="dxa"/>
              <w:start w:w="100" w:type="dxa"/>
              <w:bottom w:w="65" w:type="dxa"/>
              <w:end w:w="100" w:type="dxa"/>
            </w:tcMar>
            <w:vAlign w:val="center"/>
            <w:shd w:fill="FAFBFC"/>
          </w:tcPr>
          <w:p>
            <w:pPr>
              <w:spacing w:before="0" w:after="0" w:line="240" w:lineRule="auto"/>
              <w:jc w:val="left"/>
            </w:pPr>
            <w:r>
              <w:rPr>
                <w:rFonts w:ascii="Arial Unicode MS" w:hAnsi="Arial Unicode MS" w:eastAsia="Arial Unicode MS"/>
                <w:b w:val="0"/>
                <w:color w:val="18212B"/>
                <w:sz w:val="16"/>
              </w:rPr>
              <w:t>전체 재학습</w:t>
            </w:r>
          </w:p>
        </w:tc>
        <w:tc>
          <w:tcPr>
            <w:tcW w:type="dxa" w:w="7628"/>
            <w:tcMar>
              <w:top w:w="65" w:type="dxa"/>
              <w:start w:w="100" w:type="dxa"/>
              <w:bottom w:w="65" w:type="dxa"/>
              <w:end w:w="100" w:type="dxa"/>
            </w:tcMar>
            <w:vAlign w:val="center"/>
            <w:shd w:fill="FAFBFC"/>
          </w:tcPr>
          <w:p>
            <w:pPr>
              <w:spacing w:before="0" w:after="0" w:line="240" w:lineRule="auto"/>
              <w:jc w:val="left"/>
            </w:pPr>
            <w:r>
              <w:rPr>
                <w:rFonts w:ascii="Arial Unicode MS" w:hAnsi="Arial Unicode MS" w:eastAsia="Arial Unicode MS"/>
                <w:b w:val="0"/>
                <w:color w:val="18212B"/>
                <w:sz w:val="16"/>
              </w:rPr>
              <w:t>원본 448건, 마스킹 포함 4,480행</w:t>
            </w:r>
          </w:p>
        </w:tc>
      </w:tr>
      <w:tr>
        <w:trPr>
          <w:cantSplit/>
        </w:trPr>
        <w:tc>
          <w:tcPr>
            <w:tcW w:type="dxa" w:w="2350"/>
            <w:tcMar>
              <w:top w:w="65" w:type="dxa"/>
              <w:start w:w="100" w:type="dxa"/>
              <w:bottom w:w="65" w:type="dxa"/>
              <w:end w:w="100" w:type="dxa"/>
            </w:tcMar>
            <w:vAlign w:val="center"/>
          </w:tcPr>
          <w:p>
            <w:pPr>
              <w:spacing w:before="0" w:after="0" w:line="240" w:lineRule="auto"/>
              <w:jc w:val="left"/>
            </w:pPr>
            <w:r>
              <w:rPr>
                <w:rFonts w:ascii="Arial Unicode MS" w:hAnsi="Arial Unicode MS" w:eastAsia="Arial Unicode MS"/>
                <w:b w:val="0"/>
                <w:color w:val="18212B"/>
                <w:sz w:val="16"/>
              </w:rPr>
              <w:t>현재 프로세스 최대 확률 차이</w:t>
            </w:r>
          </w:p>
        </w:tc>
        <w:tc>
          <w:tcPr>
            <w:tcW w:type="dxa" w:w="7628"/>
            <w:tcMar>
              <w:top w:w="65" w:type="dxa"/>
              <w:start w:w="100" w:type="dxa"/>
              <w:bottom w:w="65" w:type="dxa"/>
              <w:end w:w="100" w:type="dxa"/>
            </w:tcMar>
            <w:vAlign w:val="center"/>
          </w:tcPr>
          <w:p>
            <w:pPr>
              <w:spacing w:before="0" w:after="0" w:line="240" w:lineRule="auto"/>
              <w:jc w:val="right"/>
            </w:pPr>
            <w:r>
              <w:rPr>
                <w:rFonts w:ascii="Arial Unicode MS" w:hAnsi="Arial Unicode MS" w:eastAsia="Arial Unicode MS"/>
                <w:color w:val="1F4D78"/>
                <w:sz w:val="16"/>
                <w:shd w:fill="F2F4F7"/>
              </w:rPr>
              <w:t>0</w:t>
            </w:r>
          </w:p>
        </w:tc>
      </w:tr>
      <w:tr>
        <w:trPr>
          <w:cantSplit/>
        </w:trPr>
        <w:tc>
          <w:tcPr>
            <w:tcW w:type="dxa" w:w="2350"/>
            <w:tcMar>
              <w:top w:w="65" w:type="dxa"/>
              <w:start w:w="100" w:type="dxa"/>
              <w:bottom w:w="65" w:type="dxa"/>
              <w:end w:w="100" w:type="dxa"/>
            </w:tcMar>
            <w:vAlign w:val="center"/>
            <w:shd w:fill="FAFBFC"/>
          </w:tcPr>
          <w:p>
            <w:pPr>
              <w:spacing w:before="0" w:after="0" w:line="240" w:lineRule="auto"/>
              <w:jc w:val="left"/>
            </w:pPr>
            <w:r>
              <w:rPr>
                <w:rFonts w:ascii="Arial Unicode MS" w:hAnsi="Arial Unicode MS" w:eastAsia="Arial Unicode MS"/>
                <w:b w:val="0"/>
                <w:color w:val="18212B"/>
                <w:sz w:val="16"/>
              </w:rPr>
              <w:t>새 CPU 프로세스 최대 확률 차이</w:t>
            </w:r>
          </w:p>
        </w:tc>
        <w:tc>
          <w:tcPr>
            <w:tcW w:type="dxa" w:w="7628"/>
            <w:tcMar>
              <w:top w:w="65" w:type="dxa"/>
              <w:start w:w="100" w:type="dxa"/>
              <w:bottom w:w="65" w:type="dxa"/>
              <w:end w:w="100" w:type="dxa"/>
            </w:tcMar>
            <w:vAlign w:val="center"/>
            <w:shd w:fill="FAFBFC"/>
          </w:tcPr>
          <w:p>
            <w:pPr>
              <w:spacing w:before="0" w:after="0" w:line="240" w:lineRule="auto"/>
              <w:jc w:val="left"/>
            </w:pPr>
            <w:r>
              <w:rPr>
                <w:rFonts w:ascii="Arial Unicode MS" w:hAnsi="Arial Unicode MS" w:eastAsia="Arial Unicode MS"/>
                <w:color w:val="1F4D78"/>
                <w:sz w:val="16"/>
                <w:shd w:fill="F2F4F7"/>
              </w:rPr>
              <w:t>1.0451534443456367e-06</w:t>
            </w:r>
          </w:p>
        </w:tc>
      </w:tr>
      <w:tr>
        <w:trPr>
          <w:cantSplit/>
        </w:trPr>
        <w:tc>
          <w:tcPr>
            <w:tcW w:type="dxa" w:w="2350"/>
            <w:tcMar>
              <w:top w:w="65" w:type="dxa"/>
              <w:start w:w="100" w:type="dxa"/>
              <w:bottom w:w="65" w:type="dxa"/>
              <w:end w:w="100" w:type="dxa"/>
            </w:tcMar>
            <w:vAlign w:val="center"/>
          </w:tcPr>
          <w:p>
            <w:pPr>
              <w:spacing w:before="0" w:after="0" w:line="240" w:lineRule="auto"/>
              <w:jc w:val="left"/>
            </w:pPr>
            <w:r>
              <w:rPr>
                <w:rFonts w:ascii="Arial Unicode MS" w:hAnsi="Arial Unicode MS" w:eastAsia="Arial Unicode MS"/>
                <w:b w:val="0"/>
                <w:color w:val="18212B"/>
                <w:sz w:val="16"/>
              </w:rPr>
              <w:t>허용오차</w:t>
            </w:r>
          </w:p>
        </w:tc>
        <w:tc>
          <w:tcPr>
            <w:tcW w:type="dxa" w:w="7628"/>
            <w:tcMar>
              <w:top w:w="65" w:type="dxa"/>
              <w:start w:w="100" w:type="dxa"/>
              <w:bottom w:w="65" w:type="dxa"/>
              <w:end w:w="100" w:type="dxa"/>
            </w:tcMar>
            <w:vAlign w:val="center"/>
          </w:tcPr>
          <w:p>
            <w:pPr>
              <w:spacing w:before="0" w:after="0" w:line="240" w:lineRule="auto"/>
              <w:jc w:val="left"/>
            </w:pPr>
            <w:r>
              <w:rPr>
                <w:rFonts w:ascii="Arial Unicode MS" w:hAnsi="Arial Unicode MS" w:eastAsia="Arial Unicode MS"/>
                <w:color w:val="1F4D78"/>
                <w:sz w:val="16"/>
                <w:shd w:fill="F2F4F7"/>
              </w:rPr>
              <w:t>rtol=1e-5</w:t>
            </w:r>
            <w:r>
              <w:rPr>
                <w:rFonts w:ascii="Arial Unicode MS" w:hAnsi="Arial Unicode MS" w:eastAsia="Arial Unicode MS"/>
                <w:b w:val="0"/>
                <w:color w:val="18212B"/>
                <w:sz w:val="16"/>
              </w:rPr>
              <w:t xml:space="preserve">, </w:t>
            </w:r>
            <w:r>
              <w:rPr>
                <w:rFonts w:ascii="Arial Unicode MS" w:hAnsi="Arial Unicode MS" w:eastAsia="Arial Unicode MS"/>
                <w:color w:val="1F4D78"/>
                <w:sz w:val="16"/>
                <w:shd w:fill="F2F4F7"/>
              </w:rPr>
              <w:t>atol=1e-6</w:t>
            </w:r>
          </w:p>
        </w:tc>
      </w:tr>
      <w:tr>
        <w:trPr>
          <w:cantSplit/>
        </w:trPr>
        <w:tc>
          <w:tcPr>
            <w:tcW w:type="dxa" w:w="2350"/>
            <w:tcMar>
              <w:top w:w="65" w:type="dxa"/>
              <w:start w:w="100" w:type="dxa"/>
              <w:bottom w:w="65" w:type="dxa"/>
              <w:end w:w="100" w:type="dxa"/>
            </w:tcMar>
            <w:vAlign w:val="center"/>
            <w:shd w:fill="FAFBFC"/>
          </w:tcPr>
          <w:p>
            <w:pPr>
              <w:spacing w:before="0" w:after="0" w:line="240" w:lineRule="auto"/>
              <w:jc w:val="left"/>
            </w:pPr>
            <w:r>
              <w:rPr>
                <w:rFonts w:ascii="Arial Unicode MS" w:hAnsi="Arial Unicode MS" w:eastAsia="Arial Unicode MS"/>
                <w:b w:val="0"/>
                <w:color w:val="18212B"/>
                <w:sz w:val="16"/>
              </w:rPr>
              <w:t>파일 SHA-256 검사</w:t>
            </w:r>
          </w:p>
        </w:tc>
        <w:tc>
          <w:tcPr>
            <w:tcW w:type="dxa" w:w="7628"/>
            <w:tcMar>
              <w:top w:w="65" w:type="dxa"/>
              <w:start w:w="100" w:type="dxa"/>
              <w:bottom w:w="65" w:type="dxa"/>
              <w:end w:w="100" w:type="dxa"/>
            </w:tcMar>
            <w:vAlign w:val="center"/>
            <w:shd w:fill="FAFBFC"/>
          </w:tcPr>
          <w:p>
            <w:pPr>
              <w:spacing w:before="0" w:after="0" w:line="240" w:lineRule="auto"/>
              <w:jc w:val="left"/>
            </w:pPr>
            <w:r>
              <w:rPr>
                <w:rFonts w:ascii="Arial Unicode MS" w:hAnsi="Arial Unicode MS" w:eastAsia="Arial Unicode MS"/>
                <w:b w:val="0"/>
                <w:color w:val="18212B"/>
                <w:sz w:val="16"/>
              </w:rPr>
              <w:t>통과</w:t>
            </w:r>
          </w:p>
        </w:tc>
      </w:tr>
    </w:tbl>
    <w:p>
      <w:pPr>
        <w:spacing w:after="20"/>
      </w:pPr>
    </w:p>
    <w:p>
      <w:pPr>
        <w:pStyle w:val="Heading1"/>
      </w:pPr>
      <w:r>
        <w:rPr>
          <w:rFonts w:ascii="Arial Unicode MS" w:hAnsi="Arial Unicode MS" w:eastAsia="Arial Unicode MS"/>
          <w:b/>
          <w:color w:val="2E74B5"/>
          <w:sz w:val="30"/>
        </w:rPr>
        <w:t>6. 한계와 운영 과제</w:t>
      </w:r>
    </w:p>
    <w:p>
      <w:pPr>
        <w:spacing w:after="50" w:line="259" w:lineRule="auto"/>
        <w:ind w:left="312" w:hanging="227"/>
      </w:pPr>
      <w:r>
        <w:rPr>
          <w:rFonts w:ascii="Arial Unicode MS" w:hAnsi="Arial Unicode MS" w:eastAsia="Arial Unicode MS"/>
          <w:b/>
          <w:color w:val="2E74B5"/>
          <w:sz w:val="18"/>
        </w:rPr>
        <w:t xml:space="preserve">• </w:t>
      </w:r>
      <w:r>
        <w:rPr>
          <w:rFonts w:ascii="Arial Unicode MS" w:hAnsi="Arial Unicode MS" w:eastAsia="Arial Unicode MS"/>
          <w:b w:val="0"/>
          <w:color w:val="18212B"/>
          <w:sz w:val="18"/>
        </w:rPr>
        <w:t>448건의 공개 데이터는 표본이 작고 SalesLuv 실제 고객 분포와 다를 수 있다.</w:t>
      </w:r>
    </w:p>
    <w:p>
      <w:pPr>
        <w:spacing w:after="50" w:line="259" w:lineRule="auto"/>
        <w:ind w:left="312" w:hanging="227"/>
      </w:pPr>
      <w:r>
        <w:rPr>
          <w:rFonts w:ascii="Arial Unicode MS" w:hAnsi="Arial Unicode MS" w:eastAsia="Arial Unicode MS"/>
          <w:b/>
          <w:color w:val="2E74B5"/>
          <w:sz w:val="18"/>
        </w:rPr>
        <w:t xml:space="preserve">• </w:t>
      </w:r>
      <w:r>
        <w:rPr>
          <w:rFonts w:ascii="Arial Unicode MS" w:hAnsi="Arial Unicode MS" w:eastAsia="Arial Unicode MS"/>
          <w:b w:val="0"/>
          <w:color w:val="18212B"/>
          <w:sz w:val="18"/>
        </w:rPr>
        <w:t xml:space="preserve">각 행에 정확히 4개의 </w:t>
      </w:r>
      <w:r>
        <w:rPr>
          <w:rFonts w:ascii="Arial Unicode MS" w:hAnsi="Arial Unicode MS" w:eastAsia="Arial Unicode MS"/>
          <w:color w:val="1F4D78"/>
          <w:sz w:val="17"/>
          <w:shd w:fill="F2F4F7"/>
        </w:rPr>
        <w:t>Unknown</w:t>
      </w:r>
      <w:r>
        <w:rPr>
          <w:rFonts w:ascii="Arial Unicode MS" w:hAnsi="Arial Unicode MS" w:eastAsia="Arial Unicode MS"/>
          <w:b w:val="0"/>
          <w:color w:val="18212B"/>
          <w:sz w:val="18"/>
        </w:rPr>
        <w:t>을 넣은 평가다. 운영 데이터의 결측률과 결측 패턴이 달라지면 성능도 달라질 수 있다.</w:t>
      </w:r>
    </w:p>
    <w:p>
      <w:pPr>
        <w:spacing w:after="50" w:line="259" w:lineRule="auto"/>
        <w:ind w:left="312" w:hanging="227"/>
      </w:pPr>
      <w:r>
        <w:rPr>
          <w:rFonts w:ascii="Arial Unicode MS" w:hAnsi="Arial Unicode MS" w:eastAsia="Arial Unicode MS"/>
          <w:b/>
          <w:color w:val="2E74B5"/>
          <w:sz w:val="18"/>
        </w:rPr>
        <w:t xml:space="preserve">• </w:t>
      </w:r>
      <w:r>
        <w:rPr>
          <w:rFonts w:ascii="Arial Unicode MS" w:hAnsi="Arial Unicode MS" w:eastAsia="Arial Unicode MS"/>
          <w:b w:val="0"/>
          <w:color w:val="18212B"/>
          <w:sz w:val="18"/>
        </w:rPr>
        <w:t>4단계 평가는 3단계에서 선택한 파라미터를 고정한 조건부 반복 CV다. 전체 하이퍼파라미터 탐색을 포함한 nested CV 수치는 아니다.</w:t>
      </w:r>
    </w:p>
    <w:p>
      <w:pPr>
        <w:spacing w:after="50" w:line="259" w:lineRule="auto"/>
        <w:ind w:left="312" w:hanging="227"/>
      </w:pPr>
      <w:r>
        <w:rPr>
          <w:rFonts w:ascii="Arial Unicode MS" w:hAnsi="Arial Unicode MS" w:eastAsia="Arial Unicode MS"/>
          <w:b/>
          <w:color w:val="2E74B5"/>
          <w:sz w:val="18"/>
        </w:rPr>
        <w:t xml:space="preserve">• </w:t>
      </w:r>
      <w:r>
        <w:rPr>
          <w:rFonts w:ascii="Arial Unicode MS" w:hAnsi="Arial Unicode MS" w:eastAsia="Arial Unicode MS"/>
          <w:b w:val="0"/>
          <w:color w:val="18212B"/>
          <w:sz w:val="18"/>
        </w:rPr>
        <w:t>Test 10세트는 같은 135개 원본 딜을 공유한다.</w:t>
      </w:r>
    </w:p>
    <w:p>
      <w:pPr>
        <w:spacing w:after="50" w:line="259" w:lineRule="auto"/>
        <w:ind w:left="312" w:hanging="227"/>
      </w:pPr>
      <w:r>
        <w:rPr>
          <w:rFonts w:ascii="Arial Unicode MS" w:hAnsi="Arial Unicode MS" w:eastAsia="Arial Unicode MS"/>
          <w:b/>
          <w:color w:val="2E74B5"/>
          <w:sz w:val="18"/>
        </w:rPr>
        <w:t xml:space="preserve">• </w:t>
      </w:r>
      <w:r>
        <w:rPr>
          <w:rFonts w:ascii="Arial Unicode MS" w:hAnsi="Arial Unicode MS" w:eastAsia="Arial Unicode MS"/>
          <w:b w:val="0"/>
          <w:color w:val="18212B"/>
          <w:sz w:val="18"/>
        </w:rPr>
        <w:t>최종 저장 모델은 평가 후 전체 448건으로 재학습했다. 보고 성능은 재학습 전 분리 평가에서 산출한 값이다.</w:t>
      </w:r>
    </w:p>
    <w:p>
      <w:pPr>
        <w:spacing w:after="80" w:line="269" w:lineRule="auto"/>
      </w:pPr>
      <w:r>
        <w:rPr>
          <w:rFonts w:ascii="Arial Unicode MS" w:hAnsi="Arial Unicode MS" w:eastAsia="Arial Unicode MS"/>
          <w:b w:val="0"/>
          <w:color w:val="18212B"/>
          <w:sz w:val="19"/>
        </w:rPr>
        <w:t>운영 연결 단계에서는 입력 범주 검증, 모델 로딩 수명주기, 추론 지연시간, 실제 결측률, 확률 분포, 승패 정답, FP/FN을 기록한다. 누적된 실제 미팅 결과로 주기적 재평가와 재학습 시점을 결정한다.</w:t>
      </w:r>
    </w:p>
    <w:p>
      <w:pPr>
        <w:pStyle w:val="Heading1"/>
      </w:pPr>
      <w:r>
        <w:rPr>
          <w:rFonts w:ascii="Arial Unicode MS" w:hAnsi="Arial Unicode MS" w:eastAsia="Arial Unicode MS"/>
          <w:b/>
          <w:color w:val="2E74B5"/>
          <w:sz w:val="30"/>
        </w:rPr>
        <w:t>7. 재현 파일</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9978"/>
      </w:tblGrid>
      <w:tr>
        <w:trPr>
          <w:cantSplit/>
        </w:trPr>
        <w:tc>
          <w:tcPr>
            <w:tcW w:type="dxa" w:w="9978"/>
            <w:tcMar>
              <w:top w:w="65" w:type="dxa"/>
              <w:start w:w="100" w:type="dxa"/>
              <w:bottom w:w="65" w:type="dxa"/>
              <w:end w:w="100" w:type="dxa"/>
            </w:tcMar>
            <w:vAlign w:val="center"/>
            <w:shd w:fill="F2F4F7"/>
          </w:tcPr>
          <w:p>
            <w:pPr>
              <w:spacing w:before="20" w:after="20" w:line="240" w:lineRule="auto"/>
            </w:pPr>
            <w:r>
              <w:rPr>
                <w:rFonts w:ascii="Arial Unicode MS" w:hAnsi="Arial Unicode MS" w:eastAsia="Arial Unicode MS"/>
                <w:color w:val="18212B"/>
                <w:sz w:val="15"/>
              </w:rPr>
              <w:t>backend/notebooks/deal_data_preprocessing.ipynb</w:t>
              <w:br/>
              <w:t>backend/notebooks/deal_model_phase2.ipynb</w:t>
              <w:br/>
              <w:t>backend/notebooks/deal_model_phase3.ipynb</w:t>
              <w:br/>
              <w:t>backend/notebooks/deal_model_phase4.ipynb</w:t>
              <w:br/>
              <w:t>backend/notebooks/deal_model_phase5_threshold.ipynb</w:t>
              <w:br/>
              <w:t>backend/notebooks/deal_model_finalization.ipynb</w:t>
              <w:br/>
              <w:t>backend/pipeline/artifacts/deal_phase3_selection.joblib</w:t>
              <w:br/>
              <w:t>backend/pipeline/artifacts/deal_phase4_predictions.joblib</w:t>
              <w:br/>
              <w:t>backend/pipeline/artifacts/deal-stacking-lr-v1-models.joblib</w:t>
              <w:br/>
              <w:t>backend/pipeline/artifacts/deal-stacking-lr-v1-tabicl.pkl</w:t>
              <w:br/>
              <w:t>backend/pipeline/artifacts/deal-stacking-lr-v1.json</w:t>
            </w:r>
          </w:p>
        </w:tc>
      </w:tr>
    </w:tbl>
    <w:p>
      <w:pPr>
        <w:spacing w:after="20"/>
      </w:pPr>
    </w:p>
    <w:sectPr w:rsidR="00FC693F" w:rsidRPr="0006063C" w:rsidSect="00034616">
      <w:headerReference w:type="default" r:id="rId9"/>
      <w:footerReference w:type="default" r:id="rId10"/>
      <w:pgSz w:w="11906" w:h="16838"/>
      <w:pgMar w:top="964" w:right="964" w:bottom="1134" w:left="96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Arial Unicode MS" w:hAnsi="Arial Unicode MS" w:eastAsia="Arial Unicode MS"/>
        <w:color w:val="667085"/>
        <w:sz w:val="16"/>
      </w:rPr>
      <w:t xml:space="preserve">Page </w:t>
    </w:r>
    <w:fldSimple w:instr="PAGE">
      <w:r>
        <w:rPr>
          <w:rFonts w:ascii="Arial Unicode MS" w:hAnsi="Arial Unicode MS" w:eastAsia="Arial Unicode MS"/>
          <w:color w:val="667085"/>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Unicode MS" w:hAnsi="Arial Unicode MS" w:eastAsia="Arial Unicode MS"/>
        <w:b/>
        <w:color w:val="667085"/>
        <w:sz w:val="16"/>
      </w:rPr>
      <w:t>SalesLuv  |  ML/DL 학습결과서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69" w:lineRule="auto"/>
    </w:pPr>
    <w:rPr>
      <w:rFonts w:ascii="Arial Unicode MS" w:hAnsi="Arial Unicode MS" w:eastAsia="Arial Unicode MS"/>
      <w:color w:val="18212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Unicode MS" w:hAnsi="Arial Unicode MS" w:eastAsia="Arial Unicode MS"/>
      <w:b/>
      <w:bCs/>
      <w:color w:val="1F4D78"/>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Unicode MS" w:hAnsi="Arial Unicode MS" w:eastAsia="Arial Unicode MS"/>
      <w:b/>
      <w:bCs/>
      <w:color w:val="1F4D78"/>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salvirt.com/research/b2bdataset/" TargetMode="External"/><Relationship Id="rId12" Type="http://schemas.openxmlformats.org/officeDocument/2006/relationships/hyperlink" Target="https://doi.org/10.1016/j.eswa.2016.11.0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머신러닝/딥러닝 학습결과서</dc:title>
  <dc:subject>SalesLuv B2B deal win probability model</dc:subject>
  <dc:creator>SalesLuv</dc:creator>
  <cp:keywords/>
  <dc:description>generated by python-docx</dc:description>
  <cp:lastModifiedBy/>
  <cp:revision>1</cp:revision>
  <dcterms:created xsi:type="dcterms:W3CDTF">2013-12-23T23:15:00Z</dcterms:created>
  <dcterms:modified xsi:type="dcterms:W3CDTF">2013-12-23T23:15:00Z</dcterms:modified>
  <cp:category/>
</cp:coreProperties>
</file>